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00"/>
      </w:pPr>
    </w:p>
    <w:p>
      <w:pPr>
        <w:spacing w:after="100"/>
        <w:jc w:val="center"/>
      </w:pPr>
      <w:r>
        <w:rPr>
          <w:rFonts w:ascii="Calibri" w:cs="Calibri" w:eastAsia="Calibri" w:hAnsi="Calibri"/>
          <w:b/>
          <w:bCs/>
          <w:color w:val="152A47"/>
          <w:sz w:val="40"/>
          <w:szCs w:val="40"/>
        </w:rPr>
        <w:t xml:space="preserve">Enterprise RAG System</w:t>
      </w:r>
    </w:p>
    <w:p>
      <w:pPr>
        <w:spacing w:after="100"/>
        <w:jc w:val="center"/>
      </w:pPr>
      <w:r>
        <w:rPr>
          <w:rFonts w:ascii="Calibri" w:cs="Calibri" w:eastAsia="Calibri" w:hAnsi="Calibri"/>
          <w:b/>
          <w:bCs/>
          <w:color w:val="152A47"/>
          <w:sz w:val="40"/>
          <w:szCs w:val="40"/>
        </w:rPr>
        <w:t xml:space="preserve">for University Students</w:t>
      </w:r>
    </w:p>
    <w:p>
      <w:pPr>
        <w:spacing w:after="100"/>
      </w:pPr>
    </w:p>
    <w:p>
      <w:pPr>
        <w:spacing w:after="100"/>
        <w:jc w:val="center"/>
      </w:pPr>
      <w:r>
        <w:rPr>
          <w:rFonts w:ascii="Calibri" w:cs="Calibri" w:eastAsia="Calibri" w:hAnsi="Calibri"/>
          <w:b/>
          <w:bCs/>
          <w:color w:val="2E6DA4"/>
          <w:sz w:val="27"/>
          <w:szCs w:val="27"/>
        </w:rPr>
        <w:t xml:space="preserve">Local-First Architecture &amp; Full Implementation Plan</w:t>
      </w:r>
    </w:p>
    <w:p>
      <w:pPr>
        <w:spacing w:after="100"/>
        <w:jc w:val="center"/>
      </w:pPr>
      <w:r>
        <w:rPr>
          <w:rFonts w:ascii="Aptos" w:hAnsi="Aptos"/>
          <w:sz w:val="21"/>
        </w:rPr>
        <w:t>Updated for September 2026 · Enterprise-Grade · Local-First · Security-Aware · Built to Evolve</w:t>
      </w:r>
    </w:p>
    <w:p>
      <w:pPr>
        <w:spacing w:after="100"/>
      </w:pPr>
    </w:p>
    <w:p>
      <w:pPr>
        <w:spacing w:after="100"/>
        <w:jc w:val="center"/>
      </w:pPr>
      <w:r>
        <w:rPr>
          <w:rFonts w:ascii="Calibri" w:cs="Calibri" w:eastAsia="Calibri" w:hAnsi="Calibri"/>
          <w:i/>
          <w:iCs/>
          <w:color w:val="4A4A4A"/>
          <w:sz w:val="21"/>
          <w:szCs w:val="21"/>
        </w:rPr>
        <w:t xml:space="preserve">Auto-ingest via folder watch · Handwritten &amp; multi-format documents</w:t>
      </w:r>
    </w:p>
    <w:p>
      <w:pPr>
        <w:spacing w:after="100"/>
        <w:jc w:val="center"/>
      </w:pPr>
      <w:r>
        <w:rPr>
          <w:rFonts w:ascii="Calibri" w:cs="Calibri" w:eastAsia="Calibri" w:hAnsi="Calibri"/>
          <w:i/>
          <w:iCs/>
          <w:color w:val="4A4A4A"/>
          <w:sz w:val="21"/>
          <w:szCs w:val="21"/>
        </w:rPr>
        <w:t xml:space="preserve">Self-hosted LLM by default · OpenAI-format API as an optional fallback</w:t>
      </w:r>
    </w:p>
    <w:p>
      <w:pPr>
        <w:spacing w:after="100"/>
        <w:jc w:val="center"/>
      </w:pPr>
      <w:r>
        <w:rPr>
          <w:rFonts w:ascii="Calibri" w:cs="Calibri" w:eastAsia="Calibri" w:hAnsi="Calibri"/>
          <w:i/>
          <w:iCs/>
          <w:color w:val="4A4A4A"/>
          <w:sz w:val="21"/>
          <w:szCs w:val="21"/>
        </w:rPr>
        <w:t xml:space="preserve">Load-balanced, Redis-cached, Kubernetes-scaled, with DR &amp; cost governance for 1,00,000+ students</w:t>
      </w:r>
    </w:p>
    <w:p>
      <w:pPr>
        <w:spacing w:after="100"/>
      </w:pPr>
    </w:p>
    <w:p>
      <w:pPr>
        <w:spacing w:after="100"/>
        <w:jc w:val="center"/>
      </w:pPr>
      <w:r>
        <w:rPr>
          <w:rFonts w:ascii="Calibri" w:cs="Calibri" w:eastAsia="Calibri" w:hAnsi="Calibri"/>
          <w:color w:val="4A4A4A"/>
          <w:sz w:val="19"/>
          <w:szCs w:val="19"/>
        </w:rPr>
        <w:t xml:space="preserve">Prepared as a technical planning document</w:t>
      </w:r>
    </w:p>
    <w:p>
      <w:pPr>
        <w:spacing w:after="100"/>
        <w:jc w:val="center"/>
      </w:pPr>
      <w:r>
        <w:rPr>
          <w:rFonts w:ascii="Aptos" w:hAnsi="Aptos"/>
          <w:sz w:val="21"/>
        </w:rPr>
        <w:t>September 2026</w:t>
      </w:r>
    </w:p>
    <w:p>
      <w:pPr>
        <w:spacing w:after="100"/>
      </w:pPr>
      <w:r>
        <w:br w:type="page"/>
      </w:r>
    </w:p>
    <w:p>
      <w:pPr>
        <w:pStyle w:val="Heading1"/>
        <w:pBdr>
          <w:bottom w:val="single" w:color="2E6DA4" w:sz="8" w:space="4"/>
        </w:pBdr>
        <w:spacing w:after="100"/>
      </w:pPr>
      <w:r>
        <w:rPr>
          <w:rFonts w:ascii="Calibri" w:cs="Calibri" w:eastAsia="Calibri" w:hAnsi="Calibri"/>
          <w:b/>
          <w:bCs/>
          <w:color w:val="152A47"/>
          <w:sz w:val="34"/>
          <w:szCs w:val="34"/>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after="100"/>
      </w:pPr>
      <w:r>
        <w:br w:type="page"/>
      </w:r>
    </w:p>
    <w:p>
      <w:pPr>
        <w:pStyle w:val="Heading1"/>
        <w:pBdr>
          <w:bottom w:val="single" w:color="2E6DA4" w:sz="8" w:space="4"/>
        </w:pBdr>
        <w:spacing w:after="100" w:before="120"/>
      </w:pPr>
      <w:r>
        <w:rPr>
          <w:rFonts w:ascii="Calibri" w:cs="Calibri" w:eastAsia="Calibri" w:hAnsi="Calibri"/>
          <w:b/>
          <w:bCs/>
          <w:color w:val="152A47"/>
          <w:sz w:val="32"/>
          <w:szCs w:val="32"/>
        </w:rPr>
        <w:t xml:space="preserve">At a Glance</w:t>
      </w:r>
    </w:p>
    <w:p>
      <w:pPr>
        <w:spacing w:after="100"/>
      </w:pPr>
      <w:r>
        <w:rPr>
          <w:rFonts w:ascii="Calibri" w:cs="Calibri" w:eastAsia="Calibri" w:hAnsi="Calibri"/>
          <w:color w:val="4A4A4A"/>
          <w:sz w:val="20"/>
          <w:szCs w:val="20"/>
        </w:rPr>
        <w:t xml:space="preserve">The headline, for anyone who reads one page of this document before the meeting.</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04"/>
        <w:gridCol w:w="7056"/>
      </w:tblGrid>
      <w:tr>
        <w:trPr>
          <w:tblHeader/>
        </w:trPr>
        <w:tc>
          <w:tcPr>
            <w:tcW w:type="dxa" w:w="2304"/>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Category</w:t>
            </w:r>
          </w:p>
        </w:tc>
        <w:tc>
          <w:tcPr>
            <w:tcW w:type="dxa" w:w="7056"/>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Detail</w:t>
            </w:r>
          </w:p>
        </w:tc>
      </w:tr>
      <w:tr>
        <w:tc>
          <w:tcPr>
            <w:tcW w:type="dxa" w:w="23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What this is</w:t>
            </w:r>
          </w:p>
        </w:tc>
        <w:tc>
          <w:tcPr>
            <w:tcW w:type="dxa" w:w="7056"/>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A RAG API that answers student questions from university documents, built API-first and wired into the portal as a client afterward.</w:t>
            </w:r>
          </w:p>
        </w:tc>
      </w:tr>
      <w:tr>
        <w:tc>
          <w:tcPr>
            <w:tcW w:type="dxa" w:w="23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Scale target</w:t>
            </w:r>
          </w:p>
        </w:tc>
        <w:tc>
          <w:tcPr>
            <w:tcW w:type="dxa" w:w="7056"/>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1,00,000+ registered students; sized for ~5,000-8,000 realistic peak concurrent users (Section 3)</w:t>
            </w:r>
          </w:p>
        </w:tc>
      </w:tr>
      <w:tr>
        <w:tc>
          <w:tcPr>
            <w:tcW w:type="dxa" w:w="23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Architecture</w:t>
            </w:r>
          </w:p>
        </w:tc>
        <w:tc>
          <w:tcPr>
            <w:tcW w:type="dxa" w:w="7056"/>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Local-first: self-hosted LLM, embeddings, and OCR by default. A hosted OpenAI-format API exists only as an explicit, off-by-default fallback.</w:t>
            </w:r>
          </w:p>
        </w:tc>
      </w:tr>
      <w:tr>
        <w:tc>
          <w:tcPr>
            <w:tcW w:type="dxa" w:w="23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Ingestion</w:t>
            </w:r>
          </w:p>
        </w:tc>
        <w:tc>
          <w:tcPr>
            <w:tcW w:type="dxa" w:w="7056"/>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Automatic folder-watch (Phase 1) — point the admin UI at a folder once; new and updated files, including handwritten scans, are picked up and indexed on their own.</w:t>
            </w:r>
          </w:p>
        </w:tc>
      </w:tr>
      <w:tr>
        <w:tc>
          <w:tcPr>
            <w:tcW w:type="dxa" w:w="23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Interface</w:t>
            </w:r>
          </w:p>
        </w:tc>
        <w:tc>
          <w:tcPr>
            <w:tcW w:type="dxa" w:w="7056"/>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Versioned, OpenAI-compatible API (Phase 6), so any existing tool can integrate without custom glue code.</w:t>
            </w:r>
          </w:p>
        </w:tc>
      </w:tr>
      <w:tr>
        <w:tc>
          <w:tcPr>
            <w:tcW w:type="dxa" w:w="23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Hardened for</w:t>
            </w:r>
          </w:p>
        </w:tc>
        <w:tc>
          <w:tcPr>
            <w:tcW w:type="dxa" w:w="7056"/>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Security, speed, and stability as day-one concerns (Phase 19), not launch-day afterthoughts.</w:t>
            </w:r>
          </w:p>
        </w:tc>
      </w:tr>
      <w:tr>
        <w:tc>
          <w:tcPr>
            <w:tcW w:type="dxa" w:w="23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Document scope</w:t>
            </w:r>
          </w:p>
        </w:tc>
        <w:tc>
          <w:tcPr>
            <w:tcW w:type="dxa" w:w="7056"/>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Phases 0-19 (build), plus Phases 16-18 (forward-looking upgrades), a tech stack reference, a folder structure, a roadmap, and a glossary.</w:t>
            </w:r>
          </w:p>
        </w:tc>
      </w:tr>
    </w:tbl>
    <w:p>
      <w:pPr>
        <w:spacing w:after="100"/>
      </w:pPr>
    </w:p>
    <w:p>
      <w:pPr>
        <w:pStyle w:val="Heading2"/>
        <w:spacing w:after="100" w:before="160"/>
      </w:pPr>
      <w:r>
        <w:rPr>
          <w:rFonts w:ascii="Calibri" w:cs="Calibri" w:eastAsia="Calibri" w:hAnsi="Calibri"/>
          <w:b/>
          <w:bCs/>
          <w:color w:val="2E6DA4"/>
          <w:sz w:val="24"/>
          <w:szCs w:val="24"/>
        </w:rPr>
        <w:t xml:space="preserve">Five design principles behind every phase</w:t>
      </w:r>
    </w:p>
    <w:p>
      <w:pPr>
        <w:pStyle w:val="ListParagraph"/>
        <w:numPr>
          <w:ilvl w:val="0"/>
          <w:numId w:val="2"/>
        </w:numPr>
        <w:spacing w:after="100"/>
        <w:ind w:left="317" w:hanging="173"/>
      </w:pPr>
      <w:r>
        <w:rPr>
          <w:rFonts w:ascii="Calibri" w:cs="Calibri" w:eastAsia="Calibri" w:hAnsi="Calibri"/>
          <w:b/>
          <w:bCs/>
          <w:color w:val="4A4A4A"/>
          <w:sz w:val="20"/>
          <w:szCs w:val="20"/>
        </w:rPr>
        <w:t xml:space="preserve">Local-first, not local-only.</w:t>
      </w:r>
      <w:r>
        <w:rPr>
          <w:rFonts w:ascii="Calibri" w:cs="Calibri" w:eastAsia="Calibri" w:hAnsi="Calibri"/>
          <w:color w:val="4A4A4A"/>
          <w:sz w:val="20"/>
          <w:szCs w:val="20"/>
        </w:rPr>
        <w:t xml:space="preserve"> Self-hosted by default; hosted APIs are a config toggle, never a dependency.</w:t>
      </w:r>
    </w:p>
    <w:p>
      <w:pPr>
        <w:pStyle w:val="ListParagraph"/>
        <w:numPr>
          <w:ilvl w:val="0"/>
          <w:numId w:val="2"/>
        </w:numPr>
        <w:spacing w:after="100"/>
        <w:ind w:left="317" w:hanging="173"/>
      </w:pPr>
      <w:r>
        <w:rPr>
          <w:rFonts w:ascii="Calibri" w:cs="Calibri" w:eastAsia="Calibri" w:hAnsi="Calibri"/>
          <w:b/>
          <w:bCs/>
          <w:color w:val="4A4A4A"/>
          <w:sz w:val="20"/>
          <w:szCs w:val="20"/>
        </w:rPr>
        <w:t xml:space="preserve">Point at a folder, not a file.</w:t>
      </w:r>
      <w:r>
        <w:rPr>
          <w:rFonts w:ascii="Calibri" w:cs="Calibri" w:eastAsia="Calibri" w:hAnsi="Calibri"/>
          <w:color w:val="4A4A4A"/>
          <w:sz w:val="20"/>
          <w:szCs w:val="20"/>
        </w:rPr>
        <w:t xml:space="preserve"> Ingestion is automatic and continuous, not a manual upload queue.</w:t>
      </w:r>
    </w:p>
    <w:p>
      <w:pPr>
        <w:pStyle w:val="ListParagraph"/>
        <w:numPr>
          <w:ilvl w:val="0"/>
          <w:numId w:val="2"/>
        </w:numPr>
        <w:spacing w:after="100"/>
        <w:ind w:left="317" w:hanging="173"/>
      </w:pPr>
      <w:r>
        <w:rPr>
          <w:rFonts w:ascii="Calibri" w:cs="Calibri" w:eastAsia="Calibri" w:hAnsi="Calibri"/>
          <w:b/>
          <w:bCs/>
          <w:color w:val="4A4A4A"/>
          <w:sz w:val="20"/>
          <w:szCs w:val="20"/>
        </w:rPr>
        <w:t xml:space="preserve">Build the API before the portal.</w:t>
      </w:r>
      <w:r>
        <w:rPr>
          <w:rFonts w:ascii="Calibri" w:cs="Calibri" w:eastAsia="Calibri" w:hAnsi="Calibri"/>
          <w:color w:val="4A4A4A"/>
          <w:sz w:val="20"/>
          <w:szCs w:val="20"/>
        </w:rPr>
        <w:t xml:space="preserve"> A standalone, versioned, testable product — not a script wired into someone else's codebase.</w:t>
      </w:r>
    </w:p>
    <w:p>
      <w:pPr>
        <w:pStyle w:val="ListParagraph"/>
        <w:numPr>
          <w:ilvl w:val="0"/>
          <w:numId w:val="2"/>
        </w:numPr>
        <w:spacing w:after="100"/>
        <w:ind w:left="317" w:hanging="173"/>
      </w:pPr>
      <w:r>
        <w:rPr>
          <w:rFonts w:ascii="Calibri" w:cs="Calibri" w:eastAsia="Calibri" w:hAnsi="Calibri"/>
          <w:b/>
          <w:bCs/>
          <w:color w:val="4A4A4A"/>
          <w:sz w:val="20"/>
          <w:szCs w:val="20"/>
        </w:rPr>
        <w:t xml:space="preserve">Security, speed, and stability are launch requirements.</w:t>
      </w:r>
      <w:r>
        <w:rPr>
          <w:rFonts w:ascii="Calibri" w:cs="Calibri" w:eastAsia="Calibri" w:hAnsi="Calibri"/>
          <w:color w:val="4A4A4A"/>
          <w:sz w:val="20"/>
          <w:szCs w:val="20"/>
        </w:rPr>
        <w:t xml:space="preserve"> Not a hardening pass scheduled for "later."</w:t>
      </w:r>
    </w:p>
    <w:p>
      <w:pPr>
        <w:pStyle w:val="ListParagraph"/>
        <w:numPr>
          <w:ilvl w:val="0"/>
          <w:numId w:val="2"/>
        </w:numPr>
        <w:spacing w:after="100"/>
        <w:ind w:left="317" w:hanging="173"/>
      </w:pPr>
      <w:r>
        <w:rPr>
          <w:rFonts w:ascii="Aptos" w:hAnsi="Aptos"/>
          <w:sz w:val="21"/>
        </w:rPr>
        <w:t>Every swappable choice stays swappable. Model aliases, parser routes, embedding models, rerankers, OCR/VLM engines and gateways are configuration-driven and resolved through a model/component registry. Exact checkpoints and library versions are pinned for reproducibility but can be replaced without rewriting the application.</w:t>
      </w:r>
    </w:p>
    <w:p>
      <w:pPr>
        <w:spacing w:after="100"/>
      </w:pPr>
    </w:p>
    <w:p>
      <w:pPr>
        <w:pStyle w:val="Heading2"/>
        <w:spacing w:after="100" w:before="160"/>
      </w:pPr>
      <w:r>
        <w:rPr>
          <w:rFonts w:ascii="Calibri" w:cs="Calibri" w:eastAsia="Calibri" w:hAnsi="Calibri"/>
          <w:b/>
          <w:bCs/>
          <w:color w:val="2E6DA4"/>
          <w:sz w:val="24"/>
          <w:szCs w:val="24"/>
        </w:rPr>
        <w:t xml:space="preserve">How to read this, depending on who you are</w:t>
      </w:r>
    </w:p>
    <w:p>
      <w:pPr>
        <w:pStyle w:val="ListParagraph"/>
        <w:numPr>
          <w:ilvl w:val="0"/>
          <w:numId w:val="2"/>
        </w:numPr>
        <w:spacing w:after="100"/>
        <w:ind w:left="317" w:hanging="173"/>
      </w:pPr>
      <w:r>
        <w:rPr>
          <w:rFonts w:ascii="Calibri" w:cs="Calibri" w:eastAsia="Calibri" w:hAnsi="Calibri"/>
          <w:b/>
          <w:bCs/>
          <w:color w:val="4A4A4A"/>
          <w:sz w:val="20"/>
          <w:szCs w:val="20"/>
        </w:rPr>
        <w:t xml:space="preserve">University IT leadership:</w:t>
      </w:r>
      <w:r>
        <w:rPr>
          <w:rFonts w:ascii="Calibri" w:cs="Calibri" w:eastAsia="Calibri" w:hAnsi="Calibri"/>
          <w:color w:val="4A4A4A"/>
          <w:sz w:val="20"/>
          <w:szCs w:val="20"/>
        </w:rPr>
        <w:t xml:space="preserve"> Sections 1-3, then Phase 17 (reliability, cost, DR) and Phase 19 (security posture).</w:t>
      </w:r>
    </w:p>
    <w:p>
      <w:pPr>
        <w:pStyle w:val="ListParagraph"/>
        <w:numPr>
          <w:ilvl w:val="0"/>
          <w:numId w:val="2"/>
        </w:numPr>
        <w:spacing w:after="100"/>
        <w:ind w:left="317" w:hanging="173"/>
      </w:pPr>
      <w:r>
        <w:rPr>
          <w:rFonts w:ascii="Calibri" w:cs="Calibri" w:eastAsia="Calibri" w:hAnsi="Calibri"/>
          <w:b/>
          <w:bCs/>
          <w:color w:val="4A4A4A"/>
          <w:sz w:val="20"/>
          <w:szCs w:val="20"/>
        </w:rPr>
        <w:t xml:space="preserve">Engineers building it:</w:t>
      </w:r>
      <w:r>
        <w:rPr>
          <w:rFonts w:ascii="Calibri" w:cs="Calibri" w:eastAsia="Calibri" w:hAnsi="Calibri"/>
          <w:color w:val="4A4A4A"/>
          <w:sz w:val="20"/>
          <w:szCs w:val="20"/>
        </w:rPr>
        <w:t xml:space="preserve"> Phases 0-15 in order — that's the full build sequence, MVP through production.</w:t>
      </w:r>
    </w:p>
    <w:p>
      <w:pPr>
        <w:pStyle w:val="ListParagraph"/>
        <w:numPr>
          <w:ilvl w:val="0"/>
          <w:numId w:val="2"/>
        </w:numPr>
        <w:spacing w:after="100"/>
        <w:ind w:left="317" w:hanging="173"/>
      </w:pPr>
      <w:r>
        <w:rPr>
          <w:rFonts w:ascii="Calibri" w:cs="Calibri" w:eastAsia="Calibri" w:hAnsi="Calibri"/>
          <w:b/>
          <w:bCs/>
          <w:color w:val="4A4A4A"/>
          <w:sz w:val="20"/>
          <w:szCs w:val="20"/>
        </w:rPr>
        <w:t xml:space="preserve">Security or compliance review:</w:t>
      </w:r>
      <w:r>
        <w:rPr>
          <w:rFonts w:ascii="Calibri" w:cs="Calibri" w:eastAsia="Calibri" w:hAnsi="Calibri"/>
          <w:color w:val="4A4A4A"/>
          <w:sz w:val="20"/>
          <w:szCs w:val="20"/>
        </w:rPr>
        <w:t xml:space="preserve"> Phase 13 (compliance), Phase 19 (RAG-specific attack surface), and the security items in Phase 17.</w:t>
      </w:r>
    </w:p>
    <w:p>
      <w:pPr>
        <w:pStyle w:val="ListParagraph"/>
        <w:numPr>
          <w:ilvl w:val="0"/>
          <w:numId w:val="2"/>
        </w:numPr>
        <w:spacing w:after="100"/>
        <w:ind w:left="317" w:hanging="173"/>
      </w:pPr>
      <w:r>
        <w:rPr>
          <w:rFonts w:ascii="Calibri" w:cs="Calibri" w:eastAsia="Calibri" w:hAnsi="Calibri"/>
          <w:b/>
          <w:bCs/>
          <w:color w:val="4A4A4A"/>
          <w:sz w:val="20"/>
          <w:szCs w:val="20"/>
        </w:rPr>
        <w:t xml:space="preserve">Just want the tech choices:</w:t>
      </w:r>
      <w:r>
        <w:rPr>
          <w:rFonts w:ascii="Calibri" w:cs="Calibri" w:eastAsia="Calibri" w:hAnsi="Calibri"/>
          <w:color w:val="4A4A4A"/>
          <w:sz w:val="20"/>
          <w:szCs w:val="20"/>
        </w:rPr>
        <w:t xml:space="preserve"> Section 25 (Tech Stack) and Section 26 (Folder Structure).</w:t>
      </w:r>
    </w:p>
    <w:p>
      <w:pPr>
        <w:pStyle w:val="ListParagraph"/>
        <w:numPr>
          <w:ilvl w:val="0"/>
          <w:numId w:val="2"/>
        </w:numPr>
        <w:spacing w:after="100"/>
        <w:ind w:left="317" w:hanging="173"/>
      </w:pPr>
      <w:r>
        <w:rPr>
          <w:rFonts w:ascii="Calibri" w:cs="Calibri" w:eastAsia="Calibri" w:hAnsi="Calibri"/>
          <w:b/>
          <w:bCs/>
          <w:color w:val="4A4A4A"/>
          <w:sz w:val="20"/>
          <w:szCs w:val="20"/>
        </w:rPr>
        <w:t xml:space="preserve">Unfamiliar with a term:</w:t>
      </w:r>
      <w:r>
        <w:rPr>
          <w:rFonts w:ascii="Calibri" w:cs="Calibri" w:eastAsia="Calibri" w:hAnsi="Calibri"/>
          <w:color w:val="4A4A4A"/>
          <w:sz w:val="20"/>
          <w:szCs w:val="20"/>
        </w:rPr>
        <w:t xml:space="preserve"> the Glossary at the very end defines every acronym used in this document.</w:t>
      </w:r>
    </w:p>
    <w:p>
      <w:pPr>
        <w:spacing w:after="100"/>
      </w:pPr>
    </w:p>
    <w:p>
      <w:pPr>
        <w:spacing w:after="100"/>
      </w:pPr>
      <w:r>
        <w:br w:type="page"/>
      </w:r>
    </w:p>
    <w:p>
      <w:pPr>
        <w:pStyle w:val="Heading1"/>
        <w:pBdr>
          <w:bottom w:val="single" w:color="2E6DA4" w:sz="8" w:space="4"/>
        </w:pBdr>
        <w:spacing w:after="100" w:before="120"/>
      </w:pPr>
      <w:r>
        <w:rPr>
          <w:rFonts w:ascii="Calibri" w:cs="Calibri" w:eastAsia="Calibri" w:hAnsi="Calibri"/>
          <w:b/>
          <w:bCs/>
          <w:color w:val="152A47"/>
          <w:sz w:val="32"/>
          <w:szCs w:val="32"/>
        </w:rPr>
        <w:t xml:space="preserve">1. Executive Summary</w:t>
      </w:r>
    </w:p>
    <w:p>
      <w:pPr>
        <w:spacing w:after="100"/>
      </w:pPr>
      <w:r>
        <w:rPr>
          <w:rFonts w:ascii="Calibri" w:cs="Calibri" w:eastAsia="Calibri" w:hAnsi="Calibri"/>
          <w:color w:val="4A4A4A"/>
          <w:sz w:val="20"/>
          <w:szCs w:val="20"/>
        </w:rPr>
        <w:t xml:space="preserve">You want to turn a stack of PDFs — old handwritten notes, printed material, and newer born-digital files — into a question-answering system that lakhs of students can use through your university portal, running primarily on your own local infrastructure. The right way to build this is API-first, backed by a local-first stack: build and harden a standalone RAG API on self-hosted models, prove it works, then wire it into the portal as a client. This document lays out that build in full: automatic folder-watch ingestion (point the admin UI at a folder and everything inside it is picked up and indexed on its own — including handwritten OCR), retrieval, a local-first LLM layer where OpenAI-format APIs are available only as an optional, disableable fallback, the core API itself, and the enterprise plumbing around it — Redis caching, load balancing, Kubernetes autoscaling, an admin web UI, auth, monitoring, and security.</w:t>
      </w:r>
    </w:p>
    <w:p>
      <w:pPr>
        <w:spacing w:after="100"/>
      </w:pPr>
      <w:r>
        <w:rPr>
          <w:rFonts w:ascii="Aptos" w:hAnsi="Aptos"/>
          <w:sz w:val="21"/>
        </w:rPr>
        <w:t>This September 2026 edition refreshes the implementation baseline without changing the core local-first architecture. It corrects query-time dense retrieval, moves multilingual retrieval into the core build, upgrades embeddings and reranking to the Qwen3 Embedding/Reranker family, adopts Qdrant as the primary vector engine with authorization-aware payload filtering, introduces parser routing across OpenDataLoader, Docling, PaddleOCR/PP-OCRv6 and PaddleOCR-VL, separates Ollama development convenience from vLLM production serving, adds OpenTelemetry and self-hosted Phoenix for GenAI tracing/evaluation, and adds immutable document versioning, quarantine, authorization-aware semantic caching, citation verification and explicit abstention when evidence is insufficient.</w:t>
      </w:r>
    </w:p>
    <w:p>
      <w:pPr>
        <w:spacing w:after="100"/>
      </w:pPr>
      <w:r>
        <w:rPr>
          <w:rFonts w:ascii="Calibri" w:cs="Calibri" w:eastAsia="Calibri" w:hAnsi="Calibri"/>
          <w:color w:val="4A4A4A"/>
          <w:sz w:val="20"/>
          <w:szCs w:val="20"/>
        </w:rPr>
        <w:t xml:space="preserve">This plan extends the six-layer RAG-at-scale architecture (ingestion → embedding → hybrid retrieval → reranking → context assembly → caching/observability) into a university-specific, production-grade, local-first system with the additions your use case specifically needs: a folder-watch ingestion pipeline so documents are picked up automatically instead of uploaded one file at a time, a handwriting-aware OCR pipeline that runs entirely on your own infrastructure by default, a local-first LLM router where self-hosted models are the default and any hosted API is an explicit, disableable opt-in, and the operational layer — load balancer, GPU-aware Kubernetes autoscaling, SSO, monitoring, disaster recovery, and cost governance — needed to actually serve 1,00,000+ students reliably, today and as the stack evolves.</w:t>
      </w:r>
    </w:p>
    <w:p>
      <w:pPr>
        <w:pStyle w:val="Heading1"/>
        <w:pBdr>
          <w:bottom w:val="single" w:color="2E6DA4" w:sz="8" w:space="4"/>
        </w:pBdr>
        <w:spacing w:after="100" w:before="120"/>
      </w:pPr>
      <w:r>
        <w:rPr>
          <w:rFonts w:ascii="Calibri" w:cs="Calibri" w:eastAsia="Calibri" w:hAnsi="Calibri"/>
          <w:b/>
          <w:bCs/>
          <w:color w:val="152A47"/>
          <w:sz w:val="32"/>
          <w:szCs w:val="32"/>
        </w:rPr>
        <w:t xml:space="preserve">2. Scope, Inputs &amp; Key Constraints</w:t>
      </w:r>
    </w:p>
    <w:p>
      <w:pPr>
        <w:pStyle w:val="Heading2"/>
        <w:spacing w:after="100" w:before="160"/>
      </w:pPr>
      <w:r>
        <w:rPr>
          <w:rFonts w:ascii="Calibri" w:cs="Calibri" w:eastAsia="Calibri" w:hAnsi="Calibri"/>
          <w:b/>
          <w:bCs/>
          <w:color w:val="2E6DA4"/>
          <w:sz w:val="24"/>
          <w:szCs w:val="24"/>
        </w:rPr>
        <w:t xml:space="preserve">What you told us</w:t>
      </w:r>
    </w:p>
    <w:p>
      <w:pPr>
        <w:pStyle w:val="ListParagraph"/>
        <w:numPr>
          <w:ilvl w:val="0"/>
          <w:numId w:val="2"/>
        </w:numPr>
        <w:spacing w:after="100"/>
        <w:ind w:left="317" w:hanging="173"/>
      </w:pPr>
      <w:r>
        <w:rPr>
          <w:rFonts w:ascii="Calibri" w:cs="Calibri" w:eastAsia="Calibri" w:hAnsi="Calibri"/>
          <w:color w:val="4A4A4A"/>
          <w:sz w:val="20"/>
          <w:szCs w:val="20"/>
        </w:rPr>
        <w:t xml:space="preserve">Build the </w:t>
      </w:r>
      <w:r>
        <w:rPr>
          <w:rFonts w:ascii="Calibri" w:cs="Calibri" w:eastAsia="Calibri" w:hAnsi="Calibri"/>
          <w:b/>
          <w:bCs/>
          <w:color w:val="4A4A4A"/>
          <w:sz w:val="20"/>
          <w:szCs w:val="20"/>
        </w:rPr>
        <w:t xml:space="preserve">API first</w:t>
      </w:r>
      <w:r>
        <w:rPr>
          <w:rFonts w:ascii="Calibri" w:cs="Calibri" w:eastAsia="Calibri" w:hAnsi="Calibri"/>
          <w:color w:val="4A4A4A"/>
          <w:sz w:val="20"/>
          <w:szCs w:val="20"/>
        </w:rPr>
        <w:t xml:space="preserve">, running on a local, self-hosted stack; the university portal integrates with it afterward as a client.</w:t>
      </w:r>
    </w:p>
    <w:p>
      <w:pPr>
        <w:pStyle w:val="ListParagraph"/>
        <w:numPr>
          <w:ilvl w:val="0"/>
          <w:numId w:val="2"/>
        </w:numPr>
        <w:spacing w:after="100"/>
        <w:ind w:left="317" w:hanging="173"/>
      </w:pPr>
      <w:r>
        <w:rPr>
          <w:rFonts w:ascii="Calibri" w:cs="Calibri" w:eastAsia="Calibri" w:hAnsi="Calibri"/>
          <w:color w:val="4A4A4A"/>
          <w:sz w:val="20"/>
          <w:szCs w:val="20"/>
        </w:rPr>
        <w:t xml:space="preserve">The system must be </w:t>
      </w:r>
      <w:r>
        <w:rPr>
          <w:rFonts w:ascii="Calibri" w:cs="Calibri" w:eastAsia="Calibri" w:hAnsi="Calibri"/>
          <w:b/>
          <w:bCs/>
          <w:color w:val="4A4A4A"/>
          <w:sz w:val="20"/>
          <w:szCs w:val="20"/>
        </w:rPr>
        <w:t xml:space="preserve">local-first</w:t>
      </w:r>
      <w:r>
        <w:rPr>
          <w:rFonts w:ascii="Calibri" w:cs="Calibri" w:eastAsia="Calibri" w:hAnsi="Calibri"/>
          <w:color w:val="4A4A4A"/>
          <w:sz w:val="20"/>
          <w:szCs w:val="20"/>
        </w:rPr>
        <w:t xml:space="preserve">: local LLM, local embeddings, and local OCR are the default — everything runs fully on-premise, without sending student data or documents to any external service.</w:t>
      </w:r>
    </w:p>
    <w:p>
      <w:pPr>
        <w:pStyle w:val="ListParagraph"/>
        <w:numPr>
          <w:ilvl w:val="0"/>
          <w:numId w:val="2"/>
        </w:numPr>
        <w:spacing w:after="100"/>
        <w:ind w:left="317" w:hanging="173"/>
      </w:pPr>
      <w:r>
        <w:rPr>
          <w:rFonts w:ascii="Calibri" w:cs="Calibri" w:eastAsia="Calibri" w:hAnsi="Calibri"/>
          <w:color w:val="4A4A4A"/>
          <w:sz w:val="20"/>
          <w:szCs w:val="20"/>
        </w:rPr>
        <w:t xml:space="preserve">OpenAI-format hosted APIs are supported only as an </w:t>
      </w:r>
      <w:r>
        <w:rPr>
          <w:rFonts w:ascii="Calibri" w:cs="Calibri" w:eastAsia="Calibri" w:hAnsi="Calibri"/>
          <w:b/>
          <w:bCs/>
          <w:color w:val="4A4A4A"/>
          <w:sz w:val="20"/>
          <w:szCs w:val="20"/>
        </w:rPr>
        <w:t xml:space="preserve">optional, disabled-by-default fallback</w:t>
      </w:r>
      <w:r>
        <w:rPr>
          <w:rFonts w:ascii="Calibri" w:cs="Calibri" w:eastAsia="Calibri" w:hAnsi="Calibri"/>
          <w:color w:val="4A4A4A"/>
          <w:sz w:val="20"/>
          <w:szCs w:val="20"/>
        </w:rPr>
        <w:t xml:space="preserve"> — never a requirement.</w:t>
      </w:r>
    </w:p>
    <w:p>
      <w:pPr>
        <w:pStyle w:val="ListParagraph"/>
        <w:numPr>
          <w:ilvl w:val="0"/>
          <w:numId w:val="2"/>
        </w:numPr>
        <w:spacing w:after="100"/>
        <w:ind w:left="317" w:hanging="173"/>
      </w:pPr>
      <w:r>
        <w:rPr>
          <w:rFonts w:ascii="Calibri" w:cs="Calibri" w:eastAsia="Calibri" w:hAnsi="Calibri"/>
          <w:color w:val="4A4A4A"/>
          <w:sz w:val="20"/>
          <w:szCs w:val="20"/>
        </w:rPr>
        <w:t xml:space="preserve">Ingestion must be </w:t>
      </w:r>
      <w:r>
        <w:rPr>
          <w:rFonts w:ascii="Calibri" w:cs="Calibri" w:eastAsia="Calibri" w:hAnsi="Calibri"/>
          <w:b/>
          <w:bCs/>
          <w:color w:val="4A4A4A"/>
          <w:sz w:val="20"/>
          <w:szCs w:val="20"/>
        </w:rPr>
        <w:t xml:space="preserve">folder-based and automatic</w:t>
      </w:r>
      <w:r>
        <w:rPr>
          <w:rFonts w:ascii="Calibri" w:cs="Calibri" w:eastAsia="Calibri" w:hAnsi="Calibri"/>
          <w:color w:val="4A4A4A"/>
          <w:sz w:val="20"/>
          <w:szCs w:val="20"/>
        </w:rPr>
        <w:t xml:space="preserve">: the admin selects a folder from the UI, and every document inside it (including subfolders) is detected and indexed automatically — no manual per-file upload.</w:t>
      </w:r>
    </w:p>
    <w:p>
      <w:pPr>
        <w:pStyle w:val="ListParagraph"/>
        <w:numPr>
          <w:ilvl w:val="0"/>
          <w:numId w:val="2"/>
        </w:numPr>
        <w:spacing w:after="100"/>
        <w:ind w:left="317" w:hanging="173"/>
      </w:pPr>
      <w:r>
        <w:rPr>
          <w:rFonts w:ascii="Calibri" w:cs="Calibri" w:eastAsia="Calibri" w:hAnsi="Calibri"/>
          <w:color w:val="4A4A4A"/>
          <w:sz w:val="20"/>
          <w:szCs w:val="20"/>
        </w:rPr>
        <w:t xml:space="preserve">Source material is </w:t>
      </w:r>
      <w:r>
        <w:rPr>
          <w:rFonts w:ascii="Calibri" w:cs="Calibri" w:eastAsia="Calibri" w:hAnsi="Calibri"/>
          <w:b/>
          <w:bCs/>
          <w:color w:val="4A4A4A"/>
          <w:sz w:val="20"/>
          <w:szCs w:val="20"/>
        </w:rPr>
        <w:t xml:space="preserve">mixed</w:t>
      </w:r>
      <w:r>
        <w:rPr>
          <w:rFonts w:ascii="Calibri" w:cs="Calibri" w:eastAsia="Calibri" w:hAnsi="Calibri"/>
          <w:color w:val="4A4A4A"/>
          <w:sz w:val="20"/>
          <w:szCs w:val="20"/>
        </w:rPr>
        <w:t xml:space="preserve">: old handwritten scanned notes, older printed PDFs, and newer born-digital PDFs (possibly other formats too).</w:t>
      </w:r>
    </w:p>
    <w:p>
      <w:pPr>
        <w:pStyle w:val="ListParagraph"/>
        <w:numPr>
          <w:ilvl w:val="0"/>
          <w:numId w:val="2"/>
        </w:numPr>
        <w:spacing w:after="100"/>
        <w:ind w:left="317" w:hanging="173"/>
      </w:pPr>
      <w:r>
        <w:rPr>
          <w:rFonts w:ascii="Calibri" w:cs="Calibri" w:eastAsia="Calibri" w:hAnsi="Calibri"/>
          <w:color w:val="4A4A4A"/>
          <w:sz w:val="20"/>
          <w:szCs w:val="20"/>
        </w:rPr>
        <w:t xml:space="preserve">Must serve on the order of </w:t>
      </w:r>
      <w:r>
        <w:rPr>
          <w:rFonts w:ascii="Calibri" w:cs="Calibri" w:eastAsia="Calibri" w:hAnsi="Calibri"/>
          <w:b/>
          <w:bCs/>
          <w:color w:val="4A4A4A"/>
          <w:sz w:val="20"/>
          <w:szCs w:val="20"/>
        </w:rPr>
        <w:t xml:space="preserve">1,00,000 students</w:t>
      </w:r>
      <w:r>
        <w:rPr>
          <w:rFonts w:ascii="Calibri" w:cs="Calibri" w:eastAsia="Calibri" w:hAnsi="Calibri"/>
          <w:color w:val="4A4A4A"/>
          <w:sz w:val="20"/>
          <w:szCs w:val="20"/>
        </w:rPr>
        <w:t xml:space="preserve"> (a lakh) — not a prototype.</w:t>
      </w:r>
    </w:p>
    <w:p>
      <w:pPr>
        <w:pStyle w:val="ListParagraph"/>
        <w:numPr>
          <w:ilvl w:val="0"/>
          <w:numId w:val="2"/>
        </w:numPr>
        <w:spacing w:after="100"/>
        <w:ind w:left="317" w:hanging="173"/>
      </w:pPr>
      <w:r>
        <w:rPr>
          <w:rFonts w:ascii="Calibri" w:cs="Calibri" w:eastAsia="Calibri" w:hAnsi="Calibri"/>
          <w:color w:val="4A4A4A"/>
          <w:sz w:val="20"/>
          <w:szCs w:val="20"/>
        </w:rPr>
        <w:t xml:space="preserve">Needs a </w:t>
      </w:r>
      <w:r>
        <w:rPr>
          <w:rFonts w:ascii="Calibri" w:cs="Calibri" w:eastAsia="Calibri" w:hAnsi="Calibri"/>
          <w:b/>
          <w:bCs/>
          <w:color w:val="4A4A4A"/>
          <w:sz w:val="20"/>
          <w:szCs w:val="20"/>
        </w:rPr>
        <w:t xml:space="preserve">web UI</w:t>
      </w:r>
      <w:r>
        <w:rPr>
          <w:rFonts w:ascii="Calibri" w:cs="Calibri" w:eastAsia="Calibri" w:hAnsi="Calibri"/>
          <w:color w:val="4A4A4A"/>
          <w:sz w:val="20"/>
          <w:szCs w:val="20"/>
        </w:rPr>
        <w:t xml:space="preserve"> for management, not just a backend script.</w:t>
      </w:r>
    </w:p>
    <w:p>
      <w:pPr>
        <w:pStyle w:val="ListParagraph"/>
        <w:numPr>
          <w:ilvl w:val="0"/>
          <w:numId w:val="2"/>
        </w:numPr>
        <w:spacing w:after="100"/>
        <w:ind w:left="317" w:hanging="173"/>
      </w:pPr>
      <w:r>
        <w:rPr>
          <w:rFonts w:ascii="Calibri" w:cs="Calibri" w:eastAsia="Calibri" w:hAnsi="Calibri"/>
          <w:color w:val="4A4A4A"/>
          <w:sz w:val="20"/>
          <w:szCs w:val="20"/>
        </w:rPr>
        <w:t xml:space="preserve">Must include real enterprise infrastructure: </w:t>
      </w:r>
      <w:r>
        <w:rPr>
          <w:rFonts w:ascii="Calibri" w:cs="Calibri" w:eastAsia="Calibri" w:hAnsi="Calibri"/>
          <w:b/>
          <w:bCs/>
          <w:color w:val="4A4A4A"/>
          <w:sz w:val="20"/>
          <w:szCs w:val="20"/>
        </w:rPr>
        <w:t xml:space="preserve">load balancing and Redis caching</w:t>
      </w:r>
      <w:r>
        <w:rPr>
          <w:rFonts w:ascii="Calibri" w:cs="Calibri" w:eastAsia="Calibri" w:hAnsi="Calibri"/>
          <w:color w:val="4A4A4A"/>
          <w:sz w:val="20"/>
          <w:szCs w:val="20"/>
        </w:rPr>
        <w:t xml:space="preserve"> at minimum.</w:t>
      </w:r>
    </w:p>
    <w:p>
      <w:pPr>
        <w:spacing w:after="100"/>
      </w:pPr>
    </w:p>
    <w:p>
      <w:pPr>
        <w:pStyle w:val="Heading2"/>
        <w:spacing w:after="100" w:before="160"/>
      </w:pPr>
      <w:r>
        <w:rPr>
          <w:rFonts w:ascii="Calibri" w:cs="Calibri" w:eastAsia="Calibri" w:hAnsi="Calibri"/>
          <w:b/>
          <w:bCs/>
          <w:color w:val="2E6DA4"/>
          <w:sz w:val="24"/>
          <w:szCs w:val="24"/>
        </w:rPr>
        <w:t xml:space="preserve">Two important framing decisions</w:t>
      </w:r>
    </w:p>
    <w:p>
      <w:pPr>
        <w:pStyle w:val="ListParagraph"/>
        <w:numPr>
          <w:ilvl w:val="0"/>
          <w:numId w:val="2"/>
        </w:numPr>
        <w:spacing w:after="100"/>
        <w:ind w:left="317" w:hanging="173"/>
      </w:pPr>
      <w:r>
        <w:rPr>
          <w:rFonts w:ascii="Calibri" w:cs="Calibri" w:eastAsia="Calibri" w:hAnsi="Calibri"/>
          <w:b/>
          <w:bCs/>
          <w:color w:val="4A4A4A"/>
          <w:sz w:val="20"/>
          <w:szCs w:val="20"/>
        </w:rPr>
        <w:t xml:space="preserve">Registered users vs. concurrent users.</w:t>
      </w:r>
      <w:r>
        <w:rPr>
          <w:rFonts w:ascii="Calibri" w:cs="Calibri" w:eastAsia="Calibri" w:hAnsi="Calibri"/>
          <w:color w:val="4A4A4A"/>
          <w:sz w:val="20"/>
          <w:szCs w:val="20"/>
        </w:rPr>
        <w:t xml:space="preserve"> 1,00,000 students will never all query at the exact same second. The system must be sized for realistic peak concurrency (Section 3), not the full headcount — this is the single biggest factor in keeping infrastructure cost sane.</w:t>
      </w:r>
    </w:p>
    <w:p>
      <w:pPr>
        <w:pStyle w:val="ListParagraph"/>
        <w:numPr>
          <w:ilvl w:val="0"/>
          <w:numId w:val="2"/>
        </w:numPr>
        <w:spacing w:after="100"/>
        <w:ind w:left="317" w:hanging="173"/>
      </w:pPr>
      <w:r>
        <w:rPr>
          <w:rFonts w:ascii="Calibri" w:cs="Calibri" w:eastAsia="Calibri" w:hAnsi="Calibri"/>
          <w:b/>
          <w:bCs/>
          <w:color w:val="4A4A4A"/>
          <w:sz w:val="20"/>
          <w:szCs w:val="20"/>
        </w:rPr>
        <w:t xml:space="preserve">Handwriting OCR is the hardest technical risk in this project</w:t>
      </w:r>
      <w:r>
        <w:rPr>
          <w:rFonts w:ascii="Calibri" w:cs="Calibri" w:eastAsia="Calibri" w:hAnsi="Calibri"/>
          <w:color w:val="4A4A4A"/>
          <w:sz w:val="20"/>
          <w:szCs w:val="20"/>
        </w:rPr>
        <w:t xml:space="preserve">, not the LLM or the API. Plain OCR engines (Tesseract) were built for printed text and perform poorly on handwriting. Budget real time for this piece — it determines the quality ceiling of every answer downstream, and this plan keeps it local by default (Section 6).</w:t>
      </w:r>
    </w:p>
    <w:p>
      <w:pPr>
        <w:pStyle w:val="ListParagraph"/>
        <w:numPr>
          <w:ilvl w:val="0"/>
          <w:numId w:val="2"/>
        </w:numPr>
        <w:spacing w:after="100"/>
        <w:ind w:left="317" w:hanging="173"/>
      </w:pPr>
      <w:r>
        <w:rPr>
          <w:rFonts w:ascii="Calibri" w:cs="Calibri" w:eastAsia="Calibri" w:hAnsi="Calibri"/>
          <w:b/>
          <w:bCs/>
          <w:color w:val="4A4A4A"/>
          <w:sz w:val="20"/>
          <w:szCs w:val="20"/>
        </w:rPr>
        <w:t xml:space="preserve">Going local-first shifts the real bottleneck to your own GPU capacity.</w:t>
      </w:r>
      <w:r>
        <w:rPr>
          <w:rFonts w:ascii="Calibri" w:cs="Calibri" w:eastAsia="Calibri" w:hAnsi="Calibri"/>
          <w:color w:val="4A4A4A"/>
          <w:sz w:val="20"/>
          <w:szCs w:val="20"/>
        </w:rPr>
        <w:t xml:space="preserve"> There's no hosted API quietly absorbing load anymore — the number and size of GPUs you run determines how many students can be answered at once. Size this deliberately (Section 3, Section 10) rather than discovering the limit during an exam-week spike.</w:t>
      </w:r>
    </w:p>
    <w:p>
      <w:pPr>
        <w:spacing w:after="100"/>
      </w:pPr>
    </w:p>
    <w:p>
      <w:pPr>
        <w:pStyle w:val="Heading1"/>
        <w:pBdr>
          <w:bottom w:val="single" w:color="2E6DA4" w:sz="8" w:space="4"/>
        </w:pBdr>
        <w:spacing w:after="100" w:before="120"/>
      </w:pPr>
      <w:r>
        <w:rPr>
          <w:rFonts w:ascii="Calibri" w:cs="Calibri" w:eastAsia="Calibri" w:hAnsi="Calibri"/>
          <w:b/>
          <w:bCs/>
          <w:color w:val="152A47"/>
          <w:sz w:val="32"/>
          <w:szCs w:val="32"/>
        </w:rPr>
        <w:t xml:space="preserve">3. Scale &amp; Capacity Planning</w:t>
      </w:r>
    </w:p>
    <w:p>
      <w:pPr>
        <w:spacing w:after="100"/>
      </w:pPr>
      <w:r>
        <w:rPr>
          <w:rFonts w:ascii="Calibri" w:cs="Calibri" w:eastAsia="Calibri" w:hAnsi="Calibri"/>
          <w:color w:val="4A4A4A"/>
          <w:sz w:val="20"/>
          <w:szCs w:val="20"/>
        </w:rPr>
        <w:t xml:space="preserve">Rough planning assumptions for a university with 1,00,000 registered students. Treat these as a starting model to validate with load testing, not guarantees — actual usage will cluster heavily around exam periods and assignment deadlines.</w:t>
      </w:r>
    </w:p>
    <w:tbl>
      <w:tblPr>
        <w:tblW w:type="dxa" w:w="9358"/>
        <w:jc w:val="center"/>
        <w:tblBorders>
          <w:top w:val="single" w:color="auto" w:sz="4"/>
          <w:left w:val="single" w:color="auto" w:sz="4"/>
          <w:bottom w:val="single" w:color="auto" w:sz="4"/>
          <w:right w:val="single" w:color="auto" w:sz="4"/>
          <w:insideH w:val="single" w:color="auto" w:sz="4"/>
          <w:insideV w:val="single" w:color="auto" w:sz="4"/>
        </w:tblBorders>
      </w:tblPr>
      <w:tblGrid>
        <w:gridCol w:w="2735"/>
        <w:gridCol w:w="2735"/>
        <w:gridCol w:w="3888"/>
      </w:tblGrid>
      <w:tr>
        <w:trPr>
          <w:tblHeader/>
        </w:trPr>
        <w:tc>
          <w:tcPr>
            <w:tcW w:type="dxa" w:w="2735"/>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Metric</w:t>
            </w:r>
          </w:p>
        </w:tc>
        <w:tc>
          <w:tcPr>
            <w:tcW w:type="dxa" w:w="2735"/>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Planning Assumption</w:t>
            </w:r>
          </w:p>
        </w:tc>
        <w:tc>
          <w:tcPr>
            <w:tcW w:type="dxa" w:w="3888"/>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Why</w:t>
            </w:r>
          </w:p>
        </w:tc>
      </w:tr>
      <w:tr>
        <w:tc>
          <w:tcPr>
            <w:tcW w:type="dxa" w:w="2735"/>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Registered students</w:t>
            </w:r>
          </w:p>
        </w:tc>
        <w:tc>
          <w:tcPr>
            <w:tcW w:type="dxa" w:w="2735"/>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1,00,000</w:t>
            </w:r>
          </w:p>
        </w:tc>
        <w:tc>
          <w:tcPr>
            <w:tcW w:type="dxa" w:w="3888"/>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Full enrollment, all campuses/departments combined</w:t>
            </w:r>
          </w:p>
        </w:tc>
      </w:tr>
      <w:tr>
        <w:tc>
          <w:tcPr>
            <w:tcW w:type="dxa" w:w="2735"/>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Peak concurrent active users</w:t>
            </w:r>
          </w:p>
        </w:tc>
        <w:tc>
          <w:tcPr>
            <w:tcW w:type="dxa" w:w="2735"/>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~5,000 - 8,000 (5-8%)</w:t>
            </w:r>
          </w:p>
        </w:tc>
        <w:tc>
          <w:tcPr>
            <w:tcW w:type="dxa" w:w="3888"/>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Typical for campus portals even during exam-week spikes</w:t>
            </w:r>
          </w:p>
        </w:tc>
      </w:tr>
      <w:tr>
        <w:tc>
          <w:tcPr>
            <w:tcW w:type="dxa" w:w="2735"/>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Avg. queries per active session</w:t>
            </w:r>
          </w:p>
        </w:tc>
        <w:tc>
          <w:tcPr>
            <w:tcW w:type="dxa" w:w="2735"/>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3 - 5</w:t>
            </w:r>
          </w:p>
        </w:tc>
        <w:tc>
          <w:tcPr>
            <w:tcW w:type="dxa" w:w="3888"/>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Students refine questions, ask follow-ups</w:t>
            </w:r>
          </w:p>
        </w:tc>
      </w:tr>
      <w:tr>
        <w:tc>
          <w:tcPr>
            <w:tcW w:type="dxa" w:w="2735"/>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Peak sustained queries/sec (QPS)</w:t>
            </w:r>
          </w:p>
        </w:tc>
        <w:tc>
          <w:tcPr>
            <w:tcW w:type="dxa" w:w="2735"/>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~40 - 70</w:t>
            </w:r>
          </w:p>
        </w:tc>
        <w:tc>
          <w:tcPr>
            <w:tcW w:type="dxa" w:w="3888"/>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Concurrency / avg. gap between queries per user</w:t>
            </w:r>
          </w:p>
        </w:tc>
      </w:tr>
      <w:tr>
        <w:tc>
          <w:tcPr>
            <w:tcW w:type="dxa" w:w="2735"/>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Real bottleneck</w:t>
            </w:r>
          </w:p>
        </w:tc>
        <w:tc>
          <w:tcPr>
            <w:tcW w:type="dxa" w:w="2735"/>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Local GPU inference capacity</w:t>
            </w:r>
          </w:p>
        </w:tc>
        <w:tc>
          <w:tcPr>
            <w:tcW w:type="dxa" w:w="3888"/>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No hosted API to fall back on by default — size your own GPU pool for peak QPS</w:t>
            </w:r>
          </w:p>
        </w:tc>
      </w:tr>
      <w:tr>
        <w:tc>
          <w:tcPr>
            <w:tcW w:type="dxa" w:w="2735"/>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Cache-absorbable traffic</w:t>
            </w:r>
          </w:p>
        </w:tc>
        <w:tc>
          <w:tcPr>
            <w:tcW w:type="dxa" w:w="2735"/>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30 - 50%+ during exam weeks</w:t>
            </w:r>
          </w:p>
        </w:tc>
        <w:tc>
          <w:tcPr>
            <w:tcW w:type="dxa" w:w="3888"/>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Many students ask near-identical FAQ-style questions — this directly reduces GPU load</w:t>
            </w:r>
          </w:p>
        </w:tc>
      </w:tr>
    </w:tbl>
    <w:p>
      <w:pPr>
        <w:spacing w:after="100"/>
      </w:pPr>
    </w:p>
    <w:p>
      <w:pPr>
        <w:spacing w:after="100" w:before="40"/>
      </w:pPr>
      <w:r>
        <w:rPr>
          <w:rFonts w:ascii="Aptos" w:hAnsi="Aptos"/>
          <w:sz w:val="21"/>
        </w:rPr>
        <w:t>These numbers exist to size infrastructure directionally. Final GPU sizing must be based on measured input tokens/sec, output tokens/sec, concurrent sequences, time-to-first-token (TTFT), inter-token latency, KV-cache occupancy, context length distribution and semantic-cache hit rate - not QPS alone. Confirm with production-like vLLM load tests on the actual GPU hardware before procurement or rollout.</w:t>
      </w:r>
    </w:p>
    <w:p>
      <w:pPr>
        <w:pStyle w:val="Heading1"/>
        <w:pBdr>
          <w:bottom w:val="single" w:color="2E6DA4" w:sz="8" w:space="4"/>
        </w:pBdr>
        <w:spacing w:after="100" w:before="120"/>
      </w:pPr>
      <w:r>
        <w:rPr>
          <w:rFonts w:ascii="Calibri" w:cs="Calibri" w:eastAsia="Calibri" w:hAnsi="Calibri"/>
          <w:b/>
          <w:bCs/>
          <w:color w:val="152A47"/>
          <w:sz w:val="32"/>
          <w:szCs w:val="32"/>
        </w:rPr>
        <w:t xml:space="preserve">4. High-Level Architecture Overview</w:t>
      </w:r>
    </w:p>
    <w:p>
      <w:pPr>
        <w:spacing w:after="100"/>
      </w:pPr>
      <w:r>
        <w:rPr>
          <w:rFonts w:ascii="Calibri" w:cs="Calibri" w:eastAsia="Calibri" w:hAnsi="Calibri"/>
          <w:color w:val="4A4A4A"/>
          <w:sz w:val="20"/>
          <w:szCs w:val="20"/>
        </w:rPr>
        <w:t xml:space="preserve">The system is built from independently scalable layers. Data flows left to right on a query; ingestion runs as a separate, asynchronous pipeline feeding the same storage layers.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52"/>
        <w:gridCol w:w="6408"/>
      </w:tblGrid>
      <w:tr>
        <w:trPr>
          <w:tblHeader/>
        </w:trPr>
        <w:tc>
          <w:tcPr>
            <w:tcW w:type="dxa" w:w="2952"/>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Layer</w:t>
            </w:r>
          </w:p>
        </w:tc>
        <w:tc>
          <w:tcPr>
            <w:tcW w:type="dxa" w:w="6408"/>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Responsibility</w:t>
            </w:r>
          </w:p>
        </w:tc>
      </w:tr>
      <w:tr>
        <w:tc>
          <w:tcPr>
            <w:tcW w:type="dxa" w:w="295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1. Ingestion &amp; OCR</w:t>
            </w:r>
          </w:p>
        </w:tc>
        <w:tc>
          <w:tcPr>
            <w:tcW w:type="dxa" w:w="6408"/>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Watch a selected folder for new/changed files, extract text (incl. handwriting) locally, clean, chunk, dedupe, tag metadata</w:t>
            </w:r>
          </w:p>
        </w:tc>
      </w:tr>
      <w:tr>
        <w:tc>
          <w:tcPr>
            <w:tcW w:type="dxa" w:w="295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2. Embedding &amp; Storage</w:t>
            </w:r>
          </w:p>
        </w:tc>
        <w:tc>
          <w:tcPr>
            <w:tcW w:type="dxa" w:w="6408"/>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Batch-embed chunks offline on local hardware; store in a partitioned vector DB + Postgres metadata</w:t>
            </w:r>
          </w:p>
        </w:tc>
      </w:tr>
      <w:tr>
        <w:tc>
          <w:tcPr>
            <w:tcW w:type="dxa" w:w="295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3. Hybrid Retrieval</w:t>
            </w:r>
          </w:p>
        </w:tc>
        <w:tc>
          <w:tcPr>
            <w:tcW w:type="dxa" w:w="6408"/>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Metadata filter, then BM25 + vector ANN, then Reciprocal Rank Fusion</w:t>
            </w:r>
          </w:p>
        </w:tc>
      </w:tr>
      <w:tr>
        <w:tc>
          <w:tcPr>
            <w:tcW w:type="dxa" w:w="295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4. Reranking</w:t>
            </w:r>
          </w:p>
        </w:tc>
        <w:tc>
          <w:tcPr>
            <w:tcW w:type="dxa" w:w="6408"/>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Cross-encoder reorders top candidates for precision</w:t>
            </w:r>
          </w:p>
        </w:tc>
      </w:tr>
      <w:tr>
        <w:tc>
          <w:tcPr>
            <w:tcW w:type="dxa" w:w="295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5. LLM Layer</w:t>
            </w:r>
          </w:p>
        </w:tc>
        <w:tc>
          <w:tcPr>
            <w:tcW w:type="dxa" w:w="6408"/>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Self-hosted local GPU models by default; OpenAI-format hosted API as an optional, off-by-default fallback</w:t>
            </w:r>
          </w:p>
        </w:tc>
      </w:tr>
      <w:tr>
        <w:tc>
          <w:tcPr>
            <w:tcW w:type="dxa" w:w="295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6. Core API</w:t>
            </w:r>
          </w:p>
        </w:tc>
        <w:tc>
          <w:tcPr>
            <w:tcW w:type="dxa" w:w="6408"/>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FastAPI, OpenAI-compatible schema, auth, versioned, citations in every answer</w:t>
            </w:r>
          </w:p>
        </w:tc>
      </w:tr>
      <w:tr>
        <w:tc>
          <w:tcPr>
            <w:tcW w:type="dxa" w:w="295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7. Caching</w:t>
            </w:r>
          </w:p>
        </w:tc>
        <w:tc>
          <w:tcPr>
            <w:tcW w:type="dxa" w:w="6408"/>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Redis semantic cache, session state, rate limiting</w:t>
            </w:r>
          </w:p>
        </w:tc>
      </w:tr>
      <w:tr>
        <w:tc>
          <w:tcPr>
            <w:tcW w:type="dxa" w:w="295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8. Serving Infra</w:t>
            </w:r>
          </w:p>
        </w:tc>
        <w:tc>
          <w:tcPr>
            <w:tcW w:type="dxa" w:w="6408"/>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Load balancer + Kubernetes autoscaling across API and GPU tiers</w:t>
            </w:r>
          </w:p>
        </w:tc>
      </w:tr>
      <w:tr>
        <w:tc>
          <w:tcPr>
            <w:tcW w:type="dxa" w:w="295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9. Web UI</w:t>
            </w:r>
          </w:p>
        </w:tc>
        <w:tc>
          <w:tcPr>
            <w:tcW w:type="dxa" w:w="6408"/>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Admin dashboard (manage/monitor) + embeddable student chat widget for the portal</w:t>
            </w:r>
          </w:p>
        </w:tc>
      </w:tr>
    </w:tbl>
    <w:p>
      <w:pPr>
        <w:spacing w:after="100"/>
      </w:pPr>
    </w:p>
    <w:p>
      <w:pPr>
        <w:spacing w:after="100"/>
      </w:pPr>
      <w:r>
        <w:rPr>
          <w:rFonts w:ascii="Calibri" w:cs="Calibri" w:eastAsia="Calibri" w:hAnsi="Calibri"/>
          <w:b/>
          <w:bCs/>
          <w:color w:val="4A4A4A"/>
          <w:sz w:val="20"/>
          <w:szCs w:val="20"/>
        </w:rPr>
        <w:t xml:space="preserve">Request flow:</w:t>
      </w:r>
      <w:r>
        <w:rPr>
          <w:rFonts w:ascii="Calibri" w:cs="Calibri" w:eastAsia="Calibri" w:hAnsi="Calibri"/>
          <w:color w:val="4A4A4A"/>
          <w:sz w:val="20"/>
          <w:szCs w:val="20"/>
        </w:rPr>
        <w:t xml:space="preserve"> Student asks a question, API authenticates and checks the Redis cache. On a cache miss: metadata filter, hybrid retrieval, rerank, context assembly, then the LLM router generates the answer locally (by default) with citations. The response is cached and returned.</w:t>
      </w:r>
    </w:p>
    <w:p>
      <w:pPr>
        <w:spacing w:after="100"/>
      </w:pPr>
      <w:r>
        <w:br w:type="page"/>
      </w:r>
    </w:p>
    <w:p>
      <w:pPr>
        <w:pStyle w:val="Heading1"/>
        <w:shd w:fill="152A47" w:val="clear"/>
        <w:spacing w:after="100" w:before="120"/>
      </w:pPr>
      <w:r>
        <w:rPr>
          <w:rFonts w:ascii="Calibri" w:cs="Calibri" w:eastAsia="Calibri" w:hAnsi="Calibri"/>
          <w:b/>
          <w:bCs/>
          <w:color w:val="FFFFFF"/>
          <w:sz w:val="28"/>
          <w:szCs w:val="28"/>
        </w:rPr>
        <w:t xml:space="preserve">PHASE 0 · Requirements &amp; Planning</w:t>
      </w:r>
    </w:p>
    <w:p>
      <w:pPr>
        <w:pStyle w:val="ListParagraph"/>
        <w:numPr>
          <w:ilvl w:val="0"/>
          <w:numId w:val="2"/>
        </w:numPr>
        <w:spacing w:after="100"/>
        <w:ind w:left="317" w:hanging="173"/>
      </w:pPr>
      <w:r>
        <w:rPr>
          <w:rFonts w:ascii="Calibri" w:cs="Calibri" w:eastAsia="Calibri" w:hAnsi="Calibri"/>
          <w:color w:val="4A4A4A"/>
          <w:sz w:val="20"/>
          <w:szCs w:val="20"/>
        </w:rPr>
        <w:t xml:space="preserve">Confirm the user base: ~1,00,000 students, plus faculty and admin staff, across departments.</w:t>
      </w:r>
    </w:p>
    <w:p>
      <w:pPr>
        <w:pStyle w:val="ListParagraph"/>
        <w:numPr>
          <w:ilvl w:val="0"/>
          <w:numId w:val="2"/>
        </w:numPr>
        <w:spacing w:after="100"/>
        <w:ind w:left="317" w:hanging="173"/>
      </w:pPr>
      <w:r>
        <w:rPr>
          <w:rFonts w:ascii="Calibri" w:cs="Calibri" w:eastAsia="Calibri" w:hAnsi="Calibri"/>
          <w:color w:val="4A4A4A"/>
          <w:sz w:val="20"/>
          <w:szCs w:val="20"/>
        </w:rPr>
        <w:t xml:space="preserve">Catalog every document source you have: handwritten scanned notes, older printed PDFs, newer born-digital PDFs, and flag any other formats (DOCX, PPTX, scanned images) so ingestion can route each one correctly.</w:t>
      </w:r>
    </w:p>
    <w:p>
      <w:pPr>
        <w:pStyle w:val="ListParagraph"/>
        <w:numPr>
          <w:ilvl w:val="0"/>
          <w:numId w:val="2"/>
        </w:numPr>
        <w:spacing w:after="100"/>
        <w:ind w:left="317" w:hanging="173"/>
      </w:pPr>
      <w:r>
        <w:rPr>
          <w:rFonts w:ascii="Calibri" w:cs="Calibri" w:eastAsia="Calibri" w:hAnsi="Calibri"/>
          <w:color w:val="4A4A4A"/>
          <w:sz w:val="20"/>
          <w:szCs w:val="20"/>
        </w:rPr>
        <w:t xml:space="preserve">Decide retrieval scope: should a student's question search the whole university corpus, or only their department/course/semester? (This plan assumes scoped-by-course, expandable later.)</w:t>
      </w:r>
    </w:p>
    <w:p>
      <w:pPr>
        <w:pStyle w:val="ListParagraph"/>
        <w:numPr>
          <w:ilvl w:val="0"/>
          <w:numId w:val="2"/>
        </w:numPr>
        <w:spacing w:after="100"/>
        <w:ind w:left="317" w:hanging="173"/>
      </w:pPr>
      <w:r>
        <w:rPr>
          <w:rFonts w:ascii="Calibri" w:cs="Calibri" w:eastAsia="Calibri" w:hAnsi="Calibri"/>
          <w:color w:val="4A4A4A"/>
          <w:sz w:val="20"/>
          <w:szCs w:val="20"/>
        </w:rPr>
        <w:t xml:space="preserve">Agree on a phased rollout — MVP with one department first, then beta, then full scale. Do not attempt a big-bang launch to all 1,00,000 students on day one (see Section 27, Roadmap).</w:t>
      </w:r>
    </w:p>
    <w:p>
      <w:pPr>
        <w:spacing w:after="100"/>
      </w:pPr>
    </w:p>
    <w:p>
      <w:pPr>
        <w:pStyle w:val="Heading1"/>
        <w:shd w:fill="152A47" w:val="clear"/>
        <w:spacing w:after="100" w:before="120"/>
      </w:pPr>
      <w:r>
        <w:rPr>
          <w:rFonts w:ascii="Calibri" w:cs="Calibri" w:eastAsia="Calibri" w:hAnsi="Calibri"/>
          <w:b/>
          <w:bCs/>
          <w:color w:val="FFFFFF"/>
          <w:sz w:val="28"/>
          <w:szCs w:val="28"/>
        </w:rPr>
        <w:t xml:space="preserve">PHASE 1 · Folder-Watch Ingestion &amp; Local OCR Pipeline</w:t>
      </w:r>
    </w:p>
    <w:p>
      <w:pPr>
        <w:spacing w:after="100"/>
      </w:pPr>
      <w:r>
        <w:rPr>
          <w:rFonts w:ascii="Calibri" w:cs="Calibri" w:eastAsia="Calibri" w:hAnsi="Calibri"/>
          <w:i/>
          <w:iCs/>
          <w:color w:val="2E6DA4"/>
          <w:sz w:val="20"/>
          <w:szCs w:val="20"/>
        </w:rPr>
        <w:t xml:space="preserve">Point at a folder once — new and updated documents are picked up automatically, entirely on your own infrastructure</w:t>
      </w:r>
    </w:p>
    <w:p>
      <w:pPr>
        <w:pStyle w:val="Heading2"/>
        <w:spacing w:after="100" w:before="160"/>
      </w:pPr>
      <w:r>
        <w:rPr>
          <w:rFonts w:ascii="Calibri" w:cs="Calibri" w:eastAsia="Calibri" w:hAnsi="Calibri"/>
          <w:b/>
          <w:bCs/>
          <w:color w:val="2E6DA4"/>
          <w:sz w:val="24"/>
          <w:szCs w:val="24"/>
        </w:rPr>
        <w:t xml:space="preserve">How folder-watch ingestion works</w:t>
      </w:r>
    </w:p>
    <w:p>
      <w:pPr>
        <w:pStyle w:val="ListParagraph"/>
        <w:numPr>
          <w:ilvl w:val="0"/>
          <w:numId w:val="2"/>
        </w:numPr>
        <w:spacing w:after="100"/>
        <w:ind w:left="317" w:hanging="173"/>
      </w:pPr>
      <w:r>
        <w:rPr>
          <w:rFonts w:ascii="Aptos" w:hAnsi="Aptos"/>
          <w:sz w:val="21"/>
        </w:rPr>
        <w:t>In the admin UI, the administrator selects from server-side allowlisted storage roots or registered shares; the browser never supplies an arbitrary server filesystem path. Recursive subfolders are supported and each root has an owner, security scope and synchronization policy.</w:t>
      </w:r>
    </w:p>
    <w:p>
      <w:pPr>
        <w:pStyle w:val="ListParagraph"/>
        <w:numPr>
          <w:ilvl w:val="0"/>
          <w:numId w:val="2"/>
        </w:numPr>
        <w:spacing w:after="100"/>
        <w:ind w:left="317" w:hanging="173"/>
      </w:pPr>
      <w:r>
        <w:rPr>
          <w:rFonts w:ascii="Aptos" w:hAnsi="Aptos"/>
          <w:sz w:val="21"/>
        </w:rPr>
        <w:t>For local disks, a watcher service may use native filesystem events (Python watchdog) plus reconciliation. For SMB/CIFS/NFS/NAS shares, periodic durable reconciliation is authoritative: enumerate files, compare content hash/mtime/size against the PostgreSQL manifest, and treat filesystem events only as an optimization. This avoids missed events on network storage.</w:t>
      </w:r>
    </w:p>
    <w:p>
      <w:pPr>
        <w:pStyle w:val="ListParagraph"/>
        <w:numPr>
          <w:ilvl w:val="0"/>
          <w:numId w:val="2"/>
        </w:numPr>
        <w:spacing w:after="100"/>
        <w:ind w:left="317" w:hanging="173"/>
      </w:pPr>
      <w:r>
        <w:rPr>
          <w:rFonts w:ascii="Calibri" w:cs="Calibri" w:eastAsia="Calibri" w:hAnsi="Calibri"/>
          <w:color w:val="4A4A4A"/>
          <w:sz w:val="20"/>
          <w:szCs w:val="20"/>
        </w:rPr>
        <w:t xml:space="preserve">Every new or modified file is hashed and checked against a manifest table (path, hash, last-modified time, ingestion status) kept in PostgreSQL — unchanged files are skipped, so re-scans stay cheap even once lakhs of pages are already indexed.</w:t>
      </w:r>
    </w:p>
    <w:p>
      <w:pPr>
        <w:pStyle w:val="ListParagraph"/>
        <w:numPr>
          <w:ilvl w:val="0"/>
          <w:numId w:val="2"/>
        </w:numPr>
        <w:spacing w:after="100"/>
        <w:ind w:left="317" w:hanging="173"/>
      </w:pPr>
      <w:r>
        <w:rPr>
          <w:rFonts w:ascii="Calibri" w:cs="Calibri" w:eastAsia="Calibri" w:hAnsi="Calibri"/>
          <w:color w:val="4A4A4A"/>
          <w:sz w:val="20"/>
          <w:szCs w:val="20"/>
        </w:rPr>
        <w:t xml:space="preserve">New or changed files are pushed onto the async ingestion queue (Phase 8) automatically — nothing blocks the admin UI while OCR and embedding run in the background.</w:t>
      </w:r>
    </w:p>
    <w:p>
      <w:pPr>
        <w:pStyle w:val="ListParagraph"/>
        <w:numPr>
          <w:ilvl w:val="0"/>
          <w:numId w:val="2"/>
        </w:numPr>
        <w:spacing w:after="100"/>
        <w:ind w:left="317" w:hanging="173"/>
      </w:pPr>
      <w:r>
        <w:rPr>
          <w:rFonts w:ascii="Aptos" w:hAnsi="Aptos"/>
          <w:sz w:val="21"/>
        </w:rPr>
        <w:t>Deleted files are detected through reconciliation, but active vectors are not destructively removed until the new manifest state is committed. Documents move through lifecycle states so accidental share changes can be audited and rolled back.</w:t>
      </w:r>
    </w:p>
    <w:p>
      <w:pPr>
        <w:pStyle w:val="ListParagraph"/>
        <w:numPr>
          <w:ilvl w:val="0"/>
          <w:numId w:val="2"/>
        </w:numPr>
        <w:spacing w:after="100"/>
        <w:ind w:left="317" w:hanging="173"/>
      </w:pPr>
      <w:r>
        <w:rPr>
          <w:rFonts w:ascii="Calibri" w:cs="Calibri" w:eastAsia="Calibri" w:hAnsi="Calibri"/>
          <w:color w:val="4A4A4A"/>
          <w:sz w:val="20"/>
          <w:szCs w:val="20"/>
        </w:rPr>
        <w:t xml:space="preserve">A manual "upload a single file" option stays available for one-off additions, but the primary workflow is: point at a folder once, everything inside is auto-ingested from then on.</w:t>
      </w:r>
    </w:p>
    <w:p>
      <w:pPr>
        <w:spacing w:after="100"/>
      </w:pPr>
    </w:p>
    <w:p>
      <w:pPr>
        <w:pStyle w:val="Heading2"/>
        <w:spacing w:after="100" w:before="160"/>
      </w:pPr>
      <w:r>
        <w:rPr>
          <w:rFonts w:ascii="Calibri" w:cs="Calibri" w:eastAsia="Calibri" w:hAnsi="Calibri"/>
          <w:b/>
          <w:bCs/>
          <w:color w:val="2E6DA4"/>
          <w:sz w:val="24"/>
          <w:szCs w:val="24"/>
        </w:rPr>
        <w:t xml:space="preserve">Folder structure as free metadata</w:t>
      </w:r>
    </w:p>
    <w:p>
      <w:pPr>
        <w:pStyle w:val="ListParagraph"/>
        <w:numPr>
          <w:ilvl w:val="0"/>
          <w:numId w:val="2"/>
        </w:numPr>
        <w:spacing w:after="100"/>
        <w:ind w:left="317" w:hanging="173"/>
      </w:pPr>
      <w:r>
        <w:rPr>
          <w:rFonts w:ascii="Calibri" w:cs="Calibri" w:eastAsia="Calibri" w:hAnsi="Calibri"/>
          <w:color w:val="4A4A4A"/>
          <w:sz w:val="20"/>
          <w:szCs w:val="20"/>
        </w:rPr>
        <w:t xml:space="preserve">If existing files are already organized like Department/Semester/Course/file.pdf, the watcher parses that path straight into metadata tags (department, semester, course) — so lakhs of existing files get tagged correctly without anyone touching them individually.</w:t>
      </w:r>
    </w:p>
    <w:p>
      <w:pPr>
        <w:pStyle w:val="ListParagraph"/>
        <w:numPr>
          <w:ilvl w:val="0"/>
          <w:numId w:val="2"/>
        </w:numPr>
        <w:spacing w:after="100"/>
        <w:ind w:left="317" w:hanging="173"/>
      </w:pPr>
      <w:r>
        <w:rPr>
          <w:rFonts w:ascii="Calibri" w:cs="Calibri" w:eastAsia="Calibri" w:hAnsi="Calibri"/>
          <w:color w:val="4A4A4A"/>
          <w:sz w:val="20"/>
          <w:szCs w:val="20"/>
        </w:rPr>
        <w:t xml:space="preserve">Admins can review and override the auto-detected tags per folder in the admin UI before that folder is fully indexed.</w:t>
      </w:r>
    </w:p>
    <w:p>
      <w:pPr>
        <w:spacing w:after="100"/>
      </w:pPr>
    </w:p>
    <w:p>
      <w:pPr>
        <w:pStyle w:val="Heading2"/>
        <w:spacing w:after="100" w:before="160"/>
      </w:pPr>
      <w:r>
        <w:rPr>
          <w:rFonts w:ascii="Calibri" w:cs="Calibri" w:eastAsia="Calibri" w:hAnsi="Calibri"/>
          <w:b/>
          <w:bCs/>
          <w:color w:val="2E6DA4"/>
          <w:sz w:val="24"/>
          <w:szCs w:val="24"/>
        </w:rPr>
        <w:t xml:space="preserve">Format detection &amp; routing</w:t>
      </w:r>
    </w:p>
    <w:p>
      <w:pPr>
        <w:pStyle w:val="ListParagraph"/>
        <w:numPr>
          <w:ilvl w:val="0"/>
          <w:numId w:val="2"/>
        </w:numPr>
        <w:spacing w:after="100"/>
        <w:ind w:left="317" w:hanging="173"/>
      </w:pPr>
      <w:r>
        <w:rPr>
          <w:rFonts w:ascii="Aptos" w:hAnsi="Aptos"/>
          <w:sz w:val="21"/>
        </w:rPr>
        <w:t>Each discovered file is routed through a DocumentParserRouter. Clean born-digital PDFs use a fast native path (OpenDataLoader candidate); complex layouts/tables are benchmarked through Docling; scanned printed pages use PaddleOCR/PP-OCRv6; difficult scans/handwriting route to PaddleOCR-VL or another approved local VLM; DOCX/PPTX/XLSX use native structured extractors where possible.</w:t>
      </w:r>
    </w:p>
    <w:p>
      <w:pPr>
        <w:pStyle w:val="ListParagraph"/>
        <w:numPr>
          <w:ilvl w:val="0"/>
          <w:numId w:val="2"/>
        </w:numPr>
        <w:spacing w:after="100"/>
        <w:ind w:left="317" w:hanging="173"/>
      </w:pPr>
      <w:r>
        <w:rPr>
          <w:rFonts w:ascii="Aptos" w:hAnsi="Aptos"/>
          <w:sz w:val="21"/>
        </w:rPr>
        <w:t>Build parsing as a registry (MIME/content signature -&gt; parser route) with benchmark-driven fallbacks. Parser name, version, configuration and confidence are stored with every document version so reprocessing is reproducible.</w:t>
      </w:r>
    </w:p>
    <w:p>
      <w:pPr>
        <w:spacing w:after="100"/>
      </w:pPr>
    </w:p>
    <w:p>
      <w:pPr>
        <w:pStyle w:val="Heading2"/>
        <w:spacing w:after="100" w:before="160"/>
      </w:pPr>
      <w:r>
        <w:rPr>
          <w:rFonts w:ascii="Calibri" w:cs="Calibri" w:eastAsia="Calibri" w:hAnsi="Calibri"/>
          <w:b/>
          <w:bCs/>
          <w:color w:val="2E6DA4"/>
          <w:sz w:val="24"/>
          <w:szCs w:val="24"/>
        </w:rPr>
        <w:t xml:space="preserve">Validate before you index</w:t>
      </w:r>
    </w:p>
    <w:p>
      <w:pPr>
        <w:pStyle w:val="ListParagraph"/>
        <w:numPr>
          <w:ilvl w:val="0"/>
          <w:numId w:val="2"/>
        </w:numPr>
        <w:spacing w:after="100"/>
        <w:ind w:left="317" w:hanging="173"/>
      </w:pPr>
      <w:r>
        <w:rPr>
          <w:rFonts w:ascii="Aptos" w:hAnsi="Aptos"/>
          <w:sz w:val="21"/>
        </w:rPr>
        <w:t>Because watched folders auto-discover content, every file first enters QUARANTINED state. Validate magic bytes/MIME, file size/page limits, malware-scan it, sanitize hidden/zero-width content, then release it to the approved parser route. Retrieved document content is always treated as untrusted data, never as instructions.</w:t>
      </w:r>
    </w:p>
    <w:p>
      <w:pPr>
        <w:pStyle w:val="ListParagraph"/>
        <w:numPr>
          <w:ilvl w:val="0"/>
          <w:numId w:val="2"/>
        </w:numPr>
        <w:spacing w:after="100"/>
        <w:ind w:left="317" w:hanging="173"/>
      </w:pPr>
      <w:r>
        <w:rPr>
          <w:rFonts w:ascii="Calibri" w:cs="Calibri" w:eastAsia="Calibri" w:hAnsi="Calibri"/>
          <w:color w:val="4A4A4A"/>
          <w:sz w:val="20"/>
          <w:szCs w:val="20"/>
        </w:rPr>
        <w:t xml:space="preserve">Validate file type by content (magic bytes), not just extension, and cap file size — a file named notes.pdf that isn't actually a PDF shouldn't be handed to a PDF parser.</w:t>
      </w:r>
    </w:p>
    <w:p>
      <w:pPr>
        <w:spacing w:after="100"/>
      </w:pPr>
    </w:p>
    <w:p>
      <w:pPr>
        <w:pStyle w:val="Heading2"/>
        <w:spacing w:after="100" w:before="160"/>
      </w:pPr>
      <w:r>
        <w:rPr>
          <w:rFonts w:ascii="Calibri" w:cs="Calibri" w:eastAsia="Calibri" w:hAnsi="Calibri"/>
          <w:b/>
          <w:bCs/>
          <w:color w:val="2E6DA4"/>
          <w:sz w:val="24"/>
          <w:szCs w:val="24"/>
        </w:rPr>
        <w:t xml:space="preserve">Born-digital PDFs</w:t>
      </w:r>
    </w:p>
    <w:p>
      <w:pPr>
        <w:pStyle w:val="ListParagraph"/>
        <w:numPr>
          <w:ilvl w:val="0"/>
          <w:numId w:val="2"/>
        </w:numPr>
        <w:spacing w:after="100"/>
        <w:ind w:left="317" w:hanging="173"/>
      </w:pPr>
      <w:r>
        <w:rPr>
          <w:rFonts w:ascii="Aptos" w:hAnsi="Aptos"/>
          <w:sz w:val="21"/>
        </w:rPr>
        <w:t>Born-digital PDF baseline: benchmark OpenDataLoader PDF as the high-throughput native path and Docling as the structure-rich path. Do not hard-code one parser as a permanent winner; choose per document class using a university benchmark set and keep both behind the parser registry.</w:t>
      </w:r>
    </w:p>
    <w:p>
      <w:pPr>
        <w:pStyle w:val="ListParagraph"/>
        <w:numPr>
          <w:ilvl w:val="0"/>
          <w:numId w:val="2"/>
        </w:numPr>
        <w:spacing w:after="100"/>
        <w:ind w:left="317" w:hanging="173"/>
      </w:pPr>
      <w:r>
        <w:rPr>
          <w:rFonts w:ascii="Calibri" w:cs="Calibri" w:eastAsia="Calibri" w:hAnsi="Calibri"/>
          <w:color w:val="4A4A4A"/>
          <w:sz w:val="20"/>
          <w:szCs w:val="20"/>
        </w:rPr>
        <w:t xml:space="preserve">Its hybrid mode adds free, still-fully-local OCR, table, formula, and chart add-ons for scanned/printed pages that trip up the heuristic mode alone — worth trying before escalating to the heavier vision-language approach below for genuinely hard handwriting. It also strips hidden and zero-size-font text at extraction time, which directly helps with the prompt-injection risk flagged in Phase 19.</w:t>
      </w:r>
    </w:p>
    <w:p>
      <w:pPr>
        <w:pStyle w:val="ListParagraph"/>
        <w:numPr>
          <w:ilvl w:val="0"/>
          <w:numId w:val="2"/>
        </w:numPr>
        <w:spacing w:after="100"/>
        <w:ind w:left="317" w:hanging="173"/>
      </w:pPr>
      <w:r>
        <w:rPr>
          <w:rFonts w:ascii="Calibri" w:cs="Calibri" w:eastAsia="Calibri" w:hAnsi="Calibri"/>
          <w:color w:val="4A4A4A"/>
          <w:sz w:val="20"/>
          <w:szCs w:val="20"/>
        </w:rPr>
        <w:t xml:space="preserve">Treat these benchmark numbers as a strong starting point, not gospel — they're vendor-published (if reproducibly so, with third-party write-ups largely confirming the ranking), so validate against a sample of your own old and new PDFs (Phase 14) before committing at scale.</w:t>
      </w:r>
    </w:p>
    <w:p>
      <w:pPr>
        <w:pStyle w:val="ListParagraph"/>
        <w:numPr>
          <w:ilvl w:val="0"/>
          <w:numId w:val="2"/>
        </w:numPr>
        <w:spacing w:after="100"/>
        <w:ind w:left="317" w:hanging="173"/>
      </w:pPr>
      <w:r>
        <w:rPr>
          <w:rFonts w:ascii="Calibri" w:cs="Calibri" w:eastAsia="Calibri" w:hAnsi="Calibri"/>
          <w:color w:val="4A4A4A"/>
          <w:sz w:val="20"/>
          <w:szCs w:val="20"/>
        </w:rPr>
        <w:t xml:space="preserve">PyMuPDF or pdfplumber remain reasonable fallbacks, with one licensing catch worth knowing before you adopt either: PyMuPDF is AGPL-3.0 unless you buy a commercial license from its maintainer (Artifex). AGPL's copyleft terms are meaningfully stricter than Apache 2.0 for a service students access over a network — worth a quick check with your institution's counsel before shipping it, rather than assuming "open source" means no strings attached.</w:t>
      </w:r>
    </w:p>
    <w:p>
      <w:pPr>
        <w:spacing w:after="100"/>
      </w:pPr>
    </w:p>
    <w:p>
      <w:pPr>
        <w:pStyle w:val="Heading2"/>
        <w:spacing w:after="100" w:before="160"/>
      </w:pPr>
      <w:r>
        <w:rPr>
          <w:rFonts w:ascii="Calibri" w:cs="Calibri" w:eastAsia="Calibri" w:hAnsi="Calibri"/>
          <w:b/>
          <w:bCs/>
          <w:color w:val="2E6DA4"/>
          <w:sz w:val="24"/>
          <w:szCs w:val="24"/>
        </w:rPr>
        <w:t xml:space="preserve">Handwritten &amp; scanned documents — kept fully local</w:t>
      </w:r>
    </w:p>
    <w:p>
      <w:pPr>
        <w:pStyle w:val="ListParagraph"/>
        <w:numPr>
          <w:ilvl w:val="0"/>
          <w:numId w:val="2"/>
        </w:numPr>
        <w:spacing w:after="100"/>
        <w:ind w:left="317" w:hanging="173"/>
      </w:pPr>
      <w:r>
        <w:rPr>
          <w:rFonts w:ascii="Aptos" w:hAnsi="Aptos"/>
          <w:sz w:val="21"/>
        </w:rPr>
        <w:t>For difficult handwriting and complex scans, use a local document VLM path such as PaddleOCR-VL (current baseline) and benchmark alternatives on actual university material. Clean printed pages should remain on the cheaper PP-OCRv6/traditional OCR path. Low-confidence pages enter human review rather than being silently indexed.</w:t>
      </w:r>
    </w:p>
    <w:p>
      <w:pPr>
        <w:pStyle w:val="ListParagraph"/>
        <w:numPr>
          <w:ilvl w:val="0"/>
          <w:numId w:val="2"/>
        </w:numPr>
        <w:spacing w:after="100"/>
        <w:ind w:left="317" w:hanging="173"/>
      </w:pPr>
      <w:r>
        <w:rPr>
          <w:rFonts w:ascii="Calibri" w:cs="Calibri" w:eastAsia="Calibri" w:hAnsi="Calibri"/>
          <w:color w:val="4A4A4A"/>
          <w:sz w:val="20"/>
          <w:szCs w:val="20"/>
        </w:rPr>
        <w:t xml:space="preserve">Keep classic engines (Tesseract, PaddleOCR's traditional pipeline) in the loop for clean printed pages — they're far cheaper per page and perfectly accurate on typed text, so route by document condition rather than running the heavier VLM on everything.</w:t>
      </w:r>
    </w:p>
    <w:p>
      <w:pPr>
        <w:pStyle w:val="ListParagraph"/>
        <w:numPr>
          <w:ilvl w:val="0"/>
          <w:numId w:val="2"/>
        </w:numPr>
        <w:spacing w:after="100"/>
        <w:ind w:left="317" w:hanging="173"/>
      </w:pPr>
      <w:r>
        <w:rPr>
          <w:rFonts w:ascii="Calibri" w:cs="Calibri" w:eastAsia="Calibri" w:hAnsi="Calibri"/>
          <w:color w:val="4A4A4A"/>
          <w:sz w:val="20"/>
          <w:szCs w:val="20"/>
        </w:rPr>
        <w:t xml:space="preserve">A cloud handwriting-OCR API (Google Document AI, Azure AI Document Intelligence, AWS Textract) can still be wired in later as an optional, opt-in upgrade for the hardest pages — the system works end-to-end without it.</w:t>
      </w:r>
    </w:p>
    <w:p>
      <w:pPr>
        <w:pStyle w:val="ListParagraph"/>
        <w:numPr>
          <w:ilvl w:val="0"/>
          <w:numId w:val="2"/>
        </w:numPr>
        <w:spacing w:after="100"/>
        <w:ind w:left="317" w:hanging="173"/>
      </w:pPr>
      <w:r>
        <w:rPr>
          <w:rFonts w:ascii="Calibri" w:cs="Calibri" w:eastAsia="Calibri" w:hAnsi="Calibri"/>
          <w:color w:val="4A4A4A"/>
          <w:sz w:val="20"/>
          <w:szCs w:val="20"/>
        </w:rPr>
        <w:t xml:space="preserve">Attach a confidence score to every OCR'd page regardless of engine. Low-confidence pages route to a human review queue instead of being silently indexed — a wrong OCR read becomes a wrong answer to a student.</w:t>
      </w:r>
    </w:p>
    <w:p>
      <w:pPr>
        <w:pStyle w:val="ListParagraph"/>
        <w:numPr>
          <w:ilvl w:val="0"/>
          <w:numId w:val="2"/>
        </w:numPr>
        <w:spacing w:after="100"/>
        <w:ind w:left="317" w:hanging="173"/>
      </w:pPr>
      <w:r>
        <w:rPr>
          <w:rFonts w:ascii="Calibri" w:cs="Calibri" w:eastAsia="Calibri" w:hAnsi="Calibri"/>
          <w:color w:val="4A4A4A"/>
          <w:sz w:val="20"/>
          <w:szCs w:val="20"/>
        </w:rPr>
        <w:t xml:space="preserve">This space moves fast — re-check current open-weight OCR/VLM leaderboards (e.g. OCR Arena, OmniDocBench) before locking in a specific model; treat the names above as a starting shortlist, not a final answer.</w:t>
      </w:r>
    </w:p>
    <w:p>
      <w:pPr>
        <w:spacing w:after="100"/>
      </w:pPr>
    </w:p>
    <w:p>
      <w:pPr>
        <w:pStyle w:val="Heading2"/>
        <w:spacing w:after="100" w:before="160"/>
      </w:pPr>
      <w:r>
        <w:rPr>
          <w:rFonts w:ascii="Calibri" w:cs="Calibri" w:eastAsia="Calibri" w:hAnsi="Calibri"/>
          <w:b/>
          <w:bCs/>
          <w:color w:val="2E6DA4"/>
          <w:sz w:val="24"/>
          <w:szCs w:val="24"/>
        </w:rPr>
        <w:t xml:space="preserve">Other formats</w:t>
      </w:r>
    </w:p>
    <w:p>
      <w:pPr>
        <w:pStyle w:val="ListParagraph"/>
        <w:numPr>
          <w:ilvl w:val="0"/>
          <w:numId w:val="2"/>
        </w:numPr>
        <w:spacing w:after="100"/>
        <w:ind w:left="317" w:hanging="173"/>
      </w:pPr>
      <w:r>
        <w:rPr>
          <w:rFonts w:ascii="Calibri" w:cs="Calibri" w:eastAsia="Calibri" w:hAnsi="Calibri"/>
          <w:color w:val="4A4A4A"/>
          <w:sz w:val="20"/>
          <w:szCs w:val="20"/>
        </w:rPr>
        <w:t xml:space="preserve">DOCX/PPTX: extract via python-docx / python-pptx, or normalize everything through a headless LibreOffice conversion to text for a single consistent path.</w:t>
      </w:r>
    </w:p>
    <w:p>
      <w:pPr>
        <w:spacing w:after="100"/>
      </w:pPr>
    </w:p>
    <w:p>
      <w:pPr>
        <w:pStyle w:val="Heading2"/>
        <w:spacing w:after="100" w:before="160"/>
      </w:pPr>
      <w:r>
        <w:rPr>
          <w:rFonts w:ascii="Calibri" w:cs="Calibri" w:eastAsia="Calibri" w:hAnsi="Calibri"/>
          <w:b/>
          <w:bCs/>
          <w:color w:val="2E6DA4"/>
          <w:sz w:val="24"/>
          <w:szCs w:val="24"/>
        </w:rPr>
        <w:t xml:space="preserve">Metadata &amp; storage</w:t>
      </w:r>
    </w:p>
    <w:p>
      <w:pPr>
        <w:pStyle w:val="ListParagraph"/>
        <w:numPr>
          <w:ilvl w:val="0"/>
          <w:numId w:val="2"/>
        </w:numPr>
        <w:spacing w:after="100"/>
        <w:ind w:left="317" w:hanging="173"/>
      </w:pPr>
      <w:r>
        <w:rPr>
          <w:rFonts w:ascii="Calibri" w:cs="Calibri" w:eastAsia="Calibri" w:hAnsi="Calibri"/>
          <w:color w:val="4A4A4A"/>
          <w:sz w:val="20"/>
          <w:szCs w:val="20"/>
        </w:rPr>
        <w:t xml:space="preserve">Tag every chunk with: department, course code, semester, professor, document type (handwritten/printed/digital), source folder, and page number.</w:t>
      </w:r>
    </w:p>
    <w:p>
      <w:pPr>
        <w:pStyle w:val="ListParagraph"/>
        <w:numPr>
          <w:ilvl w:val="0"/>
          <w:numId w:val="2"/>
        </w:numPr>
        <w:spacing w:after="100"/>
        <w:ind w:left="317" w:hanging="173"/>
      </w:pPr>
      <w:r>
        <w:rPr>
          <w:rFonts w:ascii="Calibri" w:cs="Calibri" w:eastAsia="Calibri" w:hAnsi="Calibri"/>
          <w:color w:val="4A4A4A"/>
          <w:sz w:val="20"/>
          <w:szCs w:val="20"/>
        </w:rPr>
        <w:t xml:space="preserve">Store original files in object storage (S3-compatible or MinIO, self-hosted) — never scattered across local disks on an API server.</w:t>
      </w:r>
    </w:p>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Point the admin UI at a folder once; new and updated documents flow into the index automatically, tagged and OCR'd, entirely on your own infrastructure.</w:t>
      </w:r>
    </w:p>
    <w:p>
      <w:pPr>
        <w:spacing w:after="100"/>
      </w:pPr>
      <w:r>
        <w:br w:type="page"/>
      </w:r>
    </w:p>
    <w:p>
      <w:pPr>
        <w:pStyle w:val="Heading1"/>
        <w:shd w:fill="152A47" w:val="clear"/>
        <w:spacing w:after="100" w:before="120"/>
      </w:pPr>
      <w:r>
        <w:rPr>
          <w:rFonts w:ascii="Calibri" w:cs="Calibri" w:eastAsia="Calibri" w:hAnsi="Calibri"/>
          <w:b/>
          <w:bCs/>
          <w:color w:val="FFFFFF"/>
          <w:sz w:val="28"/>
          <w:szCs w:val="28"/>
        </w:rPr>
        <w:t xml:space="preserve">PHASE 2 · Preprocessing, Chunking &amp; Deduplication</w:t>
      </w:r>
    </w:p>
    <w:p>
      <w:pPr>
        <w:pStyle w:val="ListParagraph"/>
        <w:numPr>
          <w:ilvl w:val="0"/>
          <w:numId w:val="2"/>
        </w:numPr>
        <w:spacing w:after="100"/>
        <w:ind w:left="317" w:hanging="173"/>
      </w:pPr>
      <w:r>
        <w:rPr>
          <w:rFonts w:ascii="Calibri" w:cs="Calibri" w:eastAsia="Calibri" w:hAnsi="Calibri"/>
          <w:color w:val="4A4A4A"/>
          <w:sz w:val="20"/>
          <w:szCs w:val="20"/>
        </w:rPr>
        <w:t xml:space="preserve">Clean OCR artifacts first: broken words, repeated headers/footers, stray page numbers.</w:t>
      </w:r>
    </w:p>
    <w:p>
      <w:pPr>
        <w:pStyle w:val="ListParagraph"/>
        <w:numPr>
          <w:ilvl w:val="0"/>
          <w:numId w:val="2"/>
        </w:numPr>
        <w:spacing w:after="100"/>
        <w:ind w:left="317" w:hanging="173"/>
      </w:pPr>
      <w:r>
        <w:rPr>
          <w:rFonts w:ascii="Aptos" w:hAnsi="Aptos"/>
          <w:sz w:val="21"/>
        </w:rPr>
        <w:t>Chunk structurally and hierarchically rather than using blind fixed-token splits. Preserve Document -&gt; Heading/Section -&gt; Parent Chunk -&gt; Child Chunk relationships. Retrieve smaller child chunks for precision, then expand to the parent section for generation. Keep logical tables intact and preserve formulas/LaTeX/MathML when available.</w:t>
      </w:r>
    </w:p>
    <w:p>
      <w:pPr>
        <w:pStyle w:val="ListParagraph"/>
        <w:numPr>
          <w:ilvl w:val="0"/>
          <w:numId w:val="2"/>
        </w:numPr>
        <w:spacing w:after="100"/>
        <w:ind w:left="317" w:hanging="173"/>
      </w:pPr>
      <w:r>
        <w:rPr>
          <w:rFonts w:ascii="Calibri" w:cs="Calibri" w:eastAsia="Calibri" w:hAnsi="Calibri"/>
          <w:color w:val="4A4A4A"/>
          <w:sz w:val="20"/>
          <w:szCs w:val="20"/>
        </w:rPr>
        <w:t xml:space="preserve">Hash every chunk (SHA-256) before inserting it, and skip duplicates. Professors commonly reuse the same slides or notes across multiple years and sections — deduplication keeps the index lean.</w:t>
      </w:r>
    </w:p>
    <w:p>
      <w:pPr>
        <w:pStyle w:val="ListParagraph"/>
        <w:numPr>
          <w:ilvl w:val="0"/>
          <w:numId w:val="2"/>
        </w:numPr>
        <w:spacing w:after="100"/>
        <w:ind w:left="317" w:hanging="173"/>
      </w:pPr>
      <w:r>
        <w:rPr>
          <w:rFonts w:ascii="Aptos" w:hAnsi="Aptos"/>
          <w:sz w:val="21"/>
        </w:rPr>
        <w:t>Store document_id, immutable document_version, page, bounding box, section_id, parent_chunk_id, parser/version, OCR engine/quality and embedding model/version on retrievable units so citations and re-indexing remain reproducible.</w:t>
      </w:r>
    </w:p>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Smaller, cleaner index; fewer near-duplicate chunks competing for the same answer slot.</w:t>
      </w:r>
    </w:p>
    <w:p>
      <w:pPr>
        <w:pStyle w:val="Heading1"/>
        <w:shd w:fill="152A47" w:val="clear"/>
        <w:spacing w:after="100" w:before="120"/>
      </w:pPr>
      <w:r>
        <w:rPr>
          <w:rFonts w:ascii="Calibri" w:cs="Calibri" w:eastAsia="Calibri" w:hAnsi="Calibri"/>
          <w:b/>
          <w:bCs/>
          <w:color w:val="FFFFFF"/>
          <w:sz w:val="28"/>
          <w:szCs w:val="28"/>
        </w:rPr>
        <w:t xml:space="preserve">PHASE 3 · Embedding &amp; Vector Storage</w:t>
      </w:r>
    </w:p>
    <w:p>
      <w:pPr>
        <w:pStyle w:val="ListParagraph"/>
        <w:numPr>
          <w:ilvl w:val="0"/>
          <w:numId w:val="2"/>
        </w:numPr>
        <w:spacing w:after="100"/>
        <w:ind w:left="317" w:hanging="173"/>
      </w:pPr>
      <w:r>
        <w:rPr>
          <w:rFonts w:ascii="Aptos" w:hAnsi="Aptos"/>
          <w:sz w:val="21"/>
        </w:rPr>
        <w:t>Embedding baseline: self-host Qwen3-Embedding-0.6B for the initial economical deployment, with Qwen3-Embedding-4B/8B as quality tiers after evaluation. Use Sentence Transformers 5.5+ (or the model-native runtime) behind a swappable embedding service. Multilingual retrieval is core scope, not a future-only feature.</w:t>
      </w:r>
    </w:p>
    <w:p>
      <w:pPr>
        <w:pStyle w:val="ListParagraph"/>
        <w:numPr>
          <w:ilvl w:val="0"/>
          <w:numId w:val="2"/>
        </w:numPr>
        <w:spacing w:after="100"/>
        <w:ind w:left="317" w:hanging="173"/>
      </w:pPr>
      <w:r>
        <w:rPr>
          <w:rFonts w:ascii="Aptos" w:hAnsi="Aptos"/>
          <w:sz w:val="21"/>
        </w:rPr>
        <w:t>Generate DOCUMENT embeddings asynchronously during ingestion and store them in the vector index. Generate the STUDENT QUERY embedding once at query time for dense retrieval (using the model's recommended query instruction/prefix when applicable). Query embeddings may be cached for repeated normalized questions; document embeddings must not be recomputed on every request.</w:t>
      </w:r>
    </w:p>
    <w:p>
      <w:pPr>
        <w:pStyle w:val="ListParagraph"/>
        <w:numPr>
          <w:ilvl w:val="0"/>
          <w:numId w:val="2"/>
        </w:numPr>
        <w:spacing w:after="100"/>
        <w:ind w:left="317" w:hanging="173"/>
      </w:pPr>
      <w:r>
        <w:rPr>
          <w:rFonts w:ascii="Aptos" w:hAnsi="Aptos"/>
          <w:sz w:val="21"/>
        </w:rPr>
        <w:t>Vector database: use Qdrant as the primary implementation. Prefer a small number of shared collections with mandatory server-side payload filters (tenant/security domain, department, programme, course, semester, access level and corpus version) rather than one collection per course. Keep Milvus as an architectural alternative for future re-evaluation.</w:t>
      </w:r>
    </w:p>
    <w:p>
      <w:pPr>
        <w:pStyle w:val="ListParagraph"/>
        <w:numPr>
          <w:ilvl w:val="0"/>
          <w:numId w:val="2"/>
        </w:numPr>
        <w:spacing w:after="100"/>
        <w:ind w:left="317" w:hanging="173"/>
      </w:pPr>
      <w:r>
        <w:rPr>
          <w:rFonts w:ascii="Calibri" w:cs="Calibri" w:eastAsia="Calibri" w:hAnsi="Calibri"/>
          <w:color w:val="4A4A4A"/>
          <w:sz w:val="20"/>
          <w:szCs w:val="20"/>
        </w:rPr>
        <w:t xml:space="preserve">Keep PostgreSQL alongside the vector DB for structured metadata, user/course records, and a full-text fallback search.</w:t>
      </w:r>
    </w:p>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Query-time embedding cost disappears; search space per query shrinks by an order of magnitude.</w:t>
      </w:r>
    </w:p>
    <w:p>
      <w:pPr>
        <w:pStyle w:val="Heading1"/>
        <w:shd w:fill="152A47" w:val="clear"/>
        <w:spacing w:after="100" w:before="120"/>
      </w:pPr>
      <w:r>
        <w:rPr>
          <w:rFonts w:ascii="Calibri" w:cs="Calibri" w:eastAsia="Calibri" w:hAnsi="Calibri"/>
          <w:b/>
          <w:bCs/>
          <w:color w:val="FFFFFF"/>
          <w:sz w:val="28"/>
          <w:szCs w:val="28"/>
        </w:rPr>
        <w:t xml:space="preserve">PHASE 4 · Hybrid Retrieval &amp; Reranking</w:t>
      </w:r>
    </w:p>
    <w:p>
      <w:pPr>
        <w:pStyle w:val="ListParagraph"/>
        <w:numPr>
          <w:ilvl w:val="0"/>
          <w:numId w:val="2"/>
        </w:numPr>
        <w:spacing w:after="100"/>
        <w:ind w:left="317" w:hanging="173"/>
      </w:pPr>
      <w:r>
        <w:rPr>
          <w:rFonts w:ascii="Calibri" w:cs="Calibri" w:eastAsia="Calibri" w:hAnsi="Calibri"/>
          <w:color w:val="4A4A4A"/>
          <w:sz w:val="20"/>
          <w:szCs w:val="20"/>
        </w:rPr>
        <w:t xml:space="preserve">Step 1 — metadata pre-filter: narrow to the student's course/department/semester before any vector math runs.</w:t>
      </w:r>
    </w:p>
    <w:p>
      <w:pPr>
        <w:pStyle w:val="ListParagraph"/>
        <w:numPr>
          <w:ilvl w:val="0"/>
          <w:numId w:val="2"/>
        </w:numPr>
        <w:spacing w:after="100"/>
        <w:ind w:left="317" w:hanging="173"/>
      </w:pPr>
      <w:r>
        <w:rPr>
          <w:rFonts w:ascii="Calibri" w:cs="Calibri" w:eastAsia="Calibri" w:hAnsi="Calibri"/>
          <w:color w:val="4A4A4A"/>
          <w:sz w:val="20"/>
          <w:szCs w:val="20"/>
        </w:rPr>
        <w:t xml:space="preserve">Step 2 — BM25 sparse retrieval: catches exact terms, formulas, and names that embeddings (especially ones derived from imperfect OCR text) can miss.</w:t>
      </w:r>
    </w:p>
    <w:p>
      <w:pPr>
        <w:pStyle w:val="ListParagraph"/>
        <w:numPr>
          <w:ilvl w:val="0"/>
          <w:numId w:val="2"/>
        </w:numPr>
        <w:spacing w:after="100"/>
        <w:ind w:left="317" w:hanging="173"/>
      </w:pPr>
      <w:r>
        <w:rPr>
          <w:rFonts w:ascii="Calibri" w:cs="Calibri" w:eastAsia="Calibri" w:hAnsi="Calibri"/>
          <w:color w:val="4A4A4A"/>
          <w:sz w:val="20"/>
          <w:szCs w:val="20"/>
        </w:rPr>
        <w:t xml:space="preserve">Step 3 — dense ANN vector search on the filtered namespace.</w:t>
      </w:r>
    </w:p>
    <w:p>
      <w:pPr>
        <w:pStyle w:val="ListParagraph"/>
        <w:numPr>
          <w:ilvl w:val="0"/>
          <w:numId w:val="2"/>
        </w:numPr>
        <w:spacing w:after="100"/>
        <w:ind w:left="317" w:hanging="173"/>
      </w:pPr>
      <w:r>
        <w:rPr>
          <w:rFonts w:ascii="Calibri" w:cs="Calibri" w:eastAsia="Calibri" w:hAnsi="Calibri"/>
          <w:color w:val="4A4A4A"/>
          <w:sz w:val="20"/>
          <w:szCs w:val="20"/>
        </w:rPr>
        <w:t xml:space="preserve">Step 4 — merge both result sets using Reciprocal Rank Fusion (RRF).</w:t>
      </w:r>
    </w:p>
    <w:p>
      <w:pPr>
        <w:pStyle w:val="ListParagraph"/>
        <w:numPr>
          <w:ilvl w:val="0"/>
          <w:numId w:val="2"/>
        </w:numPr>
        <w:spacing w:after="100"/>
        <w:ind w:left="317" w:hanging="173"/>
      </w:pPr>
      <w:r>
        <w:rPr>
          <w:rFonts w:ascii="Aptos" w:hAnsi="Aptos"/>
          <w:sz w:val="21"/>
        </w:rPr>
        <w:t>Step 5 - rerank the fused top candidates with Qwen3-Reranker-0.6B as the default local reranker; evaluate the 4B tier for higher-quality use cases. Retain the reranker behind an interface so future late-interaction/ColBERT-style stages can be introduced without changing API contracts.</w:t>
      </w:r>
    </w:p>
    <w:p>
      <w:pPr>
        <w:spacing w:after="100"/>
      </w:pPr>
    </w:p>
    <w:p>
      <w:pPr>
        <w:spacing w:after="100"/>
      </w:pPr>
      <w:r>
        <w:rPr>
          <w:rFonts w:ascii="Calibri" w:cs="Calibri" w:eastAsia="Calibri" w:hAnsi="Calibri"/>
          <w:color w:val="4A4A4A"/>
          <w:sz w:val="20"/>
          <w:szCs w:val="20"/>
        </w:rPr>
        <w:t xml:space="preserve">Hybrid retrieval matters more here than in a typical corporate RAG system, precisely because OCR errors from handwritten pages hurt embedding-based search more than they hurt exact keyword search.</w:t>
      </w: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Same latency budget, meaningfully better answer quality — especially on OCR-derived content.</w:t>
      </w:r>
    </w:p>
    <w:p>
      <w:pPr>
        <w:spacing w:after="100"/>
      </w:pPr>
      <w:r>
        <w:br w:type="page"/>
      </w:r>
    </w:p>
    <w:p>
      <w:pPr>
        <w:pStyle w:val="Heading1"/>
        <w:shd w:fill="152A47" w:val="clear"/>
        <w:spacing w:after="100" w:before="120"/>
      </w:pPr>
      <w:r>
        <w:rPr>
          <w:rFonts w:ascii="Calibri" w:cs="Calibri" w:eastAsia="Calibri" w:hAnsi="Calibri"/>
          <w:b/>
          <w:bCs/>
          <w:color w:val="FFFFFF"/>
          <w:sz w:val="28"/>
          <w:szCs w:val="28"/>
        </w:rPr>
        <w:t xml:space="preserve">PHASE 5 · Local-First LLM Layer</w:t>
      </w:r>
    </w:p>
    <w:p>
      <w:pPr>
        <w:spacing w:after="100"/>
      </w:pPr>
      <w:r>
        <w:rPr>
          <w:rFonts w:ascii="Calibri" w:cs="Calibri" w:eastAsia="Calibri" w:hAnsi="Calibri"/>
          <w:i/>
          <w:iCs/>
          <w:color w:val="2E6DA4"/>
          <w:sz w:val="20"/>
          <w:szCs w:val="20"/>
        </w:rPr>
        <w:t xml:space="preserve">Self-hosted by default; an OpenAI-format API is an optional, disableable fallback — never a requirement</w:t>
      </w:r>
    </w:p>
    <w:p>
      <w:pPr>
        <w:spacing w:after="100"/>
      </w:pPr>
      <w:r>
        <w:rPr>
          <w:rFonts w:ascii="Calibri" w:cs="Calibri" w:eastAsia="Calibri" w:hAnsi="Calibri"/>
          <w:color w:val="4A4A4A"/>
          <w:sz w:val="20"/>
          <w:szCs w:val="20"/>
        </w:rPr>
        <w:t xml:space="preserve">This is the layer your earlier plan got backwards: the default here is local, not a hosted API. The interface stays the same OpenAI-compatible schema, but the actual answer is generated on your own GPUs unless you deliberately turn on a hosted fallback.</w:t>
      </w:r>
    </w:p>
    <w:p>
      <w:pPr>
        <w:pStyle w:val="Heading2"/>
        <w:spacing w:after="100" w:before="160"/>
      </w:pPr>
      <w:r>
        <w:rPr>
          <w:rFonts w:ascii="Calibri" w:cs="Calibri" w:eastAsia="Calibri" w:hAnsi="Calibri"/>
          <w:b/>
          <w:bCs/>
          <w:color w:val="2E6DA4"/>
          <w:sz w:val="24"/>
          <w:szCs w:val="24"/>
        </w:rPr>
        <w:t xml:space="preserve">Design</w:t>
      </w:r>
    </w:p>
    <w:p>
      <w:pPr>
        <w:pStyle w:val="ListParagraph"/>
        <w:numPr>
          <w:ilvl w:val="0"/>
          <w:numId w:val="2"/>
        </w:numPr>
        <w:spacing w:after="100"/>
        <w:ind w:left="317" w:hanging="173"/>
      </w:pPr>
      <w:r>
        <w:rPr>
          <w:rFonts w:ascii="Aptos" w:hAnsi="Aptos"/>
          <w:sz w:val="21"/>
        </w:rPr>
        <w:t>Expose a single internal OpenAI-compatible inference boundary. Support /v1/responses as the preferred forward-looking interface, retain /v1/chat/completions for compatibility, and expose embeddings only to trusted internal services. The student/browser never connects directly to vLLM.</w:t>
      </w:r>
    </w:p>
    <w:p>
      <w:pPr>
        <w:spacing w:after="100"/>
      </w:pPr>
    </w:p>
    <w:tbl>
      <w:tblPr>
        <w:tblW w:type="dxa" w:w="9359"/>
        <w:jc w:val="center"/>
        <w:tblBorders>
          <w:top w:val="single" w:color="auto" w:sz="4"/>
          <w:left w:val="single" w:color="auto" w:sz="4"/>
          <w:bottom w:val="single" w:color="auto" w:sz="4"/>
          <w:right w:val="single" w:color="auto" w:sz="4"/>
          <w:insideH w:val="single" w:color="auto" w:sz="4"/>
          <w:insideV w:val="single" w:color="auto" w:sz="4"/>
        </w:tblBorders>
      </w:tblPr>
      <w:tblGrid>
        <w:gridCol w:w="2448"/>
        <w:gridCol w:w="4176"/>
        <w:gridCol w:w="2735"/>
      </w:tblGrid>
      <w:tr>
        <w:trPr>
          <w:tblHeader/>
        </w:trPr>
        <w:tc>
          <w:tcPr>
            <w:tcW w:type="dxa" w:w="2448"/>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Backend type</w:t>
            </w:r>
          </w:p>
        </w:tc>
        <w:tc>
          <w:tcPr>
            <w:tcW w:type="dxa" w:w="4176"/>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Examples</w:t>
            </w:r>
          </w:p>
        </w:tc>
        <w:tc>
          <w:tcPr>
            <w:tcW w:type="dxa" w:w="2735"/>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Default state</w:t>
            </w:r>
          </w:p>
        </w:tc>
      </w:tr>
      <w:tr>
        <w:tc>
          <w:tcPr>
            <w:tcW w:type="dxa" w:w="2448"/>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Local / self-hosted (primary)</w:t>
            </w:r>
          </w:p>
        </w:tc>
        <w:tc>
          <w:tcPr>
            <w:tcW w:type="dxa" w:w="4176"/>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Ollama (simple) or vLLM (high-throughput, continuous batching) running an open model - Llama, Mistral, or Qwen - on your own GPUs</w:t>
            </w:r>
          </w:p>
        </w:tc>
        <w:tc>
          <w:tcPr>
            <w:tcW w:type="dxa" w:w="2735"/>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ON by default</w:t>
            </w:r>
          </w:p>
        </w:tc>
      </w:tr>
      <w:tr>
        <w:tc>
          <w:tcPr>
            <w:tcW w:type="dxa" w:w="2448"/>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Hosted / OpenAI-format (fallback)</w:t>
            </w:r>
          </w:p>
        </w:tc>
        <w:tc>
          <w:tcPr>
            <w:tcW w:type="dxa" w:w="4176"/>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OpenAI, Azure OpenAI, or Anthropic via an OpenAI-compatible shim</w:t>
            </w:r>
          </w:p>
        </w:tc>
        <w:tc>
          <w:tcPr>
            <w:tcW w:type="dxa" w:w="2735"/>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OFF by default: opt in per department, or auto-overflow if local GPUs saturate</w:t>
            </w:r>
          </w:p>
        </w:tc>
      </w:tr>
    </w:tbl>
    <w:p>
      <w:pPr>
        <w:spacing w:after="100"/>
      </w:pPr>
    </w:p>
    <w:p>
      <w:pPr>
        <w:pStyle w:val="ListParagraph"/>
        <w:numPr>
          <w:ilvl w:val="0"/>
          <w:numId w:val="2"/>
        </w:numPr>
        <w:spacing w:after="100"/>
        <w:ind w:left="317" w:hanging="173"/>
      </w:pPr>
      <w:r>
        <w:rPr>
          <w:rFonts w:ascii="Calibri" w:cs="Calibri" w:eastAsia="Calibri" w:hAnsi="Calibri"/>
          <w:color w:val="4A4A4A"/>
          <w:sz w:val="20"/>
          <w:szCs w:val="20"/>
        </w:rPr>
        <w:t xml:space="preserve">A gateway such as LiteLLM still fits here — configure your local endpoints as the default route and any hosted provider as a lower-priority, opt-in route. Note: LiteLLM's self-hosted proxy had a supply-chain incident in March 2026 (malicious PyPI releases); if you use it, pin to a patched release and track its security advisories like any other dependency with broad credential access. Bifrost (Go-based, open-source, Apache 2.0) is a strong alternative built specifically for this kind of on-prem/air-gapped enterprise deployment, with materially lower per-request overhead at high concurrency.</w:t>
      </w:r>
    </w:p>
    <w:p>
      <w:pPr>
        <w:pStyle w:val="ListParagraph"/>
        <w:numPr>
          <w:ilvl w:val="0"/>
          <w:numId w:val="2"/>
        </w:numPr>
        <w:spacing w:after="100"/>
        <w:ind w:left="317" w:hanging="173"/>
      </w:pPr>
      <w:r>
        <w:rPr>
          <w:rFonts w:ascii="Calibri" w:cs="Calibri" w:eastAsia="Calibri" w:hAnsi="Calibri"/>
          <w:color w:val="4A4A4A"/>
          <w:sz w:val="20"/>
          <w:szCs w:val="20"/>
        </w:rPr>
        <w:t xml:space="preserve">Make model selection config-driven: per department, or an automatic fallback to a hosted API only if local GPU capacity is fully saturated during peak (exam-week) load — and only if that fallback has been explicitly enabled.</w:t>
      </w:r>
    </w:p>
    <w:p>
      <w:pPr>
        <w:pStyle w:val="ListParagraph"/>
        <w:numPr>
          <w:ilvl w:val="0"/>
          <w:numId w:val="2"/>
        </w:numPr>
        <w:spacing w:after="100"/>
        <w:ind w:left="317" w:hanging="173"/>
      </w:pPr>
      <w:r>
        <w:rPr>
          <w:rFonts w:ascii="Calibri" w:cs="Calibri" w:eastAsia="Calibri" w:hAnsi="Calibri"/>
          <w:color w:val="4A4A4A"/>
          <w:sz w:val="20"/>
          <w:szCs w:val="20"/>
        </w:rPr>
        <w:t xml:space="preserve">As of mid-2026, active open-weight families worth shortlisting for self-hosting include Qwen, Llama, DeepSeek, Gemma, and Mistral — exact version numbers and rankings shift monthly, so pick your final checkpoint against a current leaderboard (Artificial Analysis, LMSYS/LMArena) and your own evaluation set (Phase 14) rather than a name in this document.</w:t>
      </w:r>
    </w:p>
    <w:p>
      <w:pPr>
        <w:spacing w:after="100"/>
      </w:pPr>
    </w:p>
    <w:p>
      <w:pPr>
        <w:pStyle w:val="Heading2"/>
        <w:spacing w:after="100" w:before="160"/>
      </w:pPr>
      <w:r>
        <w:rPr>
          <w:rFonts w:ascii="Calibri" w:cs="Calibri" w:eastAsia="Calibri" w:hAnsi="Calibri"/>
          <w:b/>
          <w:bCs/>
          <w:color w:val="2E6DA4"/>
          <w:sz w:val="24"/>
          <w:szCs w:val="24"/>
        </w:rPr>
        <w:t xml:space="preserve">Local GPU capacity planning</w:t>
      </w:r>
    </w:p>
    <w:p>
      <w:pPr>
        <w:pStyle w:val="ListParagraph"/>
        <w:numPr>
          <w:ilvl w:val="0"/>
          <w:numId w:val="2"/>
        </w:numPr>
        <w:spacing w:after="100"/>
        <w:ind w:left="317" w:hanging="173"/>
      </w:pPr>
      <w:r>
        <w:rPr>
          <w:rFonts w:ascii="Calibri" w:cs="Calibri" w:eastAsia="Calibri" w:hAnsi="Calibri"/>
          <w:color w:val="4A4A4A"/>
          <w:sz w:val="20"/>
          <w:szCs w:val="20"/>
        </w:rPr>
        <w:t xml:space="preserve">Throughput per GPU depends heavily on model size and quantization — a quantized 7B-13B model on a single modern GPU with vLLM's continuous batching can typically sustain a meaningful number of concurrent requests, but confirm this on your actual hardware with a load test rather than assuming it.</w:t>
      </w:r>
    </w:p>
    <w:p>
      <w:pPr>
        <w:pStyle w:val="ListParagraph"/>
        <w:numPr>
          <w:ilvl w:val="0"/>
          <w:numId w:val="2"/>
        </w:numPr>
        <w:spacing w:after="100"/>
        <w:ind w:left="317" w:hanging="173"/>
      </w:pPr>
      <w:r>
        <w:rPr>
          <w:rFonts w:ascii="Calibri" w:cs="Calibri" w:eastAsia="Calibri" w:hAnsi="Calibri"/>
          <w:color w:val="4A4A4A"/>
          <w:sz w:val="20"/>
          <w:szCs w:val="20"/>
        </w:rPr>
        <w:t xml:space="preserve">At larger scale, look at prefill/decode disaggregation (vLLM's NIXLConnector, or SGLang) — splitting the prompt-processing and token-generation stages across different GPU pools removes the interference between them and is a standard 2026 technique for squeezing meaningfully more throughput out of the same GPU fleet under high concurrent load; treat it as a Phase 2 optimization once the simpler colocated setup is running and you can measure where the ceiling actually is.</w:t>
      </w:r>
    </w:p>
    <w:p>
      <w:pPr>
        <w:pStyle w:val="ListParagraph"/>
        <w:numPr>
          <w:ilvl w:val="0"/>
          <w:numId w:val="2"/>
        </w:numPr>
        <w:spacing w:after="100"/>
        <w:ind w:left="317" w:hanging="173"/>
      </w:pPr>
      <w:r>
        <w:rPr>
          <w:rFonts w:ascii="Calibri" w:cs="Calibri" w:eastAsia="Calibri" w:hAnsi="Calibri"/>
          <w:color w:val="4A4A4A"/>
          <w:sz w:val="20"/>
          <w:szCs w:val="20"/>
        </w:rPr>
        <w:t xml:space="preserve">Plan for horizontal GPU scaling: add GPU worker nodes as concurrent load grows, the same way you'd add API replicas — the LLM tier autoscales independently of the API tier (Phase 9).</w:t>
      </w:r>
    </w:p>
    <w:p>
      <w:pPr>
        <w:pStyle w:val="ListParagraph"/>
        <w:numPr>
          <w:ilvl w:val="0"/>
          <w:numId w:val="2"/>
        </w:numPr>
        <w:spacing w:after="100"/>
        <w:ind w:left="317" w:hanging="173"/>
      </w:pPr>
      <w:r>
        <w:rPr>
          <w:rFonts w:ascii="Calibri" w:cs="Calibri" w:eastAsia="Calibri" w:hAnsi="Calibri"/>
          <w:color w:val="4A4A4A"/>
          <w:sz w:val="20"/>
          <w:szCs w:val="20"/>
        </w:rPr>
        <w:t xml:space="preserve">Quantized models (4-bit/8-bit) trade a small amount of answer quality for meaningfully more concurrent capacity per GPU — worth testing against your own question set before settling on a model size.</w:t>
      </w:r>
    </w:p>
    <w:p>
      <w:pPr>
        <w:spacing w:after="100"/>
      </w:pPr>
    </w:p>
    <w:p>
      <w:pPr>
        <w:pStyle w:val="Heading2"/>
        <w:spacing w:after="100" w:before="160"/>
      </w:pPr>
      <w:r>
        <w:rPr>
          <w:rFonts w:ascii="Aptos" w:hAnsi="Aptos"/>
          <w:sz w:val="21"/>
        </w:rPr>
        <w:t>Setup profiles: auto-detection is convenient in development, but production GPU deployments MUST require a healthy GPU. If CUDA/GPU is unavailable in production, readiness fails instead of silently switching to CPU and collapsing capacity. CPU fallback is allowed only in explicit development profiles.</w:t>
      </w:r>
    </w:p>
    <w:p>
      <w:pPr>
        <w:pStyle w:val="ListParagraph"/>
        <w:numPr>
          <w:ilvl w:val="0"/>
          <w:numId w:val="2"/>
        </w:numPr>
        <w:spacing w:after="100"/>
        <w:ind w:left="317" w:hanging="173"/>
      </w:pPr>
      <w:r>
        <w:rPr>
          <w:rFonts w:ascii="Calibri" w:cs="Calibri" w:eastAsia="Calibri" w:hAnsi="Calibri"/>
          <w:color w:val="4A4A4A"/>
          <w:sz w:val="20"/>
          <w:szCs w:val="20"/>
        </w:rPr>
        <w:t xml:space="preserve">Not every ingestion or dev machine in this project will have a GPU, and the install steps shouldn't assume one. Have your setup script check for a usable GPU first (e.g. does nvidia-smi succeed / is CUDA visible) and branch from that single check: GPU present → install vLLM with CUDA support and the full-size local model; no GPU detected → install Ollama in CPU mode with a smaller quantized checkpoint, so the box still answers questions, just more slowly.</w:t>
      </w:r>
    </w:p>
    <w:p>
      <w:pPr>
        <w:pStyle w:val="ListParagraph"/>
        <w:numPr>
          <w:ilvl w:val="0"/>
          <w:numId w:val="2"/>
        </w:numPr>
        <w:spacing w:after="100"/>
        <w:ind w:left="317" w:hanging="173"/>
      </w:pPr>
      <w:r>
        <w:rPr>
          <w:rFonts w:ascii="Calibri" w:cs="Calibri" w:eastAsia="Calibri" w:hAnsi="Calibri"/>
          <w:color w:val="4A4A4A"/>
          <w:sz w:val="20"/>
          <w:szCs w:val="20"/>
        </w:rPr>
        <w:t xml:space="preserve">The same auto-detect check should decide whether the vision-language OCR path (Phase 1's handwriting models, Phase 16) runs at all on a given worker — it's GPU-bound and should be skipped on CPU-only ingestion nodes in favor of OpenDataLoader PDF's hybrid mode.</w:t>
      </w:r>
    </w:p>
    <w:p>
      <w:pPr>
        <w:pStyle w:val="ListParagraph"/>
        <w:numPr>
          <w:ilvl w:val="0"/>
          <w:numId w:val="2"/>
        </w:numPr>
        <w:spacing w:after="100"/>
        <w:ind w:left="317" w:hanging="173"/>
      </w:pPr>
      <w:r>
        <w:rPr>
          <w:rFonts w:ascii="Calibri" w:cs="Calibri" w:eastAsia="Calibri" w:hAnsi="Calibri"/>
          <w:color w:val="4A4A4A"/>
          <w:sz w:val="20"/>
          <w:szCs w:val="20"/>
        </w:rPr>
        <w:t xml:space="preserve">OpenDataLoader PDF sits outside this branch entirely — install it (pip install "opendataloader-pdf[hybrid]", or the npm/Java equivalent) on every ingestion worker the same way regardless of what the GPU check finds. It's CPU-only by design, so it never competes with the GPU budget you're reserving for LLM inference and VLM-based OCR.</w:t>
      </w:r>
    </w:p>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Every student query is answered on infrastructure you own by default; a hosted API only ever runs if and when you choose to switch it on.</w:t>
      </w:r>
    </w:p>
    <w:p>
      <w:pPr>
        <w:spacing w:after="100"/>
      </w:pPr>
      <w:r>
        <w:br w:type="page"/>
      </w:r>
    </w:p>
    <w:p>
      <w:pPr>
        <w:pStyle w:val="Heading1"/>
        <w:shd w:fill="152A47" w:val="clear"/>
        <w:spacing w:after="100" w:before="120"/>
      </w:pPr>
      <w:r>
        <w:rPr>
          <w:rFonts w:ascii="Calibri" w:cs="Calibri" w:eastAsia="Calibri" w:hAnsi="Calibri"/>
          <w:b/>
          <w:bCs/>
          <w:color w:val="FFFFFF"/>
          <w:sz w:val="28"/>
          <w:szCs w:val="28"/>
        </w:rPr>
        <w:t xml:space="preserve">PHASE 6 · Core API</w:t>
      </w:r>
    </w:p>
    <w:p>
      <w:pPr>
        <w:spacing w:after="100"/>
      </w:pPr>
      <w:r>
        <w:rPr>
          <w:rFonts w:ascii="Calibri" w:cs="Calibri" w:eastAsia="Calibri" w:hAnsi="Calibri"/>
          <w:i/>
          <w:iCs/>
          <w:color w:val="2E6DA4"/>
          <w:sz w:val="20"/>
          <w:szCs w:val="20"/>
        </w:rPr>
        <w:t xml:space="preserve">Build and harden this before touching the university portal</w:t>
      </w:r>
    </w:p>
    <w:p>
      <w:pPr>
        <w:pStyle w:val="Heading2"/>
        <w:spacing w:after="100" w:before="160"/>
      </w:pPr>
      <w:r>
        <w:rPr>
          <w:rFonts w:ascii="Calibri" w:cs="Calibri" w:eastAsia="Calibri" w:hAnsi="Calibri"/>
          <w:b/>
          <w:bCs/>
          <w:color w:val="2E6DA4"/>
          <w:sz w:val="24"/>
          <w:szCs w:val="24"/>
        </w:rPr>
        <w:t xml:space="preserve">Endpoints</w:t>
      </w:r>
    </w:p>
    <w:tbl>
      <w:tblPr>
        <w:tblW w:type="dxa" w:w="9460"/>
        <w:jc w:val="center"/>
        <w:tblBorders>
          <w:top w:val="single" w:color="auto" w:sz="4"/>
          <w:left w:val="single" w:color="auto" w:sz="4"/>
          <w:bottom w:val="single" w:color="auto" w:sz="4"/>
          <w:right w:val="single" w:color="auto" w:sz="4"/>
          <w:insideH w:val="single" w:color="auto" w:sz="4"/>
          <w:insideV w:val="single" w:color="auto" w:sz="4"/>
        </w:tblBorders>
      </w:tblPr>
      <w:tblGrid>
        <w:gridCol w:w="9460"/>
      </w:tblGrid>
      <w:tr>
        <w:tc>
          <w:tcPr>
            <w:tcW w:type="dxa" w:w="9460"/>
            <w:shd w:fill="F3F3F3" w:val="clear"/>
            <w:tcMar>
              <w:top w:type="dxa" w:w="120"/>
              <w:left w:type="dxa" w:w="100"/>
              <w:bottom w:type="dxa" w:w="120"/>
              <w:right w:type="dxa" w:w="60"/>
            </w:tcMar>
            <w:vAlign w:val="center"/>
          </w:tcPr>
          <w:p>
            <w:pPr>
              <w:spacing w:after="0"/>
            </w:pPr>
            <w:r>
              <w:rPr>
                <w:rFonts w:ascii="Aptos" w:cs="Consolas" w:eastAsia="Consolas" w:hAnsi="Aptos"/>
                <w:b/>
                <w:color w:val="152A47"/>
                <w:sz w:val="18"/>
                <w:szCs w:val="16"/>
              </w:rPr>
              <w:t xml:space="preserve">POST /v1/chat/completions   -&gt; OpenAI-compatible endpoint (drop-in for existing tools)</w:t>
            </w:r>
          </w:p>
          <w:p>
            <w:pPr>
              <w:spacing w:after="0"/>
            </w:pPr>
            <w:r>
              <w:rPr>
                <w:rFonts w:ascii="Aptos" w:cs="Consolas" w:eastAsia="Consolas" w:hAnsi="Aptos"/>
                <w:b/>
                <w:color w:val="152A47"/>
                <w:sz w:val="18"/>
                <w:szCs w:val="16"/>
              </w:rPr>
              <w:t xml:space="preserve">POST /ask                   -&gt; student endpoint: question + course -&gt; answer + citations</w:t>
            </w:r>
          </w:p>
          <w:p>
            <w:pPr>
              <w:spacing w:after="0"/>
            </w:pPr>
            <w:r>
              <w:rPr>
                <w:rFonts w:ascii="Aptos" w:cs="Consolas" w:eastAsia="Consolas" w:hAnsi="Aptos"/>
                <w:b/>
                <w:color w:val="152A47"/>
                <w:sz w:val="18"/>
                <w:szCs w:val="16"/>
              </w:rPr>
              <w:t xml:space="preserve">POST /sources/folder        -&gt; register a watched folder (Phase 1); auto-syncs ingestion</w:t>
            </w:r>
          </w:p>
          <w:p>
            <w:pPr>
              <w:spacing w:after="0"/>
            </w:pPr>
            <w:r>
              <w:rPr>
                <w:rFonts w:ascii="Aptos" w:cs="Consolas" w:eastAsia="Consolas" w:hAnsi="Aptos"/>
                <w:b/>
                <w:color w:val="152A47"/>
                <w:sz w:val="18"/>
                <w:szCs w:val="16"/>
              </w:rPr>
              <w:t xml:space="preserve">POST /documents             -&gt; manual one-off admin upload, triggers async ingestion (Phase 8)</w:t>
            </w:r>
          </w:p>
          <w:p>
            <w:pPr>
              <w:spacing w:after="0"/>
            </w:pPr>
            <w:r>
              <w:rPr>
                <w:rFonts w:ascii="Aptos" w:cs="Consolas" w:eastAsia="Consolas" w:hAnsi="Aptos"/>
                <w:b/>
                <w:color w:val="152A47"/>
                <w:sz w:val="18"/>
                <w:szCs w:val="16"/>
              </w:rPr>
              <w:t xml:space="preserve">GET  /health                -&gt; load balancer / Kubernetes health probe</w:t>
            </w:r>
          </w:p>
          <w:p>
            <w:pPr>
              <w:spacing w:after="0"/>
            </w:pPr>
            <w:r>
              <w:rPr>
                <w:rFonts w:ascii="Aptos" w:cs="Consolas" w:eastAsia="Consolas" w:hAnsi="Aptos"/>
                <w:b/>
                <w:color w:val="152A47"/>
                <w:sz w:val="18"/>
                <w:szCs w:val="16"/>
              </w:rPr>
              <w:t xml:space="preserve">GET  /metrics               -&gt; Prometheus scrape endpoint</w:t>
            </w:r>
          </w:p>
        </w:tc>
      </w:tr>
    </w:tbl>
    <w:p>
      <w:pPr>
        <w:spacing w:after="100"/>
      </w:pPr>
    </w:p>
    <w:p>
      <w:pPr>
        <w:pStyle w:val="ListParagraph"/>
        <w:numPr>
          <w:ilvl w:val="0"/>
          <w:numId w:val="2"/>
        </w:numPr>
        <w:spacing w:after="100"/>
        <w:ind w:left="317" w:hanging="173"/>
      </w:pPr>
      <w:r>
        <w:rPr>
          <w:rFonts w:ascii="Calibri" w:cs="Calibri" w:eastAsia="Calibri" w:hAnsi="Calibri"/>
          <w:color w:val="4A4A4A"/>
          <w:sz w:val="20"/>
          <w:szCs w:val="20"/>
        </w:rPr>
        <w:t xml:space="preserve">Every answer returns source citations (document, page, section) — essential for a student or professor to trust and verify the response.</w:t>
      </w:r>
    </w:p>
    <w:p>
      <w:pPr>
        <w:pStyle w:val="ListParagraph"/>
        <w:numPr>
          <w:ilvl w:val="0"/>
          <w:numId w:val="2"/>
        </w:numPr>
        <w:spacing w:after="100"/>
        <w:ind w:left="317" w:hanging="173"/>
      </w:pPr>
      <w:r>
        <w:rPr>
          <w:rFonts w:ascii="Calibri" w:cs="Calibri" w:eastAsia="Calibri" w:hAnsi="Calibri"/>
          <w:color w:val="4A4A4A"/>
          <w:sz w:val="20"/>
          <w:szCs w:val="20"/>
        </w:rPr>
        <w:t xml:space="preserve">Support stream: true on both endpoints (Server-Sent Events) from the start — streaming the answer token-by-token is what makes a 2-3 second generation feel instant to a student, and it's the default students will expect from anything that looks like a chat interface (Phase 19).</w:t>
      </w:r>
    </w:p>
    <w:p>
      <w:pPr>
        <w:pStyle w:val="ListParagraph"/>
        <w:numPr>
          <w:ilvl w:val="0"/>
          <w:numId w:val="2"/>
        </w:numPr>
        <w:spacing w:after="100"/>
        <w:ind w:left="317" w:hanging="173"/>
      </w:pPr>
      <w:r>
        <w:rPr>
          <w:rFonts w:ascii="Aptos" w:hAnsi="Aptos"/>
          <w:sz w:val="21"/>
        </w:rPr>
        <w:t>Require university SSO-derived short-lived access tokens on student/faculty routes and service credentials only for trusted server-to-server integrations. Never embed a reusable API key in browser JavaScript or an iframe.</w:t>
      </w:r>
    </w:p>
    <w:p>
      <w:pPr>
        <w:pStyle w:val="ListParagraph"/>
        <w:numPr>
          <w:ilvl w:val="0"/>
          <w:numId w:val="2"/>
        </w:numPr>
        <w:spacing w:after="100"/>
        <w:ind w:left="317" w:hanging="173"/>
      </w:pPr>
      <w:r>
        <w:rPr>
          <w:rFonts w:ascii="Calibri" w:cs="Calibri" w:eastAsia="Calibri" w:hAnsi="Calibri"/>
          <w:color w:val="4A4A4A"/>
          <w:sz w:val="20"/>
          <w:szCs w:val="20"/>
        </w:rPr>
        <w:t xml:space="preserve">Version the API (/v1/...) from the start. The internals will change many times before students ever see it; the contract shouldn't.</w:t>
      </w:r>
    </w:p>
    <w:p>
      <w:pPr>
        <w:pStyle w:val="ListParagraph"/>
        <w:numPr>
          <w:ilvl w:val="0"/>
          <w:numId w:val="2"/>
        </w:numPr>
        <w:spacing w:after="100"/>
        <w:ind w:left="317" w:hanging="173"/>
      </w:pPr>
      <w:r>
        <w:rPr>
          <w:rFonts w:ascii="Calibri" w:cs="Calibri" w:eastAsia="Calibri" w:hAnsi="Calibri"/>
          <w:color w:val="4A4A4A"/>
          <w:sz w:val="20"/>
          <w:szCs w:val="20"/>
        </w:rPr>
        <w:t xml:space="preserve">Scope CORS to the university portal's actual domain(s) — never a wildcard — since the student widget (Phase 10) calls this API cross-origin by design.</w:t>
      </w:r>
    </w:p>
    <w:p>
      <w:pPr>
        <w:pStyle w:val="ListParagraph"/>
        <w:numPr>
          <w:ilvl w:val="0"/>
          <w:numId w:val="2"/>
        </w:numPr>
        <w:spacing w:after="100"/>
        <w:ind w:left="317" w:hanging="173"/>
      </w:pPr>
      <w:r>
        <w:rPr>
          <w:rFonts w:ascii="Calibri" w:cs="Calibri" w:eastAsia="Calibri" w:hAnsi="Calibri"/>
          <w:color w:val="4A4A4A"/>
          <w:sz w:val="20"/>
          <w:szCs w:val="20"/>
        </w:rPr>
        <w:t xml:space="preserve">Enable response compression (gzip/brotli) and cap request body size and question length at the API layer — a few free wins for both speed and abuse-resistance that cost nothing to add now and are easy to forget once the endpoint is live.</w:t>
      </w:r>
    </w:p>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A standalone, testable product that the portal team integrates with — not a script tangled into the portal's codebase.</w:t>
      </w:r>
    </w:p>
    <w:p>
      <w:pPr>
        <w:pStyle w:val="Heading1"/>
        <w:shd w:fill="152A47" w:val="clear"/>
        <w:spacing w:after="100" w:before="120"/>
      </w:pPr>
      <w:r>
        <w:rPr>
          <w:rFonts w:ascii="Calibri" w:cs="Calibri" w:eastAsia="Calibri" w:hAnsi="Calibri"/>
          <w:b/>
          <w:bCs/>
          <w:color w:val="FFFFFF"/>
          <w:sz w:val="28"/>
          <w:szCs w:val="28"/>
        </w:rPr>
        <w:t xml:space="preserve">PHASE 7 · Redis Caching Layer</w:t>
      </w:r>
    </w:p>
    <w:p>
      <w:pPr>
        <w:pStyle w:val="ListParagraph"/>
        <w:numPr>
          <w:ilvl w:val="0"/>
          <w:numId w:val="2"/>
        </w:numPr>
        <w:spacing w:after="100"/>
        <w:ind w:left="317" w:hanging="173"/>
      </w:pPr>
      <w:r>
        <w:rPr>
          <w:rFonts w:ascii="Aptos" w:hAnsi="Aptos"/>
          <w:sz w:val="21"/>
        </w:rPr>
        <w:t>Semantic query cache: cache only within an authorization-equivalent scope. The key must include normalized_question_hash, security_scope_hash, course/corpus scope, active corpus_version, retriever/embedding/reranker versions, prompt/model version and language. ACL scope and corpus version are mandatory to prevent cross-user leakage and stale answers.</w:t>
      </w:r>
    </w:p>
    <w:p>
      <w:pPr>
        <w:pStyle w:val="ListParagraph"/>
        <w:numPr>
          <w:ilvl w:val="0"/>
          <w:numId w:val="2"/>
        </w:numPr>
        <w:spacing w:after="100"/>
        <w:ind w:left="317" w:hanging="173"/>
      </w:pPr>
      <w:r>
        <w:rPr>
          <w:rFonts w:ascii="Calibri" w:cs="Calibri" w:eastAsia="Calibri" w:hAnsi="Calibri"/>
          <w:color w:val="4A4A4A"/>
          <w:sz w:val="20"/>
          <w:szCs w:val="20"/>
        </w:rPr>
        <w:t xml:space="preserve">Cache TTL tiers: shorter (about 1 hour) for material that changes often, longer (24h+) for stable syllabus content.</w:t>
      </w:r>
    </w:p>
    <w:p>
      <w:pPr>
        <w:pStyle w:val="ListParagraph"/>
        <w:numPr>
          <w:ilvl w:val="0"/>
          <w:numId w:val="2"/>
        </w:numPr>
        <w:spacing w:after="100"/>
        <w:ind w:left="317" w:hanging="173"/>
      </w:pPr>
      <w:r>
        <w:rPr>
          <w:rFonts w:ascii="Calibri" w:cs="Calibri" w:eastAsia="Calibri" w:hAnsi="Calibri"/>
          <w:color w:val="4A4A4A"/>
          <w:sz w:val="20"/>
          <w:szCs w:val="20"/>
        </w:rPr>
        <w:t xml:space="preserve">Redis also backs per-student/IP rate limiting, session state, and async upload job status — all without adding load to Postgres or the vector DB.</w:t>
      </w:r>
    </w:p>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Directly cuts LLM inference cost and load during the exact periods when traffic peaks hardest.</w:t>
      </w:r>
    </w:p>
    <w:p>
      <w:pPr>
        <w:pStyle w:val="Heading1"/>
        <w:shd w:fill="152A47" w:val="clear"/>
        <w:spacing w:after="100" w:before="120"/>
      </w:pPr>
      <w:r>
        <w:rPr>
          <w:rFonts w:ascii="Calibri" w:cs="Calibri" w:eastAsia="Calibri" w:hAnsi="Calibri"/>
          <w:b/>
          <w:bCs/>
          <w:color w:val="FFFFFF"/>
          <w:sz w:val="28"/>
          <w:szCs w:val="28"/>
        </w:rPr>
        <w:t xml:space="preserve">PHASE 8 · Asynchronous Ingestion Queue</w:t>
      </w:r>
    </w:p>
    <w:p>
      <w:pPr>
        <w:pStyle w:val="ListParagraph"/>
        <w:numPr>
          <w:ilvl w:val="0"/>
          <w:numId w:val="2"/>
        </w:numPr>
        <w:spacing w:after="100"/>
        <w:ind w:left="317" w:hanging="173"/>
      </w:pPr>
      <w:r>
        <w:rPr>
          <w:rFonts w:ascii="Calibri" w:cs="Calibri" w:eastAsia="Calibri" w:hAnsi="Calibri"/>
          <w:color w:val="4A4A4A"/>
          <w:sz w:val="20"/>
          <w:szCs w:val="20"/>
        </w:rPr>
        <w:t xml:space="preserve">The folder watcher (Phase 1) is the primary trigger for new jobs now: the moment a new or changed file appears in a watched folder, a job is queued automatically — manual admin upload is just a secondary path into the same queue.</w:t>
      </w:r>
    </w:p>
    <w:p>
      <w:pPr>
        <w:pStyle w:val="ListParagraph"/>
        <w:numPr>
          <w:ilvl w:val="0"/>
          <w:numId w:val="2"/>
        </w:numPr>
        <w:spacing w:after="100"/>
        <w:ind w:left="317" w:hanging="173"/>
      </w:pPr>
      <w:r>
        <w:rPr>
          <w:rFonts w:ascii="Calibri" w:cs="Calibri" w:eastAsia="Calibri" w:hAnsi="Calibri"/>
          <w:color w:val="4A4A4A"/>
          <w:sz w:val="20"/>
          <w:szCs w:val="20"/>
        </w:rPr>
        <w:t xml:space="preserve">Never run OCR or embedding inline on an API request — both are slow and will block your web server for other students.</w:t>
      </w:r>
    </w:p>
    <w:p>
      <w:pPr>
        <w:pStyle w:val="ListParagraph"/>
        <w:numPr>
          <w:ilvl w:val="0"/>
          <w:numId w:val="2"/>
        </w:numPr>
        <w:spacing w:after="100"/>
        <w:ind w:left="317" w:hanging="173"/>
      </w:pPr>
      <w:r>
        <w:rPr>
          <w:rFonts w:ascii="Aptos" w:hAnsi="Aptos"/>
          <w:sz w:val="21"/>
        </w:rPr>
        <w:t>Use Celery + RabbitMQ for MVP/Beta worker execution. Keep a documented migration path to Temporal for long-running, resumable ingestion workflows (quarantine -&gt; scan -&gt; parse -&gt; OCR -&gt; optional human review -&gt; chunk -&gt; embed -&gt; index -&gt; atomic activate) when operational complexity justifies it.</w:t>
      </w:r>
    </w:p>
    <w:p>
      <w:pPr>
        <w:pStyle w:val="ListParagraph"/>
        <w:numPr>
          <w:ilvl w:val="0"/>
          <w:numId w:val="2"/>
        </w:numPr>
        <w:spacing w:after="100"/>
        <w:ind w:left="317" w:hanging="173"/>
      </w:pPr>
      <w:r>
        <w:rPr>
          <w:rFonts w:ascii="Calibri" w:cs="Calibri" w:eastAsia="Calibri" w:hAnsi="Calibri"/>
          <w:color w:val="4A4A4A"/>
          <w:sz w:val="20"/>
          <w:szCs w:val="20"/>
        </w:rPr>
        <w:t xml:space="preserve">Run separate worker pools for OCR, embedding, and indexing so each can scale on its own hardware — OCR is CPU/GPU-heavy, the API tier is I/O-heavy, and they should never compete for the same machines.</w:t>
      </w:r>
    </w:p>
    <w:p>
      <w:pPr>
        <w:pStyle w:val="ListParagraph"/>
        <w:numPr>
          <w:ilvl w:val="0"/>
          <w:numId w:val="2"/>
        </w:numPr>
        <w:spacing w:after="100"/>
        <w:ind w:left="317" w:hanging="173"/>
      </w:pPr>
      <w:r>
        <w:rPr>
          <w:rFonts w:ascii="Calibri" w:cs="Calibri" w:eastAsia="Calibri" w:hAnsi="Calibri"/>
          <w:color w:val="4A4A4A"/>
          <w:sz w:val="20"/>
          <w:szCs w:val="20"/>
        </w:rPr>
        <w:t xml:space="preserve">Give live student queries GPU priority over bulk ingestion, explicitly. Folder-watch means a professor can drop an entire semester's archive (thousands of files) into a watched folder at once — without a priority queue, that backlog can starve the same GPU workers your VLM-OCR (Phase 1, 16) and reranker rely on. Put ingestion jobs on a lower-priority queue than anything on the live answer path, and cap how many ingestion jobs run concurrently rather than draining the whole backlog at once.</w:t>
      </w:r>
    </w:p>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A professor uploading 500 scanned pages — or 5,000 — never slows down a student asking a question at the same time.</w:t>
      </w:r>
    </w:p>
    <w:p>
      <w:pPr>
        <w:spacing w:after="100"/>
      </w:pPr>
      <w:r>
        <w:br w:type="page"/>
      </w:r>
    </w:p>
    <w:p>
      <w:pPr>
        <w:pStyle w:val="Heading1"/>
        <w:shd w:fill="152A47" w:val="clear"/>
        <w:spacing w:after="100" w:before="120"/>
      </w:pPr>
      <w:r>
        <w:rPr>
          <w:rFonts w:ascii="Calibri" w:cs="Calibri" w:eastAsia="Calibri" w:hAnsi="Calibri"/>
          <w:b/>
          <w:bCs/>
          <w:color w:val="FFFFFF"/>
          <w:sz w:val="28"/>
          <w:szCs w:val="28"/>
        </w:rPr>
        <w:t xml:space="preserve">PHASE 9 · Load Balancing &amp; Horizontal Scaling</w:t>
      </w:r>
    </w:p>
    <w:p>
      <w:pPr>
        <w:pStyle w:val="ListParagraph"/>
        <w:numPr>
          <w:ilvl w:val="0"/>
          <w:numId w:val="2"/>
        </w:numPr>
        <w:spacing w:after="100"/>
        <w:ind w:left="317" w:hanging="173"/>
      </w:pPr>
      <w:r>
        <w:rPr>
          <w:rFonts w:ascii="Calibri" w:cs="Calibri" w:eastAsia="Calibri" w:hAnsi="Calibri"/>
          <w:color w:val="4A4A4A"/>
          <w:sz w:val="20"/>
          <w:szCs w:val="20"/>
        </w:rPr>
        <w:t xml:space="preserve">Put a WAF and DDoS-protection layer in front of everything (Cloudflare, AWS Shield/WAF, or an on-prem equivalent like ModSecurity) — this system is a public-facing service for 1,00,000 students, and it's the one piece of the edge that isn't covered by anything else in this plan. It absorbs volumetric attacks and common abuse patterns before they ever reach the load balancer below.</w:t>
      </w:r>
    </w:p>
    <w:p>
      <w:pPr>
        <w:pStyle w:val="ListParagraph"/>
        <w:numPr>
          <w:ilvl w:val="0"/>
          <w:numId w:val="2"/>
        </w:numPr>
        <w:spacing w:after="100"/>
        <w:ind w:left="317" w:hanging="173"/>
      </w:pPr>
      <w:r>
        <w:rPr>
          <w:rFonts w:ascii="Aptos" w:hAnsi="Aptos"/>
          <w:sz w:val="21"/>
        </w:rPr>
        <w:t>Put a WAF/API gateway in front of stateless FastAPI replicas. For the GPU tier, start with a reverse proxy/internal gateway to vLLM, then adopt Kubernetes Gateway API inference-aware routing or llm-d when multiple replicas need queue/KV-cache/prefix-aware routing. vLLM endpoints remain private to the cluster/network.</w:t>
      </w:r>
    </w:p>
    <w:p>
      <w:pPr>
        <w:pStyle w:val="ListParagraph"/>
        <w:numPr>
          <w:ilvl w:val="0"/>
          <w:numId w:val="2"/>
        </w:numPr>
        <w:spacing w:after="100"/>
        <w:ind w:left="317" w:hanging="173"/>
      </w:pPr>
      <w:r>
        <w:rPr>
          <w:rFonts w:ascii="Calibri" w:cs="Calibri" w:eastAsia="Calibri" w:hAnsi="Calibri"/>
          <w:color w:val="4A4A4A"/>
          <w:sz w:val="20"/>
          <w:szCs w:val="20"/>
        </w:rPr>
        <w:t xml:space="preserve">Serve the admin dashboard and student widget's static assets (JS/CSS) from a CDN, not the API tier — it's a different caching problem from the semantic query cache in Phase 7, and it's free latency for every student's first page load.</w:t>
      </w:r>
    </w:p>
    <w:p>
      <w:pPr>
        <w:pStyle w:val="ListParagraph"/>
        <w:numPr>
          <w:ilvl w:val="0"/>
          <w:numId w:val="2"/>
        </w:numPr>
        <w:spacing w:after="100"/>
        <w:ind w:left="317" w:hanging="173"/>
      </w:pPr>
      <w:r>
        <w:rPr>
          <w:rFonts w:ascii="Aptos" w:hAnsi="Aptos"/>
          <w:sz w:val="21"/>
        </w:rPr>
        <w:t>The GPU tier scales on inference-specific signals such as vLLM waiting requests, token throughput, KV-cache pressure and DCGM GPU metrics. Use KEDA for pod scaling and a node autoscaler for GPU capacity, but keep intelligent inference routing separate from autoscaling.</w:t>
      </w:r>
    </w:p>
    <w:p>
      <w:pPr>
        <w:pStyle w:val="ListParagraph"/>
        <w:numPr>
          <w:ilvl w:val="0"/>
          <w:numId w:val="2"/>
        </w:numPr>
        <w:spacing w:after="100"/>
        <w:ind w:left="317" w:hanging="173"/>
      </w:pPr>
      <w:r>
        <w:rPr>
          <w:rFonts w:ascii="Calibri" w:cs="Calibri" w:eastAsia="Calibri" w:hAnsi="Calibri"/>
          <w:color w:val="4A4A4A"/>
          <w:sz w:val="20"/>
          <w:szCs w:val="20"/>
        </w:rPr>
        <w:t xml:space="preserve">Pair KEDA (pod-level) with a node-level autoscaler — Karpenter on EKS, Cluster Autoscaler elsewhere — so new GPU nodes are provisioned as KEDA asks for more replicas, not just more pods queued on nodes that don't exist yet.</w:t>
      </w:r>
    </w:p>
    <w:p>
      <w:pPr>
        <w:pStyle w:val="ListParagraph"/>
        <w:numPr>
          <w:ilvl w:val="0"/>
          <w:numId w:val="2"/>
        </w:numPr>
        <w:spacing w:after="100"/>
        <w:ind w:left="317" w:hanging="173"/>
      </w:pPr>
      <w:r>
        <w:rPr>
          <w:rFonts w:ascii="Calibri" w:cs="Calibri" w:eastAsia="Calibri" w:hAnsi="Calibri"/>
          <w:color w:val="4A4A4A"/>
          <w:sz w:val="20"/>
          <w:szCs w:val="20"/>
        </w:rPr>
        <w:t xml:space="preserve">Scale-to-zero (via Knative or a KEDA minReplicaCount: 0) is worth it for genuinely idle windows, but a cold start on a GPU node — provisioning, driver init, model load — commonly takes several minutes, which is too slow for a student mid-question. Keep a small warm pool during class and exam hours, and only scale fully to zero overnight or during long breaks.</w:t>
      </w:r>
    </w:p>
    <w:p>
      <w:pPr>
        <w:pStyle w:val="ListParagraph"/>
        <w:numPr>
          <w:ilvl w:val="0"/>
          <w:numId w:val="2"/>
        </w:numPr>
        <w:spacing w:after="100"/>
        <w:ind w:left="317" w:hanging="173"/>
      </w:pPr>
      <w:r>
        <w:rPr>
          <w:rFonts w:ascii="Calibri" w:cs="Calibri" w:eastAsia="Calibri" w:hAnsi="Calibri"/>
          <w:color w:val="4A4A4A"/>
          <w:sz w:val="20"/>
          <w:szCs w:val="20"/>
        </w:rPr>
        <w:t xml:space="preserve">Keep the LLM inference tier and the API tier as separate deployments — they scale on different signals (QPS vs. GPU queue) and run on different hardware classes.</w:t>
      </w:r>
    </w:p>
    <w:p>
      <w:pPr>
        <w:pStyle w:val="ListParagraph"/>
        <w:numPr>
          <w:ilvl w:val="0"/>
          <w:numId w:val="2"/>
        </w:numPr>
        <w:spacing w:after="100"/>
        <w:ind w:left="317" w:hanging="173"/>
      </w:pPr>
      <w:r>
        <w:rPr>
          <w:rFonts w:ascii="Calibri" w:cs="Calibri" w:eastAsia="Calibri" w:hAnsi="Calibri"/>
          <w:color w:val="4A4A4A"/>
          <w:sz w:val="20"/>
          <w:szCs w:val="20"/>
        </w:rPr>
        <w:t xml:space="preserve">Because session state lives in Redis/Postgres rather than in-process, no sticky sessions are needed — this is what makes horizontal scaling to lakh-scale traffic straightforward rather than fragile.</w:t>
      </w:r>
    </w:p>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Add more pods under load instead of a bigger single server — the standard enterprise scaling pattern, tuned for GPU-shaped load rather than the CPU metrics Kubernetes autoscales by default.</w:t>
      </w:r>
    </w:p>
    <w:p>
      <w:pPr>
        <w:pStyle w:val="Heading1"/>
        <w:shd w:fill="152A47" w:val="clear"/>
        <w:spacing w:after="100" w:before="120"/>
      </w:pPr>
      <w:r>
        <w:rPr>
          <w:rFonts w:ascii="Calibri" w:cs="Calibri" w:eastAsia="Calibri" w:hAnsi="Calibri"/>
          <w:b/>
          <w:bCs/>
          <w:color w:val="FFFFFF"/>
          <w:sz w:val="28"/>
          <w:szCs w:val="28"/>
        </w:rPr>
        <w:t xml:space="preserve">PHASE 10 · Web UI: Admin Dashboard &amp; Student Widget</w:t>
      </w:r>
    </w:p>
    <w:p>
      <w:pPr>
        <w:pStyle w:val="Heading2"/>
        <w:spacing w:after="100" w:before="160"/>
      </w:pPr>
      <w:r>
        <w:rPr>
          <w:rFonts w:ascii="Calibri" w:cs="Calibri" w:eastAsia="Calibri" w:hAnsi="Calibri"/>
          <w:b/>
          <w:bCs/>
          <w:color w:val="2E6DA4"/>
          <w:sz w:val="24"/>
          <w:szCs w:val="24"/>
        </w:rPr>
        <w:t xml:space="preserve">Admin dashboard (internal, React)</w:t>
      </w:r>
    </w:p>
    <w:p>
      <w:pPr>
        <w:pStyle w:val="ListParagraph"/>
        <w:numPr>
          <w:ilvl w:val="0"/>
          <w:numId w:val="2"/>
        </w:numPr>
        <w:spacing w:after="100"/>
        <w:ind w:left="317" w:hanging="173"/>
      </w:pPr>
      <w:r>
        <w:rPr>
          <w:rFonts w:ascii="Calibri" w:cs="Calibri" w:eastAsia="Calibri" w:hAnsi="Calibri"/>
          <w:color w:val="4A4A4A"/>
          <w:sz w:val="20"/>
          <w:szCs w:val="20"/>
        </w:rPr>
        <w:t xml:space="preserve">A folder picker to register a watched source folder (recursive subfolders supported), with live scan/ingestion status per folder — this is the primary way documents enter the system.</w:t>
      </w:r>
    </w:p>
    <w:p>
      <w:pPr>
        <w:pStyle w:val="ListParagraph"/>
        <w:numPr>
          <w:ilvl w:val="0"/>
          <w:numId w:val="2"/>
        </w:numPr>
        <w:spacing w:after="100"/>
        <w:ind w:left="317" w:hanging="173"/>
      </w:pPr>
      <w:r>
        <w:rPr>
          <w:rFonts w:ascii="Calibri" w:cs="Calibri" w:eastAsia="Calibri" w:hAnsi="Calibri"/>
          <w:color w:val="4A4A4A"/>
          <w:sz w:val="20"/>
          <w:szCs w:val="20"/>
        </w:rPr>
        <w:t xml:space="preserve">Review and override the department/semester/course tags auto-detected from folder structure (Phase 1) before a folder is fully indexed.</w:t>
      </w:r>
    </w:p>
    <w:p>
      <w:pPr>
        <w:pStyle w:val="ListParagraph"/>
        <w:numPr>
          <w:ilvl w:val="0"/>
          <w:numId w:val="2"/>
        </w:numPr>
        <w:spacing w:after="100"/>
        <w:ind w:left="317" w:hanging="173"/>
      </w:pPr>
      <w:r>
        <w:rPr>
          <w:rFonts w:ascii="Calibri" w:cs="Calibri" w:eastAsia="Calibri" w:hAnsi="Calibri"/>
          <w:color w:val="4A4A4A"/>
          <w:sz w:val="20"/>
          <w:szCs w:val="20"/>
        </w:rPr>
        <w:t xml:space="preserve">A manual single-file upload option for one-off additions; monitor the ingestion queue in real time.</w:t>
      </w:r>
    </w:p>
    <w:p>
      <w:pPr>
        <w:pStyle w:val="ListParagraph"/>
        <w:numPr>
          <w:ilvl w:val="0"/>
          <w:numId w:val="2"/>
        </w:numPr>
        <w:spacing w:after="100"/>
        <w:ind w:left="317" w:hanging="173"/>
      </w:pPr>
      <w:r>
        <w:rPr>
          <w:rFonts w:ascii="Calibri" w:cs="Calibri" w:eastAsia="Calibri" w:hAnsi="Calibri"/>
          <w:color w:val="4A4A4A"/>
          <w:sz w:val="20"/>
          <w:szCs w:val="20"/>
        </w:rPr>
        <w:t xml:space="preserve">Usage analytics per department/course (query volume, cache hit rate, top questions).</w:t>
      </w:r>
    </w:p>
    <w:p>
      <w:pPr>
        <w:pStyle w:val="ListParagraph"/>
        <w:numPr>
          <w:ilvl w:val="0"/>
          <w:numId w:val="2"/>
        </w:numPr>
        <w:spacing w:after="100"/>
        <w:ind w:left="317" w:hanging="173"/>
      </w:pPr>
      <w:r>
        <w:rPr>
          <w:rFonts w:ascii="Calibri" w:cs="Calibri" w:eastAsia="Calibri" w:hAnsi="Calibri"/>
          <w:color w:val="4A4A4A"/>
          <w:sz w:val="20"/>
          <w:szCs w:val="20"/>
        </w:rPr>
        <w:t xml:space="preserve">A review queue for low-confidence OCR pages flagged in Phase 1.</w:t>
      </w:r>
    </w:p>
    <w:p>
      <w:pPr>
        <w:pStyle w:val="ListParagraph"/>
        <w:numPr>
          <w:ilvl w:val="0"/>
          <w:numId w:val="2"/>
        </w:numPr>
        <w:spacing w:after="100"/>
        <w:ind w:left="317" w:hanging="173"/>
      </w:pPr>
      <w:r>
        <w:rPr>
          <w:rFonts w:ascii="Calibri" w:cs="Calibri" w:eastAsia="Calibri" w:hAnsi="Calibri"/>
          <w:color w:val="4A4A4A"/>
          <w:sz w:val="20"/>
          <w:szCs w:val="20"/>
        </w:rPr>
        <w:t xml:space="preserve">A control panel showing the local LLM backend is active by default, with an explicit opt-in toggle to enable a hosted OpenAI-format fallback per department.</w:t>
      </w:r>
    </w:p>
    <w:p>
      <w:pPr>
        <w:spacing w:after="100"/>
      </w:pPr>
    </w:p>
    <w:p>
      <w:pPr>
        <w:pStyle w:val="Heading2"/>
        <w:spacing w:after="100" w:before="160"/>
      </w:pPr>
      <w:r>
        <w:rPr>
          <w:rFonts w:ascii="Calibri" w:cs="Calibri" w:eastAsia="Calibri" w:hAnsi="Calibri"/>
          <w:b/>
          <w:bCs/>
          <w:color w:val="2E6DA4"/>
          <w:sz w:val="24"/>
          <w:szCs w:val="24"/>
        </w:rPr>
        <w:t xml:space="preserve">Student-facing widget</w:t>
      </w:r>
    </w:p>
    <w:p>
      <w:pPr>
        <w:pStyle w:val="ListParagraph"/>
        <w:numPr>
          <w:ilvl w:val="0"/>
          <w:numId w:val="2"/>
        </w:numPr>
        <w:spacing w:after="100"/>
        <w:ind w:left="317" w:hanging="173"/>
      </w:pPr>
      <w:r>
        <w:rPr>
          <w:rFonts w:ascii="Calibri" w:cs="Calibri" w:eastAsia="Calibri" w:hAnsi="Calibri"/>
          <w:color w:val="4A4A4A"/>
          <w:sz w:val="20"/>
          <w:szCs w:val="20"/>
        </w:rPr>
        <w:t xml:space="preserve">A lightweight, embeddable chat component (iframe or JS snippet) that the university portal team drops into the existing student portal.</w:t>
      </w:r>
    </w:p>
    <w:p>
      <w:pPr>
        <w:pStyle w:val="ListParagraph"/>
        <w:numPr>
          <w:ilvl w:val="0"/>
          <w:numId w:val="2"/>
        </w:numPr>
        <w:spacing w:after="100"/>
        <w:ind w:left="317" w:hanging="173"/>
      </w:pPr>
      <w:r>
        <w:rPr>
          <w:rFonts w:ascii="Aptos" w:hAnsi="Aptos"/>
          <w:sz w:val="21"/>
        </w:rPr>
        <w:t>This keeps the RAG system decoupled from the portal stack. The widget uses the student's university SSO session/short-lived token or a portal Backend-for-Frontend; it never contains a permanent API key and never touches databases directly.</w:t>
      </w:r>
    </w:p>
    <w:p>
      <w:pPr>
        <w:spacing w:after="100"/>
      </w:pPr>
    </w:p>
    <w:p>
      <w:pPr>
        <w:spacing w:after="100" w:before="80"/>
      </w:pPr>
      <w:r>
        <w:rPr>
          <w:rFonts w:ascii="Aptos" w:hAnsi="Aptos"/>
          <w:sz w:val="21"/>
        </w:rPr>
        <w:t>✓ The portal team integrates the widget/API with existing SSO; reusable browser API keys are explicitly prohibited.</w:t>
      </w:r>
    </w:p>
    <w:p>
      <w:pPr>
        <w:spacing w:after="100"/>
      </w:pPr>
      <w:r>
        <w:br w:type="page"/>
      </w:r>
    </w:p>
    <w:p>
      <w:pPr>
        <w:pStyle w:val="Heading1"/>
        <w:shd w:fill="152A47" w:val="clear"/>
        <w:spacing w:after="100" w:before="120"/>
      </w:pPr>
      <w:r>
        <w:rPr>
          <w:rFonts w:ascii="Calibri" w:cs="Calibri" w:eastAsia="Calibri" w:hAnsi="Calibri"/>
          <w:b/>
          <w:bCs/>
          <w:color w:val="FFFFFF"/>
          <w:sz w:val="28"/>
          <w:szCs w:val="28"/>
        </w:rPr>
        <w:t xml:space="preserve">PHASE 11 · Auth, RBAC &amp; Multi-Tenancy</w:t>
      </w:r>
    </w:p>
    <w:p>
      <w:pPr>
        <w:pStyle w:val="ListParagraph"/>
        <w:numPr>
          <w:ilvl w:val="0"/>
          <w:numId w:val="2"/>
        </w:numPr>
        <w:spacing w:after="100"/>
        <w:ind w:left="317" w:hanging="173"/>
      </w:pPr>
      <w:r>
        <w:rPr>
          <w:rFonts w:ascii="Aptos" w:hAnsi="Aptos"/>
          <w:sz w:val="21"/>
        </w:rPr>
        <w:t>Integrate with the university identity provider using OIDC/OAuth 2.0 as the preferred application protocol, with SAML where required by the existing IdP. LDAP may remain behind the IdP but the RAG application should not maintain a second password store or authenticate directly against LDAP unless unavoidable.</w:t>
      </w:r>
    </w:p>
    <w:p>
      <w:pPr>
        <w:pStyle w:val="ListParagraph"/>
        <w:numPr>
          <w:ilvl w:val="0"/>
          <w:numId w:val="2"/>
        </w:numPr>
        <w:spacing w:after="100"/>
        <w:ind w:left="317" w:hanging="173"/>
      </w:pPr>
      <w:r>
        <w:rPr>
          <w:rFonts w:ascii="Calibri" w:cs="Calibri" w:eastAsia="Calibri" w:hAnsi="Calibri"/>
          <w:color w:val="4A4A4A"/>
          <w:sz w:val="20"/>
          <w:szCs w:val="20"/>
        </w:rPr>
        <w:t xml:space="preserve">Role-based access: students get read/ask access; faculty can upload for their own courses; admins get full management access.</w:t>
      </w:r>
    </w:p>
    <w:p>
      <w:pPr>
        <w:pStyle w:val="ListParagraph"/>
        <w:numPr>
          <w:ilvl w:val="0"/>
          <w:numId w:val="2"/>
        </w:numPr>
        <w:spacing w:after="100"/>
        <w:ind w:left="317" w:hanging="173"/>
      </w:pPr>
      <w:r>
        <w:rPr>
          <w:rFonts w:ascii="Aptos" w:hAnsi="Aptos"/>
          <w:sz w:val="21"/>
        </w:rPr>
        <w:t>Enforce authorization before retrieval: security domain, department/course enrollment and document access level become mandatory server-side filters in Qdrant/PostgreSQL. Client-supplied scope is never trusted as authorization. Separate PUBLIC, STUDENT_AUTHENTICATED, FACULTY and ADMIN_RESTRICTED knowledge domains.</w:t>
      </w:r>
    </w:p>
    <w:p>
      <w:pPr>
        <w:pStyle w:val="ListParagraph"/>
        <w:numPr>
          <w:ilvl w:val="0"/>
          <w:numId w:val="2"/>
        </w:numPr>
        <w:spacing w:after="100"/>
        <w:ind w:left="317" w:hanging="173"/>
      </w:pPr>
      <w:r>
        <w:rPr>
          <w:rFonts w:ascii="Calibri" w:cs="Calibri" w:eastAsia="Calibri" w:hAnsi="Calibri"/>
          <w:color w:val="4A4A4A"/>
          <w:sz w:val="20"/>
          <w:szCs w:val="20"/>
        </w:rPr>
        <w:t xml:space="preserve">Issue short-lived JWT access tokens (minutes, not days) with refresh-token rotation, and keep a revocation list for tokens that need to die immediately (a compromised device, an offboarded account) — a long-lived token that can't be revoked is a standing liability at this scale.</w:t>
      </w:r>
    </w:p>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One login system, correct access boundaries, no duplicate credential store to secure.</w:t>
      </w:r>
    </w:p>
    <w:p>
      <w:pPr>
        <w:pStyle w:val="Heading1"/>
        <w:shd w:fill="152A47" w:val="clear"/>
        <w:spacing w:after="100" w:before="120"/>
      </w:pPr>
      <w:r>
        <w:rPr>
          <w:rFonts w:ascii="Calibri" w:cs="Calibri" w:eastAsia="Calibri" w:hAnsi="Calibri"/>
          <w:b/>
          <w:bCs/>
          <w:color w:val="FFFFFF"/>
          <w:sz w:val="28"/>
          <w:szCs w:val="28"/>
        </w:rPr>
        <w:t xml:space="preserve">PHASE 12 · Monitoring &amp; Observability</w:t>
      </w:r>
    </w:p>
    <w:p>
      <w:pPr>
        <w:pStyle w:val="ListParagraph"/>
        <w:numPr>
          <w:ilvl w:val="0"/>
          <w:numId w:val="2"/>
        </w:numPr>
        <w:spacing w:after="100"/>
        <w:ind w:left="317" w:hanging="173"/>
      </w:pPr>
      <w:r>
        <w:rPr>
          <w:rFonts w:ascii="Aptos" w:hAnsi="Aptos"/>
          <w:sz w:val="21"/>
        </w:rPr>
        <w:t>Use OpenTelemetry as the tracing/metrics instrumentation standard across FastAPI, query embedding, Qdrant, reranking, cache, context assembly and LLM inference. Export infrastructure metrics to Prometheus/Grafana and GPU metrics through NVIDIA DCGM exporter.</w:t>
      </w:r>
    </w:p>
    <w:p>
      <w:pPr>
        <w:pStyle w:val="ListParagraph"/>
        <w:numPr>
          <w:ilvl w:val="0"/>
          <w:numId w:val="2"/>
        </w:numPr>
        <w:spacing w:after="100"/>
        <w:ind w:left="317" w:hanging="173"/>
      </w:pPr>
      <w:r>
        <w:rPr>
          <w:rFonts w:ascii="Aptos" w:hAnsi="Aptos"/>
          <w:sz w:val="21"/>
        </w:rPr>
        <w:t>Use Loki (or ELK) for centralized logs and self-hosted Phoenix for GenAI/RAG traces, datasets, experiments and evaluations. Do not record raw student prompts or retrieved sensitive text in telemetry by default; capture hashes/IDs and explicitly approved samples only.</w:t>
      </w:r>
    </w:p>
    <w:p>
      <w:pPr>
        <w:pStyle w:val="ListParagraph"/>
        <w:numPr>
          <w:ilvl w:val="0"/>
          <w:numId w:val="2"/>
        </w:numPr>
        <w:spacing w:after="100"/>
        <w:ind w:left="317" w:hanging="173"/>
      </w:pPr>
      <w:r>
        <w:rPr>
          <w:rFonts w:ascii="Calibri" w:cs="Calibri" w:eastAsia="Calibri" w:hAnsi="Calibri"/>
          <w:color w:val="4A4A4A"/>
          <w:sz w:val="20"/>
          <w:szCs w:val="20"/>
        </w:rPr>
        <w:t xml:space="preserve">Alerting on error-rate spikes, latency SLO breaches, and growing queue backlogs — the earliest signals that something is about to degrade for students.</w:t>
      </w:r>
    </w:p>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You find out about a problem from a dashboard, not from a flood of student complaints.</w:t>
      </w:r>
    </w:p>
    <w:p>
      <w:pPr>
        <w:pStyle w:val="Heading1"/>
        <w:shd w:fill="152A47" w:val="clear"/>
        <w:spacing w:after="100" w:before="120"/>
      </w:pPr>
      <w:r>
        <w:rPr>
          <w:rFonts w:ascii="Calibri" w:cs="Calibri" w:eastAsia="Calibri" w:hAnsi="Calibri"/>
          <w:b/>
          <w:bCs/>
          <w:color w:val="FFFFFF"/>
          <w:sz w:val="28"/>
          <w:szCs w:val="28"/>
        </w:rPr>
        <w:t xml:space="preserve">PHASE 13 · Security &amp; Compliance</w:t>
      </w:r>
    </w:p>
    <w:p>
      <w:pPr>
        <w:pStyle w:val="ListParagraph"/>
        <w:numPr>
          <w:ilvl w:val="0"/>
          <w:numId w:val="2"/>
        </w:numPr>
        <w:spacing w:after="100"/>
        <w:ind w:left="317" w:hanging="173"/>
      </w:pPr>
      <w:r>
        <w:rPr>
          <w:rFonts w:ascii="Calibri" w:cs="Calibri" w:eastAsia="Calibri" w:hAnsi="Calibri"/>
          <w:color w:val="4A4A4A"/>
          <w:sz w:val="20"/>
          <w:szCs w:val="20"/>
        </w:rPr>
        <w:t xml:space="preserve">Encrypt data at rest and in transit; keep original documents in access-controlled object storage, never on a publicly reachable path. "In transit" means TLS 1.3 everywhere, including service-to-service traffic inside the cluster, with automated certificate issuance and rotation (cert-manager + an internal CA, or Let's Encrypt for public endpoints) — not a cert someone has to remember to renew by hand.</w:t>
      </w:r>
    </w:p>
    <w:p>
      <w:pPr>
        <w:pStyle w:val="ListParagraph"/>
        <w:numPr>
          <w:ilvl w:val="0"/>
          <w:numId w:val="2"/>
        </w:numPr>
        <w:spacing w:after="100"/>
        <w:ind w:left="317" w:hanging="173"/>
      </w:pPr>
      <w:r>
        <w:rPr>
          <w:rFonts w:ascii="Calibri" w:cs="Calibri" w:eastAsia="Calibri" w:hAnsi="Calibri"/>
          <w:color w:val="4A4A4A"/>
          <w:sz w:val="20"/>
          <w:szCs w:val="20"/>
        </w:rPr>
        <w:t xml:space="preserve">Encrypt backups (Phase 17) with the same rigor as production data, and restrict who can restore from them — a backup is a complete copy of every student's data, and it needs the access controls to match.</w:t>
      </w:r>
    </w:p>
    <w:p>
      <w:pPr>
        <w:pStyle w:val="ListParagraph"/>
        <w:numPr>
          <w:ilvl w:val="0"/>
          <w:numId w:val="2"/>
        </w:numPr>
        <w:spacing w:after="100"/>
        <w:ind w:left="317" w:hanging="173"/>
      </w:pPr>
      <w:r>
        <w:rPr>
          <w:rFonts w:ascii="Calibri" w:cs="Calibri" w:eastAsia="Calibri" w:hAnsi="Calibri"/>
          <w:color w:val="4A4A4A"/>
          <w:sz w:val="20"/>
          <w:szCs w:val="20"/>
        </w:rPr>
        <w:t xml:space="preserve">Student data protection should be reviewed against applicable data protection law together with the university's legal/IT security team — this document is a technical plan, not legal advice. For an Indian university, this means the DPDP Act, 2023 and the DPDP Rules, 2025 (notified November 2025): the Data Protection Board is already operational, the Consent Manager framework phases in around November 2026, and full substantive compliance obligations (consent, breach notification, data principal rights) become enforceable around May 2027 — build consent capture and deletion workflows for students now rather than retrofitting them against that deadline.</w:t>
      </w:r>
    </w:p>
    <w:p>
      <w:pPr>
        <w:pStyle w:val="ListParagraph"/>
        <w:numPr>
          <w:ilvl w:val="0"/>
          <w:numId w:val="2"/>
        </w:numPr>
        <w:spacing w:after="100"/>
        <w:ind w:left="317" w:hanging="173"/>
      </w:pPr>
      <w:r>
        <w:rPr>
          <w:rFonts w:ascii="Calibri" w:cs="Calibri" w:eastAsia="Calibri" w:hAnsi="Calibri"/>
          <w:color w:val="4A4A4A"/>
          <w:sz w:val="20"/>
          <w:szCs w:val="20"/>
        </w:rPr>
        <w:t xml:space="preserve">Maintain an audit log of who uploaded, queried, or deleted what, and when.</w:t>
      </w:r>
    </w:p>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A defensible security posture the university's IT/security office can actually sign off on.</w:t>
      </w:r>
    </w:p>
    <w:p>
      <w:pPr>
        <w:pStyle w:val="Heading1"/>
        <w:shd w:fill="152A47" w:val="clear"/>
        <w:spacing w:after="100" w:before="120"/>
      </w:pPr>
      <w:r>
        <w:rPr>
          <w:rFonts w:ascii="Calibri" w:cs="Calibri" w:eastAsia="Calibri" w:hAnsi="Calibri"/>
          <w:b/>
          <w:bCs/>
          <w:color w:val="FFFFFF"/>
          <w:sz w:val="28"/>
          <w:szCs w:val="28"/>
        </w:rPr>
        <w:t xml:space="preserve">PHASE 14 · Evaluation &amp; Continuous Quality</w:t>
      </w:r>
    </w:p>
    <w:p>
      <w:pPr>
        <w:pStyle w:val="ListParagraph"/>
        <w:numPr>
          <w:ilvl w:val="0"/>
          <w:numId w:val="2"/>
        </w:numPr>
        <w:spacing w:after="100"/>
        <w:ind w:left="317" w:hanging="173"/>
      </w:pPr>
      <w:r>
        <w:rPr>
          <w:rFonts w:ascii="Aptos" w:hAnsi="Aptos"/>
          <w:sz w:val="21"/>
        </w:rPr>
        <w:t>Run a layered evaluation programme, not RAGAS alone: OCR CER/WER and table/formula fidelity; retrieval Recall@K/MRR/nDCG; reranking nDCG/MRR; context precision/recall; answer faithfulness/factual correctness; citation correctness/completeness; unauthorized-retrieval rate; abstention accuracy; TTFT/p95 latency/tokens/sec; and faculty human review. Maintain a versioned golden university evaluation dataset with expected source pages and access scope.</w:t>
      </w:r>
    </w:p>
    <w:p>
      <w:pPr>
        <w:pStyle w:val="ListParagraph"/>
        <w:numPr>
          <w:ilvl w:val="0"/>
          <w:numId w:val="2"/>
        </w:numPr>
        <w:spacing w:after="100"/>
        <w:ind w:left="317" w:hanging="173"/>
      </w:pPr>
      <w:r>
        <w:rPr>
          <w:rFonts w:ascii="Calibri" w:cs="Calibri" w:eastAsia="Calibri" w:hAnsi="Calibri"/>
          <w:color w:val="4A4A4A"/>
          <w:sz w:val="20"/>
          <w:szCs w:val="20"/>
        </w:rPr>
        <w:t xml:space="preserve">Add a simple thumbs-up/down feedback control in the UI, feeding a review queue. This is especially important for catching bad answers traced back to poor handwritten-OCR extraction early.</w:t>
      </w:r>
    </w:p>
    <w:p>
      <w:pPr>
        <w:pStyle w:val="ListParagraph"/>
        <w:numPr>
          <w:ilvl w:val="0"/>
          <w:numId w:val="2"/>
        </w:numPr>
        <w:spacing w:after="100"/>
        <w:ind w:left="317" w:hanging="173"/>
      </w:pPr>
      <w:r>
        <w:rPr>
          <w:rFonts w:ascii="Calibri" w:cs="Calibri" w:eastAsia="Calibri" w:hAnsi="Calibri"/>
          <w:color w:val="4A4A4A"/>
          <w:sz w:val="20"/>
          <w:szCs w:val="20"/>
        </w:rPr>
        <w:t xml:space="preserve">Load-test at the concurrency levels from Section 3 before every major rollout milestone, not just once before launch.</w:t>
      </w:r>
    </w:p>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Quality regressions get caught by an eval loop, not by a viral complaint thread among students.</w:t>
      </w:r>
    </w:p>
    <w:p>
      <w:pPr>
        <w:pStyle w:val="Heading1"/>
        <w:shd w:fill="152A47" w:val="clear"/>
        <w:spacing w:after="100" w:before="120"/>
      </w:pPr>
      <w:r>
        <w:rPr>
          <w:rFonts w:ascii="Calibri" w:cs="Calibri" w:eastAsia="Calibri" w:hAnsi="Calibri"/>
          <w:b/>
          <w:bCs/>
          <w:color w:val="FFFFFF"/>
          <w:sz w:val="28"/>
          <w:szCs w:val="28"/>
        </w:rPr>
        <w:t xml:space="preserve">PHASE 15 · Deployment, DevOps &amp; CI/CD</w:t>
      </w:r>
    </w:p>
    <w:p>
      <w:pPr>
        <w:pStyle w:val="ListParagraph"/>
        <w:numPr>
          <w:ilvl w:val="0"/>
          <w:numId w:val="2"/>
        </w:numPr>
        <w:spacing w:after="100"/>
        <w:ind w:left="317" w:hanging="173"/>
      </w:pPr>
      <w:r>
        <w:rPr>
          <w:rFonts w:ascii="Calibri" w:cs="Calibri" w:eastAsia="Calibri" w:hAnsi="Calibri"/>
          <w:color w:val="4A4A4A"/>
          <w:sz w:val="20"/>
          <w:szCs w:val="20"/>
        </w:rPr>
        <w:t xml:space="preserve">Docker images for the API, each worker type, and supporting services; docker-compose for local development.</w:t>
      </w:r>
    </w:p>
    <w:p>
      <w:pPr>
        <w:pStyle w:val="ListParagraph"/>
        <w:numPr>
          <w:ilvl w:val="0"/>
          <w:numId w:val="2"/>
        </w:numPr>
        <w:spacing w:after="100"/>
        <w:ind w:left="317" w:hanging="173"/>
      </w:pPr>
      <w:r>
        <w:rPr>
          <w:rFonts w:ascii="Calibri" w:cs="Calibri" w:eastAsia="Calibri" w:hAnsi="Calibri"/>
          <w:color w:val="4A4A4A"/>
          <w:sz w:val="20"/>
          <w:szCs w:val="20"/>
        </w:rPr>
        <w:t xml:space="preserve">Kubernetes for staging and production — a managed offering (EKS/GKE/AKS) is the fastest path unless the university requires on-prem hosting.</w:t>
      </w:r>
    </w:p>
    <w:p>
      <w:pPr>
        <w:pStyle w:val="ListParagraph"/>
        <w:numPr>
          <w:ilvl w:val="0"/>
          <w:numId w:val="2"/>
        </w:numPr>
        <w:spacing w:after="100"/>
        <w:ind w:left="317" w:hanging="173"/>
      </w:pPr>
      <w:r>
        <w:rPr>
          <w:rFonts w:ascii="Aptos" w:hAnsi="Aptos"/>
          <w:sz w:val="21"/>
        </w:rPr>
        <w:t>CI/CD may use GitLab CI, Gitea-compatible runners/actions, GitHub Actions or Jenkins according to the university's repository strategy. Every release must pin dependency/model revisions, generate an SBOM, scan images/dependencies, run the golden RAG evaluation set and deploy through staged/canary rollout.</w:t>
      </w:r>
    </w:p>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Ship changes weekly with confidence instead of risking a lakh-student outage on every deploy.</w:t>
      </w:r>
    </w:p>
    <w:p>
      <w:pPr>
        <w:spacing w:after="100"/>
      </w:pPr>
      <w:r>
        <w:br w:type="page"/>
      </w:r>
    </w:p>
    <w:p>
      <w:pPr>
        <w:pStyle w:val="Heading1"/>
        <w:shd w:fill="152A47" w:val="clear"/>
        <w:spacing w:after="100" w:before="120"/>
      </w:pPr>
      <w:r>
        <w:rPr>
          <w:rFonts w:ascii="Calibri" w:cs="Calibri" w:eastAsia="Calibri" w:hAnsi="Calibri"/>
          <w:b/>
          <w:bCs/>
          <w:color w:val="FFFFFF"/>
          <w:sz w:val="28"/>
          <w:szCs w:val="28"/>
        </w:rPr>
        <w:t xml:space="preserve">PHASE 16 · Next-Gen Ingestion: Vision-Language Document Understanding</w:t>
      </w:r>
    </w:p>
    <w:p>
      <w:pPr>
        <w:spacing w:after="100"/>
      </w:pPr>
      <w:r>
        <w:rPr>
          <w:rFonts w:ascii="Calibri" w:cs="Calibri" w:eastAsia="Calibri" w:hAnsi="Calibri"/>
          <w:i/>
          <w:iCs/>
          <w:color w:val="2E6DA4"/>
          <w:sz w:val="20"/>
          <w:szCs w:val="20"/>
        </w:rPr>
        <w:t xml:space="preserve">Optional, forward-looking upgrade path — pilot it, don't bet the MVP on it</w:t>
      </w:r>
    </w:p>
    <w:p>
      <w:pPr>
        <w:spacing w:after="100"/>
      </w:pPr>
      <w:r>
        <w:rPr>
          <w:rFonts w:ascii="Calibri" w:cs="Calibri" w:eastAsia="Calibri" w:hAnsi="Calibri"/>
          <w:color w:val="4A4A4A"/>
          <w:sz w:val="20"/>
          <w:szCs w:val="20"/>
        </w:rPr>
        <w:t xml:space="preserve">The classic ingestion pipeline in Phase 1 (detect format → OCR → chunk → embed) is the reliable, well-understood default and what this plan builds first. But by 2026 the field has a genuinely different second option worth piloting once the core system is stable: skip text-extraction OCR for the hardest documents entirely, and let a local vision-language model read the page image directly at query time or at index time.</w:t>
      </w:r>
    </w:p>
    <w:p>
      <w:pPr>
        <w:pStyle w:val="Heading2"/>
        <w:spacing w:after="100" w:before="160"/>
      </w:pPr>
      <w:r>
        <w:rPr>
          <w:rFonts w:ascii="Calibri" w:cs="Calibri" w:eastAsia="Calibri" w:hAnsi="Calibri"/>
          <w:b/>
          <w:bCs/>
          <w:color w:val="2E6DA4"/>
          <w:sz w:val="24"/>
          <w:szCs w:val="24"/>
        </w:rPr>
        <w:t xml:space="preserve">How it differs from Phase 1</w:t>
      </w:r>
    </w:p>
    <w:p>
      <w:pPr>
        <w:pStyle w:val="ListParagraph"/>
        <w:numPr>
          <w:ilvl w:val="0"/>
          <w:numId w:val="2"/>
        </w:numPr>
        <w:spacing w:after="100"/>
        <w:ind w:left="317" w:hanging="173"/>
      </w:pPr>
      <w:r>
        <w:rPr>
          <w:rFonts w:ascii="Calibri" w:cs="Calibri" w:eastAsia="Calibri" w:hAnsi="Calibri"/>
          <w:color w:val="4A4A4A"/>
          <w:sz w:val="20"/>
          <w:szCs w:val="20"/>
        </w:rPr>
        <w:t xml:space="preserve">Instead of OCR text going into the chunker, a page image (or a crop of it) is embedded and indexed directly using a multimodal embedding model, or described/summarized by a local VLM into searchable text.</w:t>
      </w:r>
    </w:p>
    <w:p>
      <w:pPr>
        <w:pStyle w:val="ListParagraph"/>
        <w:numPr>
          <w:ilvl w:val="0"/>
          <w:numId w:val="2"/>
        </w:numPr>
        <w:spacing w:after="100"/>
        <w:ind w:left="317" w:hanging="173"/>
      </w:pPr>
      <w:r>
        <w:rPr>
          <w:rFonts w:ascii="Calibri" w:cs="Calibri" w:eastAsia="Calibri" w:hAnsi="Calibri"/>
          <w:color w:val="4A4A4A"/>
          <w:sz w:val="20"/>
          <w:szCs w:val="20"/>
        </w:rPr>
        <w:t xml:space="preserve">This sidesteps a whole category of OCR failure — layout confusion, table structure loss, diagrams and handwritten annotations mixed with printed text — because the model reasons over the image the way a person would, rather than a flattened text stream.</w:t>
      </w:r>
    </w:p>
    <w:p>
      <w:pPr>
        <w:pStyle w:val="ListParagraph"/>
        <w:numPr>
          <w:ilvl w:val="0"/>
          <w:numId w:val="2"/>
        </w:numPr>
        <w:spacing w:after="100"/>
        <w:ind w:left="317" w:hanging="173"/>
      </w:pPr>
      <w:r>
        <w:rPr>
          <w:rFonts w:ascii="Calibri" w:cs="Calibri" w:eastAsia="Calibri" w:hAnsi="Calibri"/>
          <w:color w:val="4A4A4A"/>
          <w:sz w:val="20"/>
          <w:szCs w:val="20"/>
        </w:rPr>
        <w:t xml:space="preserve">The trade-off is cost and latency: vision-language inference is heavier per page than either classic OCR or lightweight VLM-OCR (Phase 1), so this is best reserved for a document tier that classic OCR keeps failing on, not the whole corpus.</w:t>
      </w:r>
    </w:p>
    <w:p>
      <w:pPr>
        <w:spacing w:after="100"/>
      </w:pPr>
    </w:p>
    <w:p>
      <w:pPr>
        <w:pStyle w:val="Heading2"/>
        <w:spacing w:after="100" w:before="160"/>
      </w:pPr>
      <w:r>
        <w:rPr>
          <w:rFonts w:ascii="Calibri" w:cs="Calibri" w:eastAsia="Calibri" w:hAnsi="Calibri"/>
          <w:b/>
          <w:bCs/>
          <w:color w:val="2E6DA4"/>
          <w:sz w:val="24"/>
          <w:szCs w:val="24"/>
        </w:rPr>
        <w:t xml:space="preserve">How to pilot it without disrupting production</w:t>
      </w:r>
    </w:p>
    <w:p>
      <w:pPr>
        <w:pStyle w:val="ListParagraph"/>
        <w:numPr>
          <w:ilvl w:val="0"/>
          <w:numId w:val="2"/>
        </w:numPr>
        <w:spacing w:after="100"/>
        <w:ind w:left="317" w:hanging="173"/>
      </w:pPr>
      <w:r>
        <w:rPr>
          <w:rFonts w:ascii="Calibri" w:cs="Calibri" w:eastAsia="Calibri" w:hAnsi="Calibri"/>
          <w:color w:val="4A4A4A"/>
          <w:sz w:val="20"/>
          <w:szCs w:val="20"/>
        </w:rPr>
        <w:t xml:space="preserve">Run it as a second, optional path in the ingestion pipeline: documents that come back from Phase 1 with a low OCR confidence score get automatically routed here instead of straight to the human review queue.</w:t>
      </w:r>
    </w:p>
    <w:p>
      <w:pPr>
        <w:pStyle w:val="ListParagraph"/>
        <w:numPr>
          <w:ilvl w:val="0"/>
          <w:numId w:val="2"/>
        </w:numPr>
        <w:spacing w:after="100"/>
        <w:ind w:left="317" w:hanging="173"/>
      </w:pPr>
      <w:r>
        <w:rPr>
          <w:rFonts w:ascii="Calibri" w:cs="Calibri" w:eastAsia="Calibri" w:hAnsi="Calibri"/>
          <w:color w:val="4A4A4A"/>
          <w:sz w:val="20"/>
          <w:szCs w:val="20"/>
        </w:rPr>
        <w:t xml:space="preserve">Compare answer quality on a fixed evaluation set (Phase 14) between the classic-OCR path and the vision-language path before deciding to expand its scope.</w:t>
      </w:r>
    </w:p>
    <w:p>
      <w:pPr>
        <w:pStyle w:val="ListParagraph"/>
        <w:numPr>
          <w:ilvl w:val="0"/>
          <w:numId w:val="2"/>
        </w:numPr>
        <w:spacing w:after="100"/>
        <w:ind w:left="317" w:hanging="173"/>
      </w:pPr>
      <w:r>
        <w:rPr>
          <w:rFonts w:ascii="Calibri" w:cs="Calibri" w:eastAsia="Calibri" w:hAnsi="Calibri"/>
          <w:color w:val="4A4A4A"/>
          <w:sz w:val="20"/>
          <w:szCs w:val="20"/>
        </w:rPr>
        <w:t xml:space="preserve">Because it's local-first by design already, adding this path doesn't change your data-residency posture — it's still self-hosted inference, just a heavier model on a smaller slice of documents.</w:t>
      </w:r>
    </w:p>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A concrete upgrade path for the documents that will always be hardest — badly scanned, heavily annotated, or genuinely illegible pages — without re-architecting anything already built.</w:t>
      </w:r>
    </w:p>
    <w:p>
      <w:pPr>
        <w:spacing w:after="100"/>
      </w:pPr>
      <w:r>
        <w:br w:type="page"/>
      </w:r>
    </w:p>
    <w:p>
      <w:pPr>
        <w:pStyle w:val="Heading1"/>
        <w:shd w:fill="152A47" w:val="clear"/>
        <w:spacing w:after="100" w:before="120"/>
      </w:pPr>
      <w:r>
        <w:rPr>
          <w:rFonts w:ascii="Calibri" w:cs="Calibri" w:eastAsia="Calibri" w:hAnsi="Calibri"/>
          <w:b/>
          <w:bCs/>
          <w:color w:val="FFFFFF"/>
          <w:sz w:val="28"/>
          <w:szCs w:val="28"/>
        </w:rPr>
        <w:t xml:space="preserve">PHASE 17 · Enterprise-Grade Reliability, Cost Governance &amp; Disaster Recovery</w:t>
      </w:r>
    </w:p>
    <w:p>
      <w:pPr>
        <w:spacing w:after="100"/>
      </w:pPr>
      <w:r>
        <w:rPr>
          <w:rFonts w:ascii="Calibri" w:cs="Calibri" w:eastAsia="Calibri" w:hAnsi="Calibri"/>
          <w:i/>
          <w:iCs/>
          <w:color w:val="2E6DA4"/>
          <w:sz w:val="20"/>
          <w:szCs w:val="20"/>
        </w:rPr>
        <w:t xml:space="preserve">The layer that separates a working demo from something a university can depend on</w:t>
      </w:r>
    </w:p>
    <w:p>
      <w:pPr>
        <w:pStyle w:val="Heading2"/>
        <w:spacing w:after="100" w:before="160"/>
      </w:pPr>
      <w:r>
        <w:rPr>
          <w:rFonts w:ascii="Calibri" w:cs="Calibri" w:eastAsia="Calibri" w:hAnsi="Calibri"/>
          <w:b/>
          <w:bCs/>
          <w:color w:val="2E6DA4"/>
          <w:sz w:val="24"/>
          <w:szCs w:val="24"/>
        </w:rPr>
        <w:t xml:space="preserve">Reliability targets</w:t>
      </w:r>
    </w:p>
    <w:p>
      <w:pPr>
        <w:pStyle w:val="ListParagraph"/>
        <w:numPr>
          <w:ilvl w:val="0"/>
          <w:numId w:val="2"/>
        </w:numPr>
        <w:spacing w:after="100"/>
        <w:ind w:left="317" w:hanging="173"/>
      </w:pPr>
      <w:r>
        <w:rPr>
          <w:rFonts w:ascii="Calibri" w:cs="Calibri" w:eastAsia="Calibri" w:hAnsi="Calibri"/>
          <w:color w:val="4A4A4A"/>
          <w:sz w:val="20"/>
          <w:szCs w:val="20"/>
        </w:rPr>
        <w:t xml:space="preserve">Define explicit SLOs before launch, not after an incident — for example, 99.5% API availability and a p95 answer latency target — and track them on the Grafana dashboards from Phase 12 so degradation shows up before students notice it.</w:t>
      </w:r>
    </w:p>
    <w:p>
      <w:pPr>
        <w:pStyle w:val="ListParagraph"/>
        <w:numPr>
          <w:ilvl w:val="0"/>
          <w:numId w:val="2"/>
        </w:numPr>
        <w:spacing w:after="100"/>
        <w:ind w:left="317" w:hanging="173"/>
      </w:pPr>
      <w:r>
        <w:rPr>
          <w:rFonts w:ascii="Calibri" w:cs="Calibri" w:eastAsia="Calibri" w:hAnsi="Calibri"/>
          <w:color w:val="4A4A4A"/>
          <w:sz w:val="20"/>
          <w:szCs w:val="20"/>
        </w:rPr>
        <w:t xml:space="preserve">Run the API and GPU tiers across multiple availability zones (or physically separate server rooms, if fully on-prem) so a single rack or AZ failure doesn't take the whole system down.</w:t>
      </w:r>
    </w:p>
    <w:p>
      <w:pPr>
        <w:spacing w:after="100"/>
      </w:pPr>
    </w:p>
    <w:p>
      <w:pPr>
        <w:pStyle w:val="Heading2"/>
        <w:spacing w:after="100" w:before="160"/>
      </w:pPr>
      <w:r>
        <w:rPr>
          <w:rFonts w:ascii="Calibri" w:cs="Calibri" w:eastAsia="Calibri" w:hAnsi="Calibri"/>
          <w:b/>
          <w:bCs/>
          <w:color w:val="2E6DA4"/>
          <w:sz w:val="24"/>
          <w:szCs w:val="24"/>
        </w:rPr>
        <w:t xml:space="preserve">Disaster recovery</w:t>
      </w:r>
    </w:p>
    <w:p>
      <w:pPr>
        <w:pStyle w:val="ListParagraph"/>
        <w:numPr>
          <w:ilvl w:val="0"/>
          <w:numId w:val="2"/>
        </w:numPr>
        <w:spacing w:after="100"/>
        <w:ind w:left="317" w:hanging="173"/>
      </w:pPr>
      <w:r>
        <w:rPr>
          <w:rFonts w:ascii="Calibri" w:cs="Calibri" w:eastAsia="Calibri" w:hAnsi="Calibri"/>
          <w:color w:val="4A4A4A"/>
          <w:sz w:val="20"/>
          <w:szCs w:val="20"/>
        </w:rPr>
        <w:t xml:space="preserve">Set explicit RPO (how much data you can afford to lose) and RTO (how fast you must be back up) per system, and back up accordingly — not every component needs the same rigor.</w:t>
      </w:r>
    </w:p>
    <w:p>
      <w:pPr>
        <w:spacing w:after="100"/>
      </w:pPr>
    </w:p>
    <w:tbl>
      <w:tblPr>
        <w:tblW w:type="dxa" w:w="9359"/>
        <w:jc w:val="center"/>
        <w:tblBorders>
          <w:top w:val="single" w:color="auto" w:sz="4"/>
          <w:left w:val="single" w:color="auto" w:sz="4"/>
          <w:bottom w:val="single" w:color="auto" w:sz="4"/>
          <w:right w:val="single" w:color="auto" w:sz="4"/>
          <w:insideH w:val="single" w:color="auto" w:sz="4"/>
          <w:insideV w:val="single" w:color="auto" w:sz="4"/>
        </w:tblBorders>
      </w:tblPr>
      <w:tblGrid>
        <w:gridCol w:w="2880"/>
        <w:gridCol w:w="3168"/>
        <w:gridCol w:w="1584"/>
        <w:gridCol w:w="1727"/>
      </w:tblGrid>
      <w:tr>
        <w:trPr>
          <w:tblHeader/>
        </w:trPr>
        <w:tc>
          <w:tcPr>
            <w:tcW w:type="dxa" w:w="2880"/>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Data</w:t>
            </w:r>
          </w:p>
        </w:tc>
        <w:tc>
          <w:tcPr>
            <w:tcW w:type="dxa" w:w="3168"/>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Backup method</w:t>
            </w:r>
          </w:p>
        </w:tc>
        <w:tc>
          <w:tcPr>
            <w:tcW w:type="dxa" w:w="1584"/>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Target RPO</w:t>
            </w:r>
          </w:p>
        </w:tc>
        <w:tc>
          <w:tcPr>
            <w:tcW w:type="dxa" w:w="1727"/>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Target RTO</w:t>
            </w:r>
          </w:p>
        </w:tc>
      </w:tr>
      <w:tr>
        <w:tc>
          <w:tcPr>
            <w:tcW w:type="dxa" w:w="288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PostgreSQL (metadata, manifest, users)</w:t>
            </w:r>
          </w:p>
        </w:tc>
        <w:tc>
          <w:tcPr>
            <w:tcW w:type="dxa" w:w="3168"/>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WAL archiving + nightly base backup (pgBackRest)</w:t>
            </w:r>
          </w:p>
        </w:tc>
        <w:tc>
          <w:tcPr>
            <w:tcW w:type="dxa" w:w="158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15 min</w:t>
            </w:r>
          </w:p>
        </w:tc>
        <w:tc>
          <w:tcPr>
            <w:tcW w:type="dxa" w:w="1727"/>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1 hr</w:t>
            </w:r>
          </w:p>
        </w:tc>
      </w:tr>
      <w:tr>
        <w:tc>
          <w:tcPr>
            <w:tcW w:type="dxa" w:w="288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Vector DB (Qdrant/Milvus)</w:t>
            </w:r>
          </w:p>
        </w:tc>
        <w:tc>
          <w:tcPr>
            <w:tcW w:type="dxa" w:w="3168"/>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Native snapshot to object storage, every 6 hrs</w:t>
            </w:r>
          </w:p>
        </w:tc>
        <w:tc>
          <w:tcPr>
            <w:tcW w:type="dxa" w:w="158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6 hrs</w:t>
            </w:r>
          </w:p>
        </w:tc>
        <w:tc>
          <w:tcPr>
            <w:tcW w:type="dxa" w:w="1727"/>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2 hrs</w:t>
            </w:r>
          </w:p>
        </w:tc>
      </w:tr>
      <w:tr>
        <w:tc>
          <w:tcPr>
            <w:tcW w:type="dxa" w:w="288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Original documents (object storage)</w:t>
            </w:r>
          </w:p>
        </w:tc>
        <w:tc>
          <w:tcPr>
            <w:tcW w:type="dxa" w:w="3168"/>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Bucket versioning + cross-site replication</w:t>
            </w:r>
          </w:p>
        </w:tc>
        <w:tc>
          <w:tcPr>
            <w:tcW w:type="dxa" w:w="158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Near-zero</w:t>
            </w:r>
          </w:p>
        </w:tc>
        <w:tc>
          <w:tcPr>
            <w:tcW w:type="dxa" w:w="1727"/>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Hours, not days</w:t>
            </w:r>
          </w:p>
        </w:tc>
      </w:tr>
    </w:tbl>
    <w:p>
      <w:pPr>
        <w:spacing w:after="100"/>
      </w:pPr>
    </w:p>
    <w:p>
      <w:pPr>
        <w:pStyle w:val="ListParagraph"/>
        <w:numPr>
          <w:ilvl w:val="0"/>
          <w:numId w:val="2"/>
        </w:numPr>
        <w:spacing w:after="100"/>
        <w:ind w:left="317" w:hanging="173"/>
      </w:pPr>
      <w:r>
        <w:rPr>
          <w:rFonts w:ascii="Calibri" w:cs="Calibri" w:eastAsia="Calibri" w:hAnsi="Calibri"/>
          <w:color w:val="4A4A4A"/>
          <w:sz w:val="20"/>
          <w:szCs w:val="20"/>
        </w:rPr>
        <w:t xml:space="preserve">The vector index is the one place you don't need tight RPO — it's fully derivable from PostgreSQL plus the original documents. Put your backup rigor into those two instead of the index itself.</w:t>
      </w:r>
    </w:p>
    <w:p>
      <w:pPr>
        <w:pStyle w:val="ListParagraph"/>
        <w:numPr>
          <w:ilvl w:val="0"/>
          <w:numId w:val="2"/>
        </w:numPr>
        <w:spacing w:after="100"/>
        <w:ind w:left="317" w:hanging="173"/>
      </w:pPr>
      <w:r>
        <w:rPr>
          <w:rFonts w:ascii="Calibri" w:cs="Calibri" w:eastAsia="Calibri" w:hAnsi="Calibri"/>
          <w:color w:val="4A4A4A"/>
          <w:sz w:val="20"/>
          <w:szCs w:val="20"/>
        </w:rPr>
        <w:t xml:space="preserve">Run a quarterly restore drill: actually spin up a clean environment from backups and serve a real query end-to-end. An untested backup fails silently, usually at the worst possible time.</w:t>
      </w:r>
    </w:p>
    <w:p>
      <w:pPr>
        <w:pStyle w:val="ListParagraph"/>
        <w:numPr>
          <w:ilvl w:val="0"/>
          <w:numId w:val="2"/>
        </w:numPr>
        <w:spacing w:after="100"/>
        <w:ind w:left="317" w:hanging="173"/>
      </w:pPr>
      <w:r>
        <w:rPr>
          <w:rFonts w:ascii="Calibri" w:cs="Calibri" w:eastAsia="Calibri" w:hAnsi="Calibri"/>
          <w:color w:val="4A4A4A"/>
          <w:sz w:val="20"/>
          <w:szCs w:val="20"/>
        </w:rPr>
        <w:t xml:space="preserve">Write a one-page runbook per failure mode (Postgres down, vector DB down, GPU node pool down) — who gets paged, and what the system should do in the meantime (e.g. serve cached answers only and degrade gracefully, rather than return errors to every student).</w:t>
      </w:r>
    </w:p>
    <w:p>
      <w:pPr>
        <w:spacing w:after="100"/>
      </w:pPr>
    </w:p>
    <w:p>
      <w:pPr>
        <w:pStyle w:val="Heading2"/>
        <w:spacing w:after="100" w:before="160"/>
      </w:pPr>
      <w:r>
        <w:rPr>
          <w:rFonts w:ascii="Calibri" w:cs="Calibri" w:eastAsia="Calibri" w:hAnsi="Calibri"/>
          <w:b/>
          <w:bCs/>
          <w:color w:val="2E6DA4"/>
          <w:sz w:val="24"/>
          <w:szCs w:val="24"/>
        </w:rPr>
        <w:t xml:space="preserve">What actually drives cost (get real quotes before committing)</w:t>
      </w:r>
    </w:p>
    <w:p>
      <w:pPr>
        <w:pStyle w:val="ListParagraph"/>
        <w:numPr>
          <w:ilvl w:val="0"/>
          <w:numId w:val="2"/>
        </w:numPr>
        <w:spacing w:after="100"/>
        <w:ind w:left="317" w:hanging="173"/>
      </w:pPr>
      <w:r>
        <w:rPr>
          <w:rFonts w:ascii="Calibri" w:cs="Calibri" w:eastAsia="Calibri" w:hAnsi="Calibri"/>
          <w:color w:val="4A4A4A"/>
          <w:sz w:val="20"/>
          <w:szCs w:val="20"/>
        </w:rPr>
        <w:t xml:space="preserve">The largest cost drivers, roughly in order: GPU hardware or rental for the LLM tier, GPU capacity for VLM-based OCR (Phase 1, 16) if you lean on it heavily, and storage/bandwidth for the original document corpus at lakh-scale.</w:t>
      </w:r>
    </w:p>
    <w:p>
      <w:pPr>
        <w:pStyle w:val="ListParagraph"/>
        <w:numPr>
          <w:ilvl w:val="0"/>
          <w:numId w:val="2"/>
        </w:numPr>
        <w:spacing w:after="100"/>
        <w:ind w:left="317" w:hanging="173"/>
      </w:pPr>
      <w:r>
        <w:rPr>
          <w:rFonts w:ascii="Calibri" w:cs="Calibri" w:eastAsia="Calibri" w:hAnsi="Calibri"/>
          <w:color w:val="4A4A4A"/>
          <w:sz w:val="20"/>
          <w:szCs w:val="20"/>
        </w:rPr>
        <w:t xml:space="preserve">On-prem GPU (capex) vs. cloud GPU rental (opex) is a real trade-off, not a default choice: on-prem costs more upfront and needs your own power/cooling/rack space, but at sustained high utilization — a university running near-continuous class-hours load — it often undercuts cloud rental over a 2-3 year horizon. Cloud rental wins if usage is genuinely bursty, or you want to defer the capex decision while piloting.</w:t>
      </w:r>
    </w:p>
    <w:p>
      <w:pPr>
        <w:pStyle w:val="ListParagraph"/>
        <w:numPr>
          <w:ilvl w:val="0"/>
          <w:numId w:val="2"/>
        </w:numPr>
        <w:spacing w:after="100"/>
        <w:ind w:left="317" w:hanging="173"/>
      </w:pPr>
      <w:r>
        <w:rPr>
          <w:rFonts w:ascii="Calibri" w:cs="Calibri" w:eastAsia="Calibri" w:hAnsi="Calibri"/>
          <w:color w:val="4A4A4A"/>
          <w:sz w:val="20"/>
          <w:szCs w:val="20"/>
        </w:rPr>
        <w:t xml:space="preserve">GPU pricing (hardware purchase, import duties for India, or cloud per-hour rates) changes often enough that any specific figure in this document would be stale within months — get current quotes from hardware vendors and at least two cloud GPU providers before sizing a budget, rather than anchoring on a number from this plan.</w:t>
      </w:r>
    </w:p>
    <w:p>
      <w:pPr>
        <w:pStyle w:val="ListParagraph"/>
        <w:numPr>
          <w:ilvl w:val="0"/>
          <w:numId w:val="2"/>
        </w:numPr>
        <w:spacing w:after="100"/>
        <w:ind w:left="317" w:hanging="173"/>
      </w:pPr>
      <w:r>
        <w:rPr>
          <w:rFonts w:ascii="Calibri" w:cs="Calibri" w:eastAsia="Calibri" w:hAnsi="Calibri"/>
          <w:color w:val="4A4A4A"/>
          <w:sz w:val="20"/>
          <w:szCs w:val="20"/>
        </w:rPr>
        <w:t xml:space="preserve">A hybrid approach is common in practice: on-prem GPUs sized for average load, with the OpenAI-format hosted fallback (Phase 5) enabled as overflow only during genuine spikes (exam weeks) — this caps the capex commitment to average demand instead of peak demand.</w:t>
      </w:r>
    </w:p>
    <w:p>
      <w:pPr>
        <w:spacing w:after="100"/>
      </w:pPr>
    </w:p>
    <w:p>
      <w:pPr>
        <w:pStyle w:val="Heading2"/>
        <w:spacing w:after="100" w:before="160"/>
      </w:pPr>
      <w:r>
        <w:rPr>
          <w:rFonts w:ascii="Calibri" w:cs="Calibri" w:eastAsia="Calibri" w:hAnsi="Calibri"/>
          <w:b/>
          <w:bCs/>
          <w:color w:val="2E6DA4"/>
          <w:sz w:val="24"/>
          <w:szCs w:val="24"/>
        </w:rPr>
        <w:t xml:space="preserve">Cost governance for GPU spend (FinOps)</w:t>
      </w:r>
    </w:p>
    <w:p>
      <w:pPr>
        <w:pStyle w:val="ListParagraph"/>
        <w:numPr>
          <w:ilvl w:val="0"/>
          <w:numId w:val="2"/>
        </w:numPr>
        <w:spacing w:after="100"/>
        <w:ind w:left="317" w:hanging="173"/>
      </w:pPr>
      <w:r>
        <w:rPr>
          <w:rFonts w:ascii="Calibri" w:cs="Calibri" w:eastAsia="Calibri" w:hAnsi="Calibri"/>
          <w:color w:val="4A4A4A"/>
          <w:sz w:val="20"/>
          <w:szCs w:val="20"/>
        </w:rPr>
        <w:t xml:space="preserve">Track cost per 1,000 answered queries, not just total GPU spend — total spend rises with adoption regardless of efficiency, but cost-per-query trending down is the signal that caching and quantization work is actually paying off.</w:t>
      </w:r>
    </w:p>
    <w:p>
      <w:pPr>
        <w:pStyle w:val="ListParagraph"/>
        <w:numPr>
          <w:ilvl w:val="0"/>
          <w:numId w:val="2"/>
        </w:numPr>
        <w:spacing w:after="100"/>
        <w:ind w:left="317" w:hanging="173"/>
      </w:pPr>
      <w:r>
        <w:rPr>
          <w:rFonts w:ascii="Calibri" w:cs="Calibri" w:eastAsia="Calibri" w:hAnsi="Calibri"/>
          <w:color w:val="4A4A4A"/>
          <w:sz w:val="20"/>
          <w:szCs w:val="20"/>
        </w:rPr>
        <w:t xml:space="preserve">Enforce per-department or per-course budgets/quotas at the gateway (Phase 5), not just monitor them after the fact — a bulk-upload script or a buggy integration shouldn't be able to burn a semester's GPU budget in a day.</w:t>
      </w:r>
    </w:p>
    <w:p>
      <w:pPr>
        <w:pStyle w:val="ListParagraph"/>
        <w:numPr>
          <w:ilvl w:val="0"/>
          <w:numId w:val="2"/>
        </w:numPr>
        <w:spacing w:after="100"/>
        <w:ind w:left="317" w:hanging="173"/>
      </w:pPr>
      <w:r>
        <w:rPr>
          <w:rFonts w:ascii="Calibri" w:cs="Calibri" w:eastAsia="Calibri" w:hAnsi="Calibri"/>
          <w:color w:val="4A4A4A"/>
          <w:sz w:val="20"/>
          <w:szCs w:val="20"/>
        </w:rPr>
        <w:t xml:space="preserve">Put GPU-hours and Redis cache-hit-rate on the same Grafana panel (Phase 12) — it makes the ROI of cache tuning visible to the non-engineers who actually control the budget.</w:t>
      </w:r>
    </w:p>
    <w:p>
      <w:pPr>
        <w:pStyle w:val="ListParagraph"/>
        <w:numPr>
          <w:ilvl w:val="0"/>
          <w:numId w:val="2"/>
        </w:numPr>
        <w:spacing w:after="100"/>
        <w:ind w:left="317" w:hanging="173"/>
      </w:pPr>
      <w:r>
        <w:rPr>
          <w:rFonts w:ascii="Calibri" w:cs="Calibri" w:eastAsia="Calibri" w:hAnsi="Calibri"/>
          <w:color w:val="4A4A4A"/>
          <w:sz w:val="20"/>
          <w:szCs w:val="20"/>
        </w:rPr>
        <w:t xml:space="preserve">Right-size the always-on warm pool (Phase 9) against the academic calendar rather than a fixed number — exam weeks and add/drop week need more headroom; semester breaks need close to zero.</w:t>
      </w:r>
    </w:p>
    <w:p>
      <w:pPr>
        <w:spacing w:after="100"/>
      </w:pPr>
    </w:p>
    <w:p>
      <w:pPr>
        <w:pStyle w:val="Heading2"/>
        <w:spacing w:after="100" w:before="160"/>
      </w:pPr>
      <w:r>
        <w:rPr>
          <w:rFonts w:ascii="Calibri" w:cs="Calibri" w:eastAsia="Calibri" w:hAnsi="Calibri"/>
          <w:b/>
          <w:bCs/>
          <w:color w:val="2E6DA4"/>
          <w:sz w:val="24"/>
          <w:szCs w:val="24"/>
        </w:rPr>
        <w:t xml:space="preserve">Security hardening beyond the basics</w:t>
      </w:r>
    </w:p>
    <w:p>
      <w:pPr>
        <w:pStyle w:val="ListParagraph"/>
        <w:numPr>
          <w:ilvl w:val="0"/>
          <w:numId w:val="2"/>
        </w:numPr>
        <w:spacing w:after="100"/>
        <w:ind w:left="317" w:hanging="173"/>
      </w:pPr>
      <w:r>
        <w:rPr>
          <w:rFonts w:ascii="Calibri" w:cs="Calibri" w:eastAsia="Calibri" w:hAnsi="Calibri"/>
          <w:color w:val="4A4A4A"/>
          <w:sz w:val="20"/>
          <w:szCs w:val="20"/>
        </w:rPr>
        <w:t xml:space="preserve">Centralize provider and database credentials in a secrets manager (HashiCorp Vault, or your cloud's native equivalent) — never in environment files checked into a repo or baked into container images.</w:t>
      </w:r>
    </w:p>
    <w:p>
      <w:pPr>
        <w:pStyle w:val="ListParagraph"/>
        <w:numPr>
          <w:ilvl w:val="0"/>
          <w:numId w:val="2"/>
        </w:numPr>
        <w:spacing w:after="100"/>
        <w:ind w:left="317" w:hanging="173"/>
      </w:pPr>
      <w:r>
        <w:rPr>
          <w:rFonts w:ascii="Calibri" w:cs="Calibri" w:eastAsia="Calibri" w:hAnsi="Calibri"/>
          <w:color w:val="4A4A4A"/>
          <w:sz w:val="20"/>
          <w:szCs w:val="20"/>
        </w:rPr>
        <w:t xml:space="preserve">Use mTLS or a service mesh (Istio/Linkerd) between internal services (API, workers, vector DB, LLM gateway) so a compromise of one component doesn't grant free access to the rest of the stack.</w:t>
      </w:r>
    </w:p>
    <w:p>
      <w:pPr>
        <w:pStyle w:val="ListParagraph"/>
        <w:numPr>
          <w:ilvl w:val="0"/>
          <w:numId w:val="2"/>
        </w:numPr>
        <w:spacing w:after="100"/>
        <w:ind w:left="317" w:hanging="173"/>
      </w:pPr>
      <w:r>
        <w:rPr>
          <w:rFonts w:ascii="Calibri" w:cs="Calibri" w:eastAsia="Calibri" w:hAnsi="Calibri"/>
          <w:color w:val="4A4A4A"/>
          <w:sz w:val="20"/>
          <w:szCs w:val="20"/>
        </w:rPr>
        <w:t xml:space="preserve">Run a periodic dependency and image vulnerability scan across the whole stack — the LiteLLM supply-chain incident referenced in Phase 5 is exactly the kind of risk this catches before it reaches production.</w:t>
      </w:r>
    </w:p>
    <w:p>
      <w:pPr>
        <w:pStyle w:val="ListParagraph"/>
        <w:numPr>
          <w:ilvl w:val="0"/>
          <w:numId w:val="2"/>
        </w:numPr>
        <w:spacing w:after="100"/>
        <w:ind w:left="317" w:hanging="173"/>
      </w:pPr>
      <w:r>
        <w:rPr>
          <w:rFonts w:ascii="Calibri" w:cs="Calibri" w:eastAsia="Calibri" w:hAnsi="Calibri"/>
          <w:color w:val="4A4A4A"/>
          <w:sz w:val="20"/>
          <w:szCs w:val="20"/>
        </w:rPr>
        <w:t xml:space="preserve">Maintain a Software Bill of Materials (SBOM — SPDX or CycloneDX format) for every deployed service, generated automatically in CI rather than assembled by hand. When the next LiteLLM-style incident hits a dependency you use, the question "are we affected, and where exactly" should be a five-minute SBOM search, not a multi-day audit.</w:t>
      </w:r>
    </w:p>
    <w:p>
      <w:pPr>
        <w:pStyle w:val="ListParagraph"/>
        <w:numPr>
          <w:ilvl w:val="0"/>
          <w:numId w:val="2"/>
        </w:numPr>
        <w:spacing w:after="100"/>
        <w:ind w:left="317" w:hanging="173"/>
      </w:pPr>
      <w:r>
        <w:rPr>
          <w:rFonts w:ascii="Calibri" w:cs="Calibri" w:eastAsia="Calibri" w:hAnsi="Calibri"/>
          <w:color w:val="4A4A4A"/>
          <w:sz w:val="20"/>
          <w:szCs w:val="20"/>
        </w:rPr>
        <w:t xml:space="preserve">Schedule a professional penetration test at least annually and before any major version release — and separately, red-team the RAG-specific surface on an ongoing basis (adversarial documents dropped into a test watch-folder, prompt-injection attempts against the live system) rather than treating the one-time OWASP mapping in Phase 19 as a checkbox exercise.</w:t>
      </w:r>
    </w:p>
    <w:p>
      <w:pPr>
        <w:spacing w:after="100"/>
      </w:pPr>
    </w:p>
    <w:p>
      <w:pPr>
        <w:pStyle w:val="Heading2"/>
        <w:spacing w:after="100" w:before="160"/>
      </w:pPr>
      <w:r>
        <w:rPr>
          <w:rFonts w:ascii="Calibri" w:cs="Calibri" w:eastAsia="Calibri" w:hAnsi="Calibri"/>
          <w:b/>
          <w:bCs/>
          <w:color w:val="2E6DA4"/>
          <w:sz w:val="24"/>
          <w:szCs w:val="24"/>
        </w:rPr>
        <w:t xml:space="preserve">Chaos engineering: prove the degradation table actually works</w:t>
      </w:r>
    </w:p>
    <w:p>
      <w:pPr>
        <w:pStyle w:val="ListParagraph"/>
        <w:numPr>
          <w:ilvl w:val="0"/>
          <w:numId w:val="2"/>
        </w:numPr>
        <w:spacing w:after="100"/>
        <w:ind w:left="317" w:hanging="173"/>
      </w:pPr>
      <w:r>
        <w:rPr>
          <w:rFonts w:ascii="Calibri" w:cs="Calibri" w:eastAsia="Calibri" w:hAnsi="Calibri"/>
          <w:color w:val="4A4A4A"/>
          <w:sz w:val="20"/>
          <w:szCs w:val="20"/>
        </w:rPr>
        <w:t xml:space="preserve">Phase 19 defines what should happen when Redis, the reranker, the vector DB, or the local LLM goes down. The only way to know that logic actually fires correctly in production conditions — not just in a unit test — is to make those failures happen on purpose.</w:t>
      </w:r>
    </w:p>
    <w:p>
      <w:pPr>
        <w:pStyle w:val="ListParagraph"/>
        <w:numPr>
          <w:ilvl w:val="0"/>
          <w:numId w:val="2"/>
        </w:numPr>
        <w:spacing w:after="100"/>
        <w:ind w:left="317" w:hanging="173"/>
      </w:pPr>
      <w:r>
        <w:rPr>
          <w:rFonts w:ascii="Calibri" w:cs="Calibri" w:eastAsia="Calibri" w:hAnsi="Calibri"/>
          <w:color w:val="4A4A4A"/>
          <w:sz w:val="20"/>
          <w:szCs w:val="20"/>
        </w:rPr>
        <w:t xml:space="preserve">Run periodic game days in staging (and eventually production, during low-traffic windows): kill a Redis pod, block the vector DB's network route, saturate the GPU queue, and confirm the system degrades the way Phase 19's table says it should, rather than discovering the gap during a real incident.</w:t>
      </w:r>
    </w:p>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This is what turns 'it works in the pilot' into something the university's IT leadership can actually put its name behind for 1,00,000 students.</w:t>
      </w:r>
    </w:p>
    <w:p>
      <w:pPr>
        <w:spacing w:after="100"/>
      </w:pPr>
      <w:r>
        <w:br w:type="page"/>
      </w:r>
    </w:p>
    <w:p>
      <w:pPr>
        <w:pStyle w:val="Heading1"/>
        <w:shd w:fill="152A47" w:val="clear"/>
        <w:spacing w:after="100" w:before="120"/>
      </w:pPr>
      <w:r>
        <w:rPr>
          <w:rFonts w:ascii="Calibri" w:cs="Calibri" w:eastAsia="Calibri" w:hAnsi="Calibri"/>
          <w:b/>
          <w:bCs/>
          <w:color w:val="FFFFFF"/>
          <w:sz w:val="28"/>
          <w:szCs w:val="28"/>
        </w:rPr>
        <w:t xml:space="preserve">PHASE 18 · Future Roadmap: What Comes After the Core Build</w:t>
      </w:r>
    </w:p>
    <w:p>
      <w:pPr>
        <w:spacing w:after="100"/>
      </w:pPr>
      <w:r>
        <w:rPr>
          <w:rFonts w:ascii="Calibri" w:cs="Calibri" w:eastAsia="Calibri" w:hAnsi="Calibri"/>
          <w:i/>
          <w:iCs/>
          <w:color w:val="2E6DA4"/>
          <w:sz w:val="20"/>
          <w:szCs w:val="20"/>
        </w:rPr>
        <w:t xml:space="preserve">Where this system grows once Phases 0-17 are live and stable — not day-one scope</w:t>
      </w:r>
    </w:p>
    <w:p>
      <w:pPr>
        <w:spacing w:after="100"/>
      </w:pPr>
      <w:r>
        <w:rPr>
          <w:rFonts w:ascii="Calibri" w:cs="Calibri" w:eastAsia="Calibri" w:hAnsi="Calibri"/>
          <w:color w:val="4A4A4A"/>
          <w:sz w:val="20"/>
          <w:szCs w:val="20"/>
        </w:rPr>
        <w:t xml:space="preserve">A plan built only for today's requirements is already behind by the time it ships. The items below aren't needed for launch, but the architecture in this document (versioned API, swappable LLM router, metadata-tagged chunks) is deliberately shaped so none of them require rebuilding what came before.</w:t>
      </w:r>
    </w:p>
    <w:p>
      <w:pPr>
        <w:pStyle w:val="Heading2"/>
        <w:spacing w:after="100" w:before="160"/>
      </w:pPr>
      <w:r>
        <w:rPr>
          <w:rFonts w:ascii="Calibri" w:cs="Calibri" w:eastAsia="Calibri" w:hAnsi="Calibri"/>
          <w:b/>
          <w:bCs/>
          <w:color w:val="2E6DA4"/>
          <w:sz w:val="24"/>
          <w:szCs w:val="24"/>
        </w:rPr>
        <w:t xml:space="preserve">Multilingual support</w:t>
      </w:r>
    </w:p>
    <w:p>
      <w:pPr>
        <w:pStyle w:val="ListParagraph"/>
        <w:numPr>
          <w:ilvl w:val="0"/>
          <w:numId w:val="2"/>
        </w:numPr>
        <w:spacing w:after="100"/>
        <w:ind w:left="317" w:hanging="173"/>
      </w:pPr>
      <w:r>
        <w:rPr>
          <w:rFonts w:ascii="Aptos" w:hAnsi="Aptos"/>
          <w:sz w:val="21"/>
        </w:rPr>
        <w:t>Multilingual generation, translation UX and voice remain roadmap features, but multilingual RETRIEVAL is no longer deferred: Phase 3 uses a multilingual embedding baseline from MVP so Hindi/English questions can retrieve English/Hindi course material without a future architectural migration.</w:t>
      </w:r>
    </w:p>
    <w:p>
      <w:pPr>
        <w:pStyle w:val="ListParagraph"/>
        <w:numPr>
          <w:ilvl w:val="0"/>
          <w:numId w:val="2"/>
        </w:numPr>
        <w:spacing w:after="100"/>
        <w:ind w:left="317" w:hanging="173"/>
      </w:pPr>
      <w:r>
        <w:rPr>
          <w:rFonts w:ascii="Calibri" w:cs="Calibri" w:eastAsia="Calibri" w:hAnsi="Calibri"/>
          <w:color w:val="4A4A4A"/>
          <w:sz w:val="20"/>
          <w:szCs w:val="20"/>
        </w:rPr>
        <w:t xml:space="preserve">This is a config and model-swap change on top of the existing LLM router (Phase 5) and embedding layer (Phase 3) — not a new architecture.</w:t>
      </w:r>
    </w:p>
    <w:p>
      <w:pPr>
        <w:spacing w:after="100"/>
      </w:pPr>
    </w:p>
    <w:p>
      <w:pPr>
        <w:pStyle w:val="Heading2"/>
        <w:spacing w:after="100" w:before="160"/>
      </w:pPr>
      <w:r>
        <w:rPr>
          <w:rFonts w:ascii="Calibri" w:cs="Calibri" w:eastAsia="Calibri" w:hAnsi="Calibri"/>
          <w:b/>
          <w:bCs/>
          <w:color w:val="2E6DA4"/>
          <w:sz w:val="24"/>
          <w:szCs w:val="24"/>
        </w:rPr>
        <w:t xml:space="preserve">Agentic, multi-step retrieval</w:t>
      </w:r>
    </w:p>
    <w:p>
      <w:pPr>
        <w:pStyle w:val="ListParagraph"/>
        <w:numPr>
          <w:ilvl w:val="0"/>
          <w:numId w:val="2"/>
        </w:numPr>
        <w:spacing w:after="100"/>
        <w:ind w:left="317" w:hanging="173"/>
      </w:pPr>
      <w:r>
        <w:rPr>
          <w:rFonts w:ascii="Calibri" w:cs="Calibri" w:eastAsia="Calibri" w:hAnsi="Calibri"/>
          <w:color w:val="4A4A4A"/>
          <w:sz w:val="20"/>
          <w:szCs w:val="20"/>
        </w:rPr>
        <w:t xml:space="preserve">Today's design answers one question with one retrieval pass. A natural next step is query decomposition — breaking "compare how X is taught in these two courses" into sub-questions, retrieving for each, and synthesizing — which is where RAG systems are generally heading as of 2026.</w:t>
      </w:r>
    </w:p>
    <w:p>
      <w:pPr>
        <w:pStyle w:val="ListParagraph"/>
        <w:numPr>
          <w:ilvl w:val="0"/>
          <w:numId w:val="2"/>
        </w:numPr>
        <w:spacing w:after="100"/>
        <w:ind w:left="317" w:hanging="173"/>
      </w:pPr>
      <w:r>
        <w:rPr>
          <w:rFonts w:ascii="Calibri" w:cs="Calibri" w:eastAsia="Calibri" w:hAnsi="Calibri"/>
          <w:color w:val="4A4A4A"/>
          <w:sz w:val="20"/>
          <w:szCs w:val="20"/>
        </w:rPr>
        <w:t xml:space="preserve">Build this as an optional planning step in front of the existing retriever (Phase 4), gated behind an evaluation showing it actually improves answer quality for your students' real question patterns (Phase 14) — added latency and cost need to earn their place.</w:t>
      </w:r>
    </w:p>
    <w:p>
      <w:pPr>
        <w:spacing w:after="100"/>
      </w:pPr>
    </w:p>
    <w:p>
      <w:pPr>
        <w:pStyle w:val="Heading2"/>
        <w:spacing w:after="100" w:before="160"/>
      </w:pPr>
      <w:r>
        <w:rPr>
          <w:rFonts w:ascii="Calibri" w:cs="Calibri" w:eastAsia="Calibri" w:hAnsi="Calibri"/>
          <w:b/>
          <w:bCs/>
          <w:color w:val="2E6DA4"/>
          <w:sz w:val="24"/>
          <w:szCs w:val="24"/>
        </w:rPr>
        <w:t xml:space="preserve">Deeper LMS &amp; portal integration</w:t>
      </w:r>
    </w:p>
    <w:p>
      <w:pPr>
        <w:pStyle w:val="ListParagraph"/>
        <w:numPr>
          <w:ilvl w:val="0"/>
          <w:numId w:val="2"/>
        </w:numPr>
        <w:spacing w:after="100"/>
        <w:ind w:left="317" w:hanging="173"/>
      </w:pPr>
      <w:r>
        <w:rPr>
          <w:rFonts w:ascii="Calibri" w:cs="Calibri" w:eastAsia="Calibri" w:hAnsi="Calibri"/>
          <w:color w:val="4A4A4A"/>
          <w:sz w:val="20"/>
          <w:szCs w:val="20"/>
        </w:rPr>
        <w:t xml:space="preserve">The Phase 10 widget is intentionally decoupled and read-only. Once trust is established, consider deeper integration with the university's LMS (Moodle, Canvas, Google Classroom): surfacing answers inside the course page a student is already on, or letting faculty pin verified answers to a course's FAQ.</w:t>
      </w:r>
    </w:p>
    <w:p>
      <w:pPr>
        <w:spacing w:after="100"/>
      </w:pPr>
    </w:p>
    <w:p>
      <w:pPr>
        <w:pStyle w:val="Heading2"/>
        <w:spacing w:after="100" w:before="160"/>
      </w:pPr>
      <w:r>
        <w:rPr>
          <w:rFonts w:ascii="Calibri" w:cs="Calibri" w:eastAsia="Calibri" w:hAnsi="Calibri"/>
          <w:b/>
          <w:bCs/>
          <w:color w:val="2E6DA4"/>
          <w:sz w:val="24"/>
          <w:szCs w:val="24"/>
        </w:rPr>
        <w:t xml:space="preserve">Accessibility</w:t>
      </w:r>
    </w:p>
    <w:p>
      <w:pPr>
        <w:pStyle w:val="ListParagraph"/>
        <w:numPr>
          <w:ilvl w:val="0"/>
          <w:numId w:val="2"/>
        </w:numPr>
        <w:spacing w:after="100"/>
        <w:ind w:left="317" w:hanging="173"/>
      </w:pPr>
      <w:r>
        <w:rPr>
          <w:rFonts w:ascii="Calibri" w:cs="Calibri" w:eastAsia="Calibri" w:hAnsi="Calibri"/>
          <w:color w:val="4A4A4A"/>
          <w:sz w:val="20"/>
          <w:szCs w:val="20"/>
        </w:rPr>
        <w:t xml:space="preserve">Build the student widget (Phase 10) to WCAG 2.1 AA from the start where possible — screen-reader compatible markup, keyboard navigation, sufficient color contrast — and add voice input/output as an explicit accessibility feature, not just a novelty.</w:t>
      </w:r>
    </w:p>
    <w:p>
      <w:pPr>
        <w:spacing w:after="100"/>
      </w:pPr>
    </w:p>
    <w:p>
      <w:pPr>
        <w:pStyle w:val="Heading2"/>
        <w:spacing w:after="100" w:before="160"/>
      </w:pPr>
      <w:r>
        <w:rPr>
          <w:rFonts w:ascii="Calibri" w:cs="Calibri" w:eastAsia="Calibri" w:hAnsi="Calibri"/>
          <w:b/>
          <w:bCs/>
          <w:color w:val="2E6DA4"/>
          <w:sz w:val="24"/>
          <w:szCs w:val="24"/>
        </w:rPr>
        <w:t xml:space="preserve">Continuous improvement from real usage</w:t>
      </w:r>
    </w:p>
    <w:p>
      <w:pPr>
        <w:pStyle w:val="ListParagraph"/>
        <w:numPr>
          <w:ilvl w:val="0"/>
          <w:numId w:val="2"/>
        </w:numPr>
        <w:spacing w:after="100"/>
        <w:ind w:left="317" w:hanging="173"/>
      </w:pPr>
      <w:r>
        <w:rPr>
          <w:rFonts w:ascii="Calibri" w:cs="Calibri" w:eastAsia="Calibri" w:hAnsi="Calibri"/>
          <w:color w:val="4A4A4A"/>
          <w:sz w:val="20"/>
          <w:szCs w:val="20"/>
        </w:rPr>
        <w:t xml:space="preserve">The feedback loop from Phase 14 is also a dataset: anonymized, reviewed question-answer pairs can later fine-tune a small local model (LoRA) on your university's own terminology and course structure — a genuinely future step, and one to revisit only once you have months of real, reviewed usage data to learn from.</w:t>
      </w:r>
    </w:p>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None of this is required to launch — it's here so next year's roadmap conversation starts from "which of these do we want" instead of "can our architecture even support this."</w:t>
      </w:r>
    </w:p>
    <w:p>
      <w:pPr>
        <w:spacing w:after="100"/>
      </w:pPr>
      <w:r>
        <w:br w:type="page"/>
      </w:r>
    </w:p>
    <w:p>
      <w:pPr>
        <w:pStyle w:val="Heading1"/>
        <w:shd w:fill="152A47" w:val="clear"/>
        <w:spacing w:after="100" w:before="120"/>
      </w:pPr>
      <w:r>
        <w:rPr>
          <w:rFonts w:ascii="Calibri" w:cs="Calibri" w:eastAsia="Calibri" w:hAnsi="Calibri"/>
          <w:b/>
          <w:bCs/>
          <w:color w:val="FFFFFF"/>
          <w:sz w:val="28"/>
          <w:szCs w:val="28"/>
        </w:rPr>
        <w:t xml:space="preserve">PHASE 19 · Security, Speed &amp; Stability Hardening</w:t>
      </w:r>
    </w:p>
    <w:p>
      <w:pPr>
        <w:spacing w:after="100"/>
      </w:pPr>
      <w:r>
        <w:rPr>
          <w:rFonts w:ascii="Calibri" w:cs="Calibri" w:eastAsia="Calibri" w:hAnsi="Calibri"/>
          <w:i/>
          <w:iCs/>
          <w:color w:val="2E6DA4"/>
          <w:sz w:val="20"/>
          <w:szCs w:val="20"/>
        </w:rPr>
        <w:t xml:space="preserve">Cross-cutting concerns that touch every phase above — a checklist, not a phase to defer</w:t>
      </w:r>
    </w:p>
    <w:p>
      <w:pPr>
        <w:spacing w:after="100"/>
      </w:pPr>
      <w:r>
        <w:rPr>
          <w:rFonts w:ascii="Calibri" w:cs="Calibri" w:eastAsia="Calibri" w:hAnsi="Calibri"/>
          <w:color w:val="4A4A4A"/>
          <w:sz w:val="20"/>
          <w:szCs w:val="20"/>
        </w:rPr>
        <w:t xml:space="preserve">Unlike Phases 16-18, not everything here is future work. The security items in particular apply the moment folder-watch ingestion (Phase 1) is live and pulling in real files — each item below is marked for whether it belongs at MVP or can mature as you scale.</w:t>
      </w:r>
    </w:p>
    <w:p>
      <w:pPr>
        <w:pStyle w:val="Heading2"/>
        <w:spacing w:after="100" w:before="160"/>
      </w:pPr>
      <w:r>
        <w:rPr>
          <w:rFonts w:ascii="Calibri" w:cs="Calibri" w:eastAsia="Calibri" w:hAnsi="Calibri"/>
          <w:b/>
          <w:bCs/>
          <w:color w:val="2E6DA4"/>
          <w:sz w:val="24"/>
          <w:szCs w:val="24"/>
        </w:rPr>
        <w:t xml:space="preserve">Security: the RAG-specific attack surface (belongs at MVP)</w:t>
      </w:r>
    </w:p>
    <w:p>
      <w:pPr>
        <w:pStyle w:val="ListParagraph"/>
        <w:numPr>
          <w:ilvl w:val="0"/>
          <w:numId w:val="2"/>
        </w:numPr>
        <w:spacing w:after="100"/>
        <w:ind w:left="317" w:hanging="173"/>
      </w:pPr>
      <w:r>
        <w:rPr>
          <w:rFonts w:ascii="Aptos" w:hAnsi="Aptos"/>
          <w:sz w:val="21"/>
        </w:rPr>
        <w:t>Map the system against the OWASP GenAI LLM Top 10 2026 (August 2026 edition) before go-live and at each major security review. Treat prompt injection, sensitive-information disclosure, supply-chain/model risks, data/model poisoning, improper output handling, excessive agency, system prompt leakage, vector/embedding weaknesses, misinformation and unbounded consumption as explicit controls to test, not documentation-only items.</w:t>
      </w:r>
    </w:p>
    <w:p>
      <w:pPr>
        <w:pStyle w:val="ListParagraph"/>
        <w:numPr>
          <w:ilvl w:val="0"/>
          <w:numId w:val="2"/>
        </w:numPr>
        <w:spacing w:after="100"/>
        <w:ind w:left="317" w:hanging="173"/>
      </w:pPr>
      <w:r>
        <w:rPr>
          <w:rFonts w:ascii="Calibri" w:cs="Calibri" w:eastAsia="Calibri" w:hAnsi="Calibri"/>
          <w:color w:val="4A4A4A"/>
          <w:sz w:val="20"/>
          <w:szCs w:val="20"/>
        </w:rPr>
        <w:t xml:space="preserve">Indirect prompt injection is the sharpest edge for this system specifically: because Phase 1 auto-ingests anything dropped in a watched folder, a document containing hidden instructions (white text on a white background, zero-width characters) can silently reach the LLM as "context" and try to hijack its behavior. This is why content validation was added to Phase 1 — strip hidden text at extraction, before it ever reaches a chunk. OpenDataLoader PDF (Phase 1) does this natively for hidden/zero-size-font text, which covers a meaningful slice of this risk out of the box — verify it against your own adversarial test documents rather than treating it as a complete solution on its own.</w:t>
      </w:r>
    </w:p>
    <w:p>
      <w:pPr>
        <w:pStyle w:val="ListParagraph"/>
        <w:numPr>
          <w:ilvl w:val="0"/>
          <w:numId w:val="2"/>
        </w:numPr>
        <w:spacing w:after="100"/>
        <w:ind w:left="317" w:hanging="173"/>
      </w:pPr>
      <w:r>
        <w:rPr>
          <w:rFonts w:ascii="Calibri" w:cs="Calibri" w:eastAsia="Calibri" w:hAnsi="Calibri"/>
          <w:color w:val="4A4A4A"/>
          <w:sz w:val="20"/>
          <w:szCs w:val="20"/>
        </w:rPr>
        <w:t xml:space="preserve">Treat everything retrieved from the vector store as untrusted data, never as instructions — the system prompt (Phase 5) should explicitly separate reference material from commands, and that boundary should be tested with adversarial documents, not assumed to hold.</w:t>
      </w:r>
    </w:p>
    <w:p>
      <w:pPr>
        <w:pStyle w:val="ListParagraph"/>
        <w:spacing w:after="100"/>
        <w:ind w:left="317" w:hanging="173"/>
      </w:pPr>
      <w:r>
        <w:rPr>
          <w:rFonts w:ascii="Aptos" w:hAnsi="Aptos"/>
          <w:sz w:val="21"/>
        </w:rPr>
        <w:t>Add an explicit answerability/abstention gate: if retrieval evidence is below calibrated thresholds, return that sufficient information was not found in approved university sources rather than forcing a generated answer.</w:t>
      </w:r>
    </w:p>
    <w:p>
      <w:pPr>
        <w:pStyle w:val="ListParagraph"/>
        <w:spacing w:after="100"/>
        <w:ind w:left="317" w:hanging="173"/>
      </w:pPr>
      <w:r>
        <w:rPr>
          <w:rFonts w:ascii="Aptos" w:hAnsi="Aptos"/>
          <w:sz w:val="21"/>
        </w:rPr>
        <w:t>Use immutable citation IDs during context assembly and run citation verification after generation. The API should return document_id, document_version, page/section and bounding box where available, and remove unsupported citations/claims before streaming the final response.</w:t>
      </w:r>
    </w:p>
    <w:p>
      <w:pPr>
        <w:pStyle w:val="ListParagraph"/>
        <w:numPr>
          <w:ilvl w:val="0"/>
          <w:numId w:val="2"/>
        </w:numPr>
        <w:spacing w:after="100"/>
        <w:ind w:left="317" w:hanging="173"/>
      </w:pPr>
      <w:r>
        <w:rPr>
          <w:rFonts w:ascii="Calibri" w:cs="Calibri" w:eastAsia="Calibri" w:hAnsi="Calibri"/>
          <w:color w:val="4A4A4A"/>
          <w:sz w:val="20"/>
          <w:szCs w:val="20"/>
        </w:rPr>
        <w:t xml:space="preserve">This system is multi-tenant by design (department/course scoping), which is exactly the condition OWASP flags for Vector and Embedding Weaknesses: enforce access partitioning at the vector-store layer itself, not only by filtering in application code, so a bug in one query path can't bypass the department boundary. Self-hosting the vector DB locally (already this plan's default, Phase 3) meaningfully narrows this risk versus a hosted vector DB SaaS — the data never leaves your network.</w:t>
      </w:r>
    </w:p>
    <w:p>
      <w:pPr>
        <w:pStyle w:val="ListParagraph"/>
        <w:numPr>
          <w:ilvl w:val="0"/>
          <w:numId w:val="2"/>
        </w:numPr>
        <w:spacing w:after="100"/>
        <w:ind w:left="317" w:hanging="173"/>
      </w:pPr>
      <w:r>
        <w:rPr>
          <w:rFonts w:ascii="Calibri" w:cs="Calibri" w:eastAsia="Calibri" w:hAnsi="Calibri"/>
          <w:color w:val="4A4A4A"/>
          <w:sz w:val="20"/>
          <w:szCs w:val="20"/>
        </w:rPr>
        <w:t xml:space="preserve">Embeddings are not anonymous — inversion attacks can partially reconstruct source text from vectors alone, so the vector store needs the same access rigor as the original documents, not lighter rules because "it's just numbers."</w:t>
      </w:r>
    </w:p>
    <w:p>
      <w:pPr>
        <w:pStyle w:val="ListParagraph"/>
        <w:numPr>
          <w:ilvl w:val="0"/>
          <w:numId w:val="2"/>
        </w:numPr>
        <w:spacing w:after="100"/>
        <w:ind w:left="317" w:hanging="173"/>
      </w:pPr>
      <w:r>
        <w:rPr>
          <w:rFonts w:ascii="Calibri" w:cs="Calibri" w:eastAsia="Calibri" w:hAnsi="Calibri"/>
          <w:color w:val="4A4A4A"/>
          <w:sz w:val="20"/>
          <w:szCs w:val="20"/>
        </w:rPr>
        <w:t xml:space="preserve">Audit-log retrieval queries (which query hit which chunk IDs — not the chunk content itself) so an incident has a reconstructable timeline without creating a second copy of sensitive data to protect.</w:t>
      </w:r>
    </w:p>
    <w:p>
      <w:pPr>
        <w:spacing w:after="100"/>
      </w:pPr>
    </w:p>
    <w:p>
      <w:pPr>
        <w:pStyle w:val="Heading2"/>
        <w:spacing w:after="100" w:before="160"/>
      </w:pPr>
      <w:r>
        <w:rPr>
          <w:rFonts w:ascii="Calibri" w:cs="Calibri" w:eastAsia="Calibri" w:hAnsi="Calibri"/>
          <w:b/>
          <w:bCs/>
          <w:color w:val="2E6DA4"/>
          <w:sz w:val="24"/>
          <w:szCs w:val="24"/>
        </w:rPr>
        <w:t xml:space="preserve">Speed: latency budget &amp; streaming (belongs at MVP)</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Stage</w:t>
            </w:r>
          </w:p>
        </w:tc>
        <w:tc>
          <w:tcPr>
            <w:tcW w:type="dxa" w:w="3600"/>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Target (p95)</w:t>
            </w:r>
          </w:p>
        </w:tc>
      </w:tr>
      <w:tr>
        <w:tc>
          <w:tcPr>
            <w:tcW w:type="dxa" w:w="576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Cache check (Redis)</w:t>
            </w:r>
          </w:p>
        </w:tc>
        <w:tc>
          <w:tcPr>
            <w:tcW w:type="dxa" w:w="360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&lt; 10 ms</w:t>
            </w:r>
          </w:p>
        </w:tc>
      </w:tr>
      <w:tr>
        <w:tc>
          <w:tcPr>
            <w:tcW w:type="dxa" w:w="576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Metadata filter + hybrid retrieval</w:t>
            </w:r>
          </w:p>
        </w:tc>
        <w:tc>
          <w:tcPr>
            <w:tcW w:type="dxa" w:w="360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&lt; 150 ms</w:t>
            </w:r>
          </w:p>
        </w:tc>
      </w:tr>
      <w:tr>
        <w:tc>
          <w:tcPr>
            <w:tcW w:type="dxa" w:w="576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Reranking</w:t>
            </w:r>
          </w:p>
        </w:tc>
        <w:tc>
          <w:tcPr>
            <w:tcW w:type="dxa" w:w="360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&lt; 80 ms</w:t>
            </w:r>
          </w:p>
        </w:tc>
      </w:tr>
      <w:tr>
        <w:tc>
          <w:tcPr>
            <w:tcW w:type="dxa" w:w="576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Time to first generated token (streamed)</w:t>
            </w:r>
          </w:p>
        </w:tc>
        <w:tc>
          <w:tcPr>
            <w:tcW w:type="dxa" w:w="360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800 ms - 1.5 s</w:t>
            </w:r>
          </w:p>
        </w:tc>
      </w:tr>
      <w:tr>
        <w:tc>
          <w:tcPr>
            <w:tcW w:type="dxa" w:w="576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Full answer complete</w:t>
            </w:r>
          </w:p>
        </w:tc>
        <w:tc>
          <w:tcPr>
            <w:tcW w:type="dxa" w:w="360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2 - 4 s</w:t>
            </w:r>
          </w:p>
        </w:tc>
      </w:tr>
    </w:tbl>
    <w:p>
      <w:pPr>
        <w:spacing w:after="100"/>
      </w:pPr>
    </w:p>
    <w:p>
      <w:pPr>
        <w:pStyle w:val="ListParagraph"/>
        <w:numPr>
          <w:ilvl w:val="0"/>
          <w:numId w:val="2"/>
        </w:numPr>
        <w:spacing w:after="100"/>
        <w:ind w:left="317" w:hanging="173"/>
      </w:pPr>
      <w:r>
        <w:rPr>
          <w:rFonts w:ascii="Calibri" w:cs="Calibri" w:eastAsia="Calibri" w:hAnsi="Calibri"/>
          <w:color w:val="4A4A4A"/>
          <w:sz w:val="20"/>
          <w:szCs w:val="20"/>
        </w:rPr>
        <w:t xml:space="preserve">Stream tokens to the student (Server-Sent Events, matching the OpenAI-compatible </w:t>
      </w:r>
      <w:r>
        <w:rPr>
          <w:rFonts w:ascii="Calibri" w:cs="Calibri" w:eastAsia="Calibri" w:hAnsi="Calibri"/>
          <w:b/>
          <w:bCs/>
          <w:color w:val="4A4A4A"/>
          <w:sz w:val="20"/>
          <w:szCs w:val="20"/>
        </w:rPr>
        <w:t xml:space="preserve">stream: true</w:t>
      </w:r>
      <w:r>
        <w:rPr>
          <w:rFonts w:ascii="Calibri" w:cs="Calibri" w:eastAsia="Calibri" w:hAnsi="Calibri"/>
          <w:color w:val="4A4A4A"/>
          <w:sz w:val="20"/>
          <w:szCs w:val="20"/>
        </w:rPr>
        <w:t xml:space="preserve"> flag already on the endpoint from Phase 6) instead of waiting for the full generation — this is what makes a 2-3 second generation feel instant rather than slow.</w:t>
      </w:r>
    </w:p>
    <w:p>
      <w:pPr>
        <w:pStyle w:val="ListParagraph"/>
        <w:numPr>
          <w:ilvl w:val="0"/>
          <w:numId w:val="2"/>
        </w:numPr>
        <w:spacing w:after="100"/>
        <w:ind w:left="317" w:hanging="173"/>
      </w:pPr>
      <w:r>
        <w:rPr>
          <w:rFonts w:ascii="Calibri" w:cs="Calibri" w:eastAsia="Calibri" w:hAnsi="Calibri"/>
          <w:color w:val="4A4A4A"/>
          <w:sz w:val="20"/>
          <w:szCs w:val="20"/>
        </w:rPr>
        <w:t xml:space="preserve">Hybrid retrieval (Phase 4) is also a security hedge, not just a quality one: keyword search doesn't depend on embedding quality, so it keeps working even if an embedding-space attack degrades vector search results.</w:t>
      </w:r>
    </w:p>
    <w:p>
      <w:pPr>
        <w:pStyle w:val="ListParagraph"/>
        <w:numPr>
          <w:ilvl w:val="0"/>
          <w:numId w:val="2"/>
        </w:numPr>
        <w:spacing w:after="100"/>
        <w:ind w:left="317" w:hanging="173"/>
      </w:pPr>
      <w:r>
        <w:rPr>
          <w:rFonts w:ascii="Calibri" w:cs="Calibri" w:eastAsia="Calibri" w:hAnsi="Calibri"/>
          <w:color w:val="4A4A4A"/>
          <w:sz w:val="20"/>
          <w:szCs w:val="20"/>
        </w:rPr>
        <w:t xml:space="preserve">Use an async database driver (asyncpg, not a sync driver called from an async route) end to end — FastAPI's whole speed advantage disappears if a blocking DB call ties up the event loop while other students' requests wait behind it.</w:t>
      </w:r>
    </w:p>
    <w:p>
      <w:pPr>
        <w:pStyle w:val="ListParagraph"/>
        <w:numPr>
          <w:ilvl w:val="0"/>
          <w:numId w:val="2"/>
        </w:numPr>
        <w:spacing w:after="100"/>
        <w:ind w:left="317" w:hanging="173"/>
      </w:pPr>
      <w:r>
        <w:rPr>
          <w:rFonts w:ascii="Calibri" w:cs="Calibri" w:eastAsia="Calibri" w:hAnsi="Calibri"/>
          <w:color w:val="4A4A4A"/>
          <w:sz w:val="20"/>
          <w:szCs w:val="20"/>
        </w:rPr>
        <w:t xml:space="preserve">Add connection pooling (PgBouncer for Postgres) and a read replica once retrieval queries start competing with ingestion writes for the same database connections — a lakh-scale symptom, not an MVP one.</w:t>
      </w:r>
    </w:p>
    <w:p>
      <w:pPr>
        <w:pStyle w:val="ListParagraph"/>
        <w:numPr>
          <w:ilvl w:val="0"/>
          <w:numId w:val="2"/>
        </w:numPr>
        <w:spacing w:after="100"/>
        <w:ind w:left="317" w:hanging="173"/>
      </w:pPr>
      <w:r>
        <w:rPr>
          <w:rFonts w:ascii="Calibri" w:cs="Calibri" w:eastAsia="Calibri" w:hAnsi="Calibri"/>
          <w:color w:val="4A4A4A"/>
          <w:sz w:val="20"/>
          <w:szCs w:val="20"/>
        </w:rPr>
        <w:t xml:space="preserve">Prefetch and cache predictable, recurring queries (syllabus FAQs) ahead of an exam window rather than waiting for organic cache warmup during the exact week load peaks.</w:t>
      </w:r>
    </w:p>
    <w:p>
      <w:pPr>
        <w:spacing w:after="100"/>
      </w:pPr>
    </w:p>
    <w:p>
      <w:pPr>
        <w:pStyle w:val="Heading2"/>
        <w:spacing w:after="100" w:before="160"/>
      </w:pPr>
      <w:r>
        <w:rPr>
          <w:rFonts w:ascii="Calibri" w:cs="Calibri" w:eastAsia="Calibri" w:hAnsi="Calibri"/>
          <w:b/>
          <w:bCs/>
          <w:color w:val="2E6DA4"/>
          <w:sz w:val="24"/>
          <w:szCs w:val="24"/>
        </w:rPr>
        <w:t xml:space="preserve">Stability: fail predictably, not silently (harden as you scale)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24"/>
        <w:gridCol w:w="6336"/>
      </w:tblGrid>
      <w:tr>
        <w:trPr>
          <w:tblHeader/>
        </w:trPr>
        <w:tc>
          <w:tcPr>
            <w:tcW w:type="dxa" w:w="3024"/>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If this dependency is down...</w:t>
            </w:r>
          </w:p>
        </w:tc>
        <w:tc>
          <w:tcPr>
            <w:tcW w:type="dxa" w:w="6336"/>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...the system should</w:t>
            </w:r>
          </w:p>
        </w:tc>
      </w:tr>
      <w:tr>
        <w:tc>
          <w:tcPr>
            <w:tcW w:type="dxa" w:w="302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Redis cache</w:t>
            </w:r>
          </w:p>
        </w:tc>
        <w:tc>
          <w:tcPr>
            <w:tcW w:type="dxa" w:w="6336"/>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Skip caching, don't fail the request</w:t>
            </w:r>
          </w:p>
        </w:tc>
      </w:tr>
      <w:tr>
        <w:tc>
          <w:tcPr>
            <w:tcW w:type="dxa" w:w="302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Reranker</w:t>
            </w:r>
          </w:p>
        </w:tc>
        <w:tc>
          <w:tcPr>
            <w:tcW w:type="dxa" w:w="6336"/>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Skip rerank, serve fused hybrid results directly</w:t>
            </w:r>
          </w:p>
        </w:tc>
      </w:tr>
      <w:tr>
        <w:tc>
          <w:tcPr>
            <w:tcW w:type="dxa" w:w="302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Vector DB</w:t>
            </w:r>
          </w:p>
        </w:tc>
        <w:tc>
          <w:tcPr>
            <w:tcW w:type="dxa" w:w="6336"/>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Fall back to keyword-only (BM25) search</w:t>
            </w:r>
          </w:p>
        </w:tc>
      </w:tr>
      <w:tr>
        <w:tc>
          <w:tcPr>
            <w:tcW w:type="dxa" w:w="302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Local LLM (Ollama)</w:t>
            </w:r>
          </w:p>
        </w:tc>
        <w:tc>
          <w:tcPr>
            <w:tcW w:type="dxa" w:w="6336"/>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Use the hosted fallback if enabled, else an extractive fallback — never a bare 500</w:t>
            </w:r>
          </w:p>
        </w:tc>
      </w:tr>
    </w:tbl>
    <w:p>
      <w:pPr>
        <w:spacing w:after="100"/>
      </w:pPr>
    </w:p>
    <w:p>
      <w:pPr>
        <w:pStyle w:val="ListParagraph"/>
        <w:numPr>
          <w:ilvl w:val="0"/>
          <w:numId w:val="2"/>
        </w:numPr>
        <w:spacing w:after="100"/>
        <w:ind w:left="317" w:hanging="173"/>
      </w:pPr>
      <w:r>
        <w:rPr>
          <w:rFonts w:ascii="Calibri" w:cs="Calibri" w:eastAsia="Calibri" w:hAnsi="Calibri"/>
          <w:color w:val="4A4A4A"/>
          <w:sz w:val="20"/>
          <w:szCs w:val="20"/>
        </w:rPr>
        <w:t xml:space="preserve">Wrap every external call (LLM, vector DB, Redis) in a timeout plus a circuit breaker, so one slow dependency can't cascade into thread or connection exhaustion across the whole API tier.</w:t>
      </w:r>
    </w:p>
    <w:p>
      <w:pPr>
        <w:pStyle w:val="ListParagraph"/>
        <w:numPr>
          <w:ilvl w:val="0"/>
          <w:numId w:val="2"/>
        </w:numPr>
        <w:spacing w:after="100"/>
        <w:ind w:left="317" w:hanging="173"/>
      </w:pPr>
      <w:r>
        <w:rPr>
          <w:rFonts w:ascii="Calibri" w:cs="Calibri" w:eastAsia="Calibri" w:hAnsi="Calibri"/>
          <w:color w:val="4A4A4A"/>
          <w:sz w:val="20"/>
          <w:szCs w:val="20"/>
        </w:rPr>
        <w:t xml:space="preserve">Add load shedding at the API edge — distinct from the per-student rate limiting in Phase 7: when aggregate load exceeds what the system can serve at its latency target (say, during a viral moment or an unexpected spike), reject the excess requests immediately with a clear "try again shortly" instead of letting every in-flight request slow down together. A fast, honest "no" protects the students already being served better than a slow "maybe."</w:t>
      </w:r>
    </w:p>
    <w:p>
      <w:pPr>
        <w:pStyle w:val="ListParagraph"/>
        <w:numPr>
          <w:ilvl w:val="0"/>
          <w:numId w:val="2"/>
        </w:numPr>
        <w:spacing w:after="100"/>
        <w:ind w:left="317" w:hanging="173"/>
      </w:pPr>
      <w:r>
        <w:rPr>
          <w:rFonts w:ascii="Calibri" w:cs="Calibri" w:eastAsia="Calibri" w:hAnsi="Calibri"/>
          <w:color w:val="4A4A4A"/>
          <w:sz w:val="20"/>
          <w:szCs w:val="20"/>
        </w:rPr>
        <w:t xml:space="preserve">In Kubernetes, separate liveness probes (is the process alive) from readiness probes (is it ready for traffic) — a pod mid-model-load should fail readiness and simply not receive traffic yet, not get killed and restarted in a loop right as it's about to become useful.</w:t>
      </w:r>
    </w:p>
    <w:p>
      <w:pPr>
        <w:pStyle w:val="ListParagraph"/>
        <w:numPr>
          <w:ilvl w:val="0"/>
          <w:numId w:val="2"/>
        </w:numPr>
        <w:spacing w:after="100"/>
        <w:ind w:left="317" w:hanging="173"/>
      </w:pPr>
      <w:r>
        <w:rPr>
          <w:rFonts w:ascii="Calibri" w:cs="Calibri" w:eastAsia="Calibri" w:hAnsi="Calibri"/>
          <w:color w:val="4A4A4A"/>
          <w:sz w:val="20"/>
          <w:szCs w:val="20"/>
        </w:rPr>
        <w:t xml:space="preserve">Make ingestion jobs idempotent, not just their output: content-hash dedup (Phase 2) already prevents duplicate chunks, but a job retried after a worker crash should be safe to re-run from the top, not just safe in what it writes.</w:t>
      </w:r>
    </w:p>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The goal isn't zero incidents — it's that every failure mode above degrades gracefully and shows up on a dashboard, instead of surprising 1,00,000 students at once.</w:t>
      </w:r>
    </w:p>
    <w:p>
      <w:pPr>
        <w:spacing w:after="100"/>
      </w:pPr>
      <w:r>
        <w:br w:type="page"/>
      </w:r>
    </w:p>
    <w:p>
      <w:pPr>
        <w:spacing w:after="100"/>
      </w:pPr>
      <w:r>
        <w:rPr>
          <w:rFonts w:ascii="Aptos" w:hAnsi="Aptos"/>
          <w:sz w:val="21"/>
        </w:rPr>
        <w:t>24A. Model &amp; Component Registry</w:t>
      </w:r>
    </w:p>
    <w:p>
      <w:pPr>
        <w:spacing w:after="100"/>
      </w:pPr>
      <w:r>
        <w:rPr>
          <w:rFonts w:ascii="Aptos" w:hAnsi="Aptos"/>
          <w:sz w:val="21"/>
        </w:rPr>
        <w:t>All fast-moving AI components are addressed by stable aliases such as university-chat, university-embedding, university-reranker and university-document-vlm. The registry records provider/repository, exact revision/commit, checksum, license, context/vector dimensions, quantization, hardware profile, benchmark version, approved date and deployment status. Application code depends on aliases, not model filenames.</w:t>
      </w:r>
    </w:p>
    <w:p>
      <w:pPr>
        <w:spacing w:after="100"/>
      </w:pPr>
      <w:r>
        <w:rPr>
          <w:rFonts w:ascii="Aptos" w:hAnsi="Aptos"/>
          <w:sz w:val="21"/>
        </w:rPr>
        <w:t>This registry is the controlled change point for quarterly model/parser upgrades and makes rollback, reproducibility, security review and benchmarking practical.</w:t>
      </w:r>
    </w:p>
    <w:p>
      <w:pPr>
        <w:pStyle w:val="Heading1"/>
        <w:pBdr>
          <w:bottom w:val="single" w:color="2E6DA4" w:sz="8" w:space="4"/>
        </w:pBdr>
        <w:spacing w:after="100" w:before="120"/>
      </w:pPr>
      <w:r>
        <w:rPr>
          <w:rFonts w:ascii="Calibri" w:cs="Calibri" w:eastAsia="Calibri" w:hAnsi="Calibri"/>
          <w:b/>
          <w:bCs/>
          <w:color w:val="152A47"/>
          <w:sz w:val="32"/>
          <w:szCs w:val="32"/>
        </w:rPr>
        <w:t xml:space="preserve">25. Recommended Technology Stack</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48"/>
        <w:gridCol w:w="4464"/>
        <w:gridCol w:w="2448"/>
      </w:tblGrid>
      <w:tr>
        <w:trPr>
          <w:tblHeader/>
        </w:trPr>
        <w:tc>
          <w:tcPr>
            <w:tcW w:type="dxa" w:w="2448"/>
            <w:shd w:fill="152A47" w:val="clear"/>
            <w:tcMar>
              <w:top w:type="dxa" w:w="80"/>
              <w:left w:type="dxa" w:w="100"/>
              <w:bottom w:type="dxa" w:w="80"/>
              <w:right w:type="dxa" w:w="100"/>
            </w:tcMar>
            <w:vAlign w:val="center"/>
          </w:tcPr>
          <w:p>
            <w:r>
              <w:rPr>
                <w:rFonts w:ascii="Aptos" w:hAnsi="Aptos"/>
                <w:b/>
                <w:sz w:val="18"/>
              </w:rPr>
              <w:t>Layer</w:t>
            </w:r>
          </w:p>
        </w:tc>
        <w:tc>
          <w:tcPr>
            <w:tcW w:type="dxa" w:w="4464"/>
            <w:shd w:fill="152A47" w:val="clear"/>
            <w:tcMar>
              <w:top w:type="dxa" w:w="80"/>
              <w:left w:type="dxa" w:w="100"/>
              <w:bottom w:type="dxa" w:w="80"/>
              <w:right w:type="dxa" w:w="100"/>
            </w:tcMar>
            <w:vAlign w:val="center"/>
          </w:tcPr>
          <w:p>
            <w:r>
              <w:rPr>
                <w:rFonts w:ascii="Aptos" w:hAnsi="Aptos"/>
                <w:b/>
                <w:sz w:val="18"/>
              </w:rPr>
              <w:t>September 2026 Recommended</w:t>
            </w:r>
          </w:p>
        </w:tc>
        <w:tc>
          <w:tcPr>
            <w:tcW w:type="dxa" w:w="2448"/>
            <w:shd w:fill="152A47" w:val="clear"/>
            <w:tcMar>
              <w:top w:type="dxa" w:w="80"/>
              <w:left w:type="dxa" w:w="100"/>
              <w:bottom w:type="dxa" w:w="80"/>
              <w:right w:type="dxa" w:w="100"/>
            </w:tcMar>
            <w:vAlign w:val="center"/>
          </w:tcPr>
          <w:p>
            <w:r>
              <w:rPr>
                <w:rFonts w:ascii="Aptos" w:hAnsi="Aptos"/>
                <w:b/>
                <w:sz w:val="18"/>
              </w:rPr>
              <w:t>Alternative / Notes</w:t>
            </w:r>
          </w:p>
        </w:tc>
      </w:tr>
      <w:tr>
        <w:tc>
          <w:tcPr>
            <w:tcW w:type="dxa" w:w="2448"/>
            <w:vAlign w:val="center"/>
          </w:tcPr>
          <w:p>
            <w:r>
              <w:rPr>
                <w:rFonts w:ascii="Aptos" w:hAnsi="Aptos"/>
                <w:sz w:val="18"/>
              </w:rPr>
              <w:t>API framework</w:t>
            </w:r>
          </w:p>
        </w:tc>
        <w:tc>
          <w:tcPr>
            <w:tcW w:type="dxa" w:w="4464"/>
            <w:vAlign w:val="center"/>
          </w:tcPr>
          <w:p>
            <w:r>
              <w:rPr>
                <w:rFonts w:ascii="Aptos" w:hAnsi="Aptos"/>
                <w:sz w:val="18"/>
              </w:rPr>
              <w:t>FastAPI + Pydantic v2</w:t>
            </w:r>
          </w:p>
        </w:tc>
        <w:tc>
          <w:tcPr>
            <w:tcW w:type="dxa" w:w="2448"/>
            <w:vAlign w:val="center"/>
          </w:tcPr>
          <w:p>
            <w:r>
              <w:rPr>
                <w:rFonts w:ascii="Aptos" w:hAnsi="Aptos"/>
                <w:sz w:val="18"/>
              </w:rPr>
              <w:t>Node.js / other framework after benchmark</w:t>
            </w:r>
          </w:p>
        </w:tc>
      </w:tr>
      <w:tr>
        <w:tc>
          <w:tcPr>
            <w:tcW w:type="dxa" w:w="2448"/>
            <w:vAlign w:val="center"/>
          </w:tcPr>
          <w:p>
            <w:r>
              <w:rPr>
                <w:rFonts w:ascii="Aptos" w:hAnsi="Aptos"/>
                <w:sz w:val="18"/>
              </w:rPr>
              <w:t>API compatibility</w:t>
            </w:r>
          </w:p>
        </w:tc>
        <w:tc>
          <w:tcPr>
            <w:tcW w:type="dxa" w:w="4464"/>
            <w:vAlign w:val="center"/>
          </w:tcPr>
          <w:p>
            <w:r>
              <w:rPr>
                <w:rFonts w:ascii="Aptos" w:hAnsi="Aptos"/>
                <w:sz w:val="18"/>
              </w:rPr>
              <w:t>/v1/responses + /v1/chat/completions + /api/v1/ask</w:t>
            </w:r>
          </w:p>
        </w:tc>
        <w:tc>
          <w:tcPr>
            <w:tcW w:type="dxa" w:w="2448"/>
            <w:vAlign w:val="center"/>
          </w:tcPr>
          <w:p>
            <w:r>
              <w:rPr>
                <w:rFonts w:ascii="Aptos" w:hAnsi="Aptos"/>
                <w:sz w:val="18"/>
              </w:rPr>
              <w:t>Custom internal schema only</w:t>
            </w:r>
          </w:p>
        </w:tc>
      </w:tr>
      <w:tr>
        <w:tc>
          <w:tcPr>
            <w:tcW w:type="dxa" w:w="2448"/>
            <w:vAlign w:val="center"/>
          </w:tcPr>
          <w:p>
            <w:r>
              <w:rPr>
                <w:rFonts w:ascii="Aptos" w:hAnsi="Aptos"/>
                <w:sz w:val="18"/>
              </w:rPr>
              <w:t>Folder synchronization</w:t>
            </w:r>
          </w:p>
        </w:tc>
        <w:tc>
          <w:tcPr>
            <w:tcW w:type="dxa" w:w="4464"/>
            <w:vAlign w:val="center"/>
          </w:tcPr>
          <w:p>
            <w:r>
              <w:rPr>
                <w:rFonts w:ascii="Aptos" w:hAnsi="Aptos"/>
                <w:sz w:val="18"/>
              </w:rPr>
              <w:t>watchdog events for local disk + authoritative reconciliation for SMB/NFS/NAS</w:t>
            </w:r>
          </w:p>
        </w:tc>
        <w:tc>
          <w:tcPr>
            <w:tcW w:type="dxa" w:w="2448"/>
            <w:vAlign w:val="center"/>
          </w:tcPr>
          <w:p>
            <w:r>
              <w:rPr>
                <w:rFonts w:ascii="Aptos" w:hAnsi="Aptos"/>
                <w:sz w:val="18"/>
              </w:rPr>
              <w:t>Polling-only for all sources</w:t>
            </w:r>
          </w:p>
        </w:tc>
      </w:tr>
      <w:tr>
        <w:tc>
          <w:tcPr>
            <w:tcW w:type="dxa" w:w="2448"/>
            <w:vAlign w:val="center"/>
          </w:tcPr>
          <w:p>
            <w:r>
              <w:rPr>
                <w:rFonts w:ascii="Aptos" w:hAnsi="Aptos"/>
                <w:sz w:val="18"/>
              </w:rPr>
              <w:t>Document parser router</w:t>
            </w:r>
          </w:p>
        </w:tc>
        <w:tc>
          <w:tcPr>
            <w:tcW w:type="dxa" w:w="4464"/>
            <w:vAlign w:val="center"/>
          </w:tcPr>
          <w:p>
            <w:r>
              <w:rPr>
                <w:rFonts w:ascii="Aptos" w:hAnsi="Aptos"/>
                <w:sz w:val="18"/>
              </w:rPr>
              <w:t>OpenDataLoader + Docling 2.117+ benchmarked by document class</w:t>
            </w:r>
          </w:p>
        </w:tc>
        <w:tc>
          <w:tcPr>
            <w:tcW w:type="dxa" w:w="2448"/>
            <w:vAlign w:val="center"/>
          </w:tcPr>
          <w:p>
            <w:r>
              <w:rPr>
                <w:rFonts w:ascii="Aptos" w:hAnsi="Aptos"/>
                <w:sz w:val="18"/>
              </w:rPr>
              <w:t>MinerU 3.4 / other approved parser</w:t>
            </w:r>
          </w:p>
        </w:tc>
      </w:tr>
      <w:tr>
        <w:tc>
          <w:tcPr>
            <w:tcW w:type="dxa" w:w="2448"/>
            <w:vAlign w:val="center"/>
          </w:tcPr>
          <w:p>
            <w:r>
              <w:rPr>
                <w:rFonts w:ascii="Aptos" w:hAnsi="Aptos"/>
                <w:sz w:val="18"/>
              </w:rPr>
              <w:t>OCR - printed</w:t>
            </w:r>
          </w:p>
        </w:tc>
        <w:tc>
          <w:tcPr>
            <w:tcW w:type="dxa" w:w="4464"/>
            <w:vAlign w:val="center"/>
          </w:tcPr>
          <w:p>
            <w:r>
              <w:rPr>
                <w:rFonts w:ascii="Aptos" w:hAnsi="Aptos"/>
                <w:sz w:val="18"/>
              </w:rPr>
              <w:t>PaddleOCR 3.7 / PP-OCRv6</w:t>
            </w:r>
          </w:p>
        </w:tc>
        <w:tc>
          <w:tcPr>
            <w:tcW w:type="dxa" w:w="2448"/>
            <w:vAlign w:val="center"/>
          </w:tcPr>
          <w:p>
            <w:r>
              <w:rPr>
                <w:rFonts w:ascii="Aptos" w:hAnsi="Aptos"/>
                <w:sz w:val="18"/>
              </w:rPr>
              <w:t>Tesseract for simple clean text</w:t>
            </w:r>
          </w:p>
        </w:tc>
      </w:tr>
      <w:tr>
        <w:tc>
          <w:tcPr>
            <w:tcW w:type="dxa" w:w="2448"/>
            <w:vAlign w:val="center"/>
          </w:tcPr>
          <w:p>
            <w:r>
              <w:rPr>
                <w:rFonts w:ascii="Aptos" w:hAnsi="Aptos"/>
                <w:sz w:val="18"/>
              </w:rPr>
              <w:t>OCR/VLM - difficult scans &amp; handwriting</w:t>
            </w:r>
          </w:p>
        </w:tc>
        <w:tc>
          <w:tcPr>
            <w:tcW w:type="dxa" w:w="4464"/>
            <w:vAlign w:val="center"/>
          </w:tcPr>
          <w:p>
            <w:r>
              <w:rPr>
                <w:rFonts w:ascii="Aptos" w:hAnsi="Aptos"/>
                <w:sz w:val="18"/>
              </w:rPr>
              <w:t>PaddleOCR-VL 1.6 baseline, benchmark alternatives</w:t>
            </w:r>
          </w:p>
        </w:tc>
        <w:tc>
          <w:tcPr>
            <w:tcW w:type="dxa" w:w="2448"/>
            <w:vAlign w:val="center"/>
          </w:tcPr>
          <w:p>
            <w:r>
              <w:rPr>
                <w:rFonts w:ascii="Aptos" w:hAnsi="Aptos"/>
                <w:sz w:val="18"/>
              </w:rPr>
              <w:t>Other approved local document VLM</w:t>
            </w:r>
          </w:p>
        </w:tc>
      </w:tr>
      <w:tr>
        <w:tc>
          <w:tcPr>
            <w:tcW w:type="dxa" w:w="2448"/>
            <w:vAlign w:val="center"/>
          </w:tcPr>
          <w:p>
            <w:r>
              <w:rPr>
                <w:rFonts w:ascii="Aptos" w:hAnsi="Aptos"/>
                <w:sz w:val="18"/>
              </w:rPr>
              <w:t>Embeddings</w:t>
            </w:r>
          </w:p>
        </w:tc>
        <w:tc>
          <w:tcPr>
            <w:tcW w:type="dxa" w:w="4464"/>
            <w:vAlign w:val="center"/>
          </w:tcPr>
          <w:p>
            <w:r>
              <w:rPr>
                <w:rFonts w:ascii="Aptos" w:hAnsi="Aptos"/>
                <w:sz w:val="18"/>
              </w:rPr>
              <w:t>Qwen3-Embedding-0.6B local; 4B/8B quality tiers</w:t>
            </w:r>
          </w:p>
        </w:tc>
        <w:tc>
          <w:tcPr>
            <w:tcW w:type="dxa" w:w="2448"/>
            <w:vAlign w:val="center"/>
          </w:tcPr>
          <w:p>
            <w:r>
              <w:rPr>
                <w:rFonts w:ascii="Aptos" w:hAnsi="Aptos"/>
                <w:sz w:val="18"/>
              </w:rPr>
              <w:t>Other multilingual embedding model after evaluation</w:t>
            </w:r>
          </w:p>
        </w:tc>
      </w:tr>
      <w:tr>
        <w:tc>
          <w:tcPr>
            <w:tcW w:type="dxa" w:w="2448"/>
            <w:vAlign w:val="center"/>
          </w:tcPr>
          <w:p>
            <w:r>
              <w:rPr>
                <w:rFonts w:ascii="Aptos" w:hAnsi="Aptos"/>
                <w:sz w:val="18"/>
              </w:rPr>
              <w:t>Embedding runtime</w:t>
            </w:r>
          </w:p>
        </w:tc>
        <w:tc>
          <w:tcPr>
            <w:tcW w:type="dxa" w:w="4464"/>
            <w:vAlign w:val="center"/>
          </w:tcPr>
          <w:p>
            <w:r>
              <w:rPr>
                <w:rFonts w:ascii="Aptos" w:hAnsi="Aptos"/>
                <w:sz w:val="18"/>
              </w:rPr>
              <w:t>Sentence Transformers 5.5+ / model-native runtime</w:t>
            </w:r>
          </w:p>
        </w:tc>
        <w:tc>
          <w:tcPr>
            <w:tcW w:type="dxa" w:w="2448"/>
            <w:vAlign w:val="center"/>
          </w:tcPr>
          <w:p>
            <w:r>
              <w:rPr>
                <w:rFonts w:ascii="Aptos" w:hAnsi="Aptos"/>
                <w:sz w:val="18"/>
              </w:rPr>
              <w:t>Custom service</w:t>
            </w:r>
          </w:p>
        </w:tc>
      </w:tr>
      <w:tr>
        <w:tc>
          <w:tcPr>
            <w:tcW w:type="dxa" w:w="2448"/>
            <w:vAlign w:val="center"/>
          </w:tcPr>
          <w:p>
            <w:r>
              <w:rPr>
                <w:rFonts w:ascii="Aptos" w:hAnsi="Aptos"/>
                <w:sz w:val="18"/>
              </w:rPr>
              <w:t>Vector database</w:t>
            </w:r>
          </w:p>
        </w:tc>
        <w:tc>
          <w:tcPr>
            <w:tcW w:type="dxa" w:w="4464"/>
            <w:vAlign w:val="center"/>
          </w:tcPr>
          <w:p>
            <w:r>
              <w:rPr>
                <w:rFonts w:ascii="Aptos" w:hAnsi="Aptos"/>
                <w:sz w:val="18"/>
              </w:rPr>
              <w:t>Qdrant, shared collections + mandatory ACL payload filters</w:t>
            </w:r>
          </w:p>
        </w:tc>
        <w:tc>
          <w:tcPr>
            <w:tcW w:type="dxa" w:w="2448"/>
            <w:vAlign w:val="center"/>
          </w:tcPr>
          <w:p>
            <w:r>
              <w:rPr>
                <w:rFonts w:ascii="Aptos" w:hAnsi="Aptos"/>
                <w:sz w:val="18"/>
              </w:rPr>
              <w:t>Milvus</w:t>
            </w:r>
          </w:p>
        </w:tc>
      </w:tr>
      <w:tr>
        <w:tc>
          <w:tcPr>
            <w:tcW w:type="dxa" w:w="2448"/>
            <w:vAlign w:val="center"/>
          </w:tcPr>
          <w:p>
            <w:r>
              <w:rPr>
                <w:rFonts w:ascii="Aptos" w:hAnsi="Aptos"/>
                <w:sz w:val="18"/>
              </w:rPr>
              <w:t>Relational database</w:t>
            </w:r>
          </w:p>
        </w:tc>
        <w:tc>
          <w:tcPr>
            <w:tcW w:type="dxa" w:w="4464"/>
            <w:vAlign w:val="center"/>
          </w:tcPr>
          <w:p>
            <w:r>
              <w:rPr>
                <w:rFonts w:ascii="Aptos" w:hAnsi="Aptos"/>
                <w:sz w:val="18"/>
              </w:rPr>
              <w:t>PostgreSQL + PgBouncer</w:t>
            </w:r>
          </w:p>
        </w:tc>
        <w:tc>
          <w:tcPr>
            <w:tcW w:type="dxa" w:w="2448"/>
            <w:vAlign w:val="center"/>
          </w:tcPr>
          <w:p>
            <w:r>
              <w:rPr>
                <w:rFonts w:ascii="Aptos" w:hAnsi="Aptos"/>
                <w:sz w:val="18"/>
              </w:rPr>
              <w:t>MySQL if institutionally required</w:t>
            </w:r>
          </w:p>
        </w:tc>
      </w:tr>
      <w:tr>
        <w:tc>
          <w:tcPr>
            <w:tcW w:type="dxa" w:w="2448"/>
            <w:vAlign w:val="center"/>
          </w:tcPr>
          <w:p>
            <w:r>
              <w:rPr>
                <w:rFonts w:ascii="Aptos" w:hAnsi="Aptos"/>
                <w:sz w:val="18"/>
              </w:rPr>
              <w:t>Sparse/hybrid retrieval</w:t>
            </w:r>
          </w:p>
        </w:tc>
        <w:tc>
          <w:tcPr>
            <w:tcW w:type="dxa" w:w="4464"/>
            <w:vAlign w:val="center"/>
          </w:tcPr>
          <w:p>
            <w:r>
              <w:rPr>
                <w:rFonts w:ascii="Aptos" w:hAnsi="Aptos"/>
                <w:sz w:val="18"/>
              </w:rPr>
              <w:t>Qdrant sparse/BM25 + dense + RRF/DBSF</w:t>
            </w:r>
          </w:p>
        </w:tc>
        <w:tc>
          <w:tcPr>
            <w:tcW w:type="dxa" w:w="2448"/>
            <w:vAlign w:val="center"/>
          </w:tcPr>
          <w:p>
            <w:r>
              <w:rPr>
                <w:rFonts w:ascii="Aptos" w:hAnsi="Aptos"/>
                <w:sz w:val="18"/>
              </w:rPr>
              <w:t>External search engine</w:t>
            </w:r>
          </w:p>
        </w:tc>
      </w:tr>
      <w:tr>
        <w:tc>
          <w:tcPr>
            <w:tcW w:type="dxa" w:w="2448"/>
            <w:vAlign w:val="center"/>
          </w:tcPr>
          <w:p>
            <w:r>
              <w:rPr>
                <w:rFonts w:ascii="Aptos" w:hAnsi="Aptos"/>
                <w:sz w:val="18"/>
              </w:rPr>
              <w:t>Reranker</w:t>
            </w:r>
          </w:p>
        </w:tc>
        <w:tc>
          <w:tcPr>
            <w:tcW w:type="dxa" w:w="4464"/>
            <w:vAlign w:val="center"/>
          </w:tcPr>
          <w:p>
            <w:r>
              <w:rPr>
                <w:rFonts w:ascii="Aptos" w:hAnsi="Aptos"/>
                <w:sz w:val="18"/>
              </w:rPr>
              <w:t>Qwen3-Reranker-0.6B; 4B quality tier</w:t>
            </w:r>
          </w:p>
        </w:tc>
        <w:tc>
          <w:tcPr>
            <w:tcW w:type="dxa" w:w="2448"/>
            <w:vAlign w:val="center"/>
          </w:tcPr>
          <w:p>
            <w:r>
              <w:rPr>
                <w:rFonts w:ascii="Aptos" w:hAnsi="Aptos"/>
                <w:sz w:val="18"/>
              </w:rPr>
              <w:t>Other local cross-encoder / late interaction</w:t>
            </w:r>
          </w:p>
        </w:tc>
      </w:tr>
      <w:tr>
        <w:tc>
          <w:tcPr>
            <w:tcW w:type="dxa" w:w="2448"/>
            <w:vAlign w:val="center"/>
          </w:tcPr>
          <w:p>
            <w:r>
              <w:rPr>
                <w:rFonts w:ascii="Aptos" w:hAnsi="Aptos"/>
                <w:sz w:val="18"/>
              </w:rPr>
              <w:t>Cache</w:t>
            </w:r>
          </w:p>
        </w:tc>
        <w:tc>
          <w:tcPr>
            <w:tcW w:type="dxa" w:w="4464"/>
            <w:vAlign w:val="center"/>
          </w:tcPr>
          <w:p>
            <w:r>
              <w:rPr>
                <w:rFonts w:ascii="Aptos" w:hAnsi="Aptos"/>
                <w:sz w:val="18"/>
              </w:rPr>
              <w:t>Redis with authorization/corpus/version-aware keys</w:t>
            </w:r>
          </w:p>
        </w:tc>
        <w:tc>
          <w:tcPr>
            <w:tcW w:type="dxa" w:w="2448"/>
            <w:vAlign w:val="center"/>
          </w:tcPr>
          <w:p>
            <w:r>
              <w:rPr>
                <w:rFonts w:ascii="Aptos" w:hAnsi="Aptos"/>
                <w:sz w:val="18"/>
              </w:rPr>
              <w:t>No semantic final-answer cache</w:t>
            </w:r>
          </w:p>
        </w:tc>
      </w:tr>
      <w:tr>
        <w:tc>
          <w:tcPr>
            <w:tcW w:type="dxa" w:w="2448"/>
            <w:vAlign w:val="center"/>
          </w:tcPr>
          <w:p>
            <w:r>
              <w:rPr>
                <w:rFonts w:ascii="Aptos" w:hAnsi="Aptos"/>
                <w:sz w:val="18"/>
              </w:rPr>
              <w:t>Async queue (MVP)</w:t>
            </w:r>
          </w:p>
        </w:tc>
        <w:tc>
          <w:tcPr>
            <w:tcW w:type="dxa" w:w="4464"/>
            <w:vAlign w:val="center"/>
          </w:tcPr>
          <w:p>
            <w:r>
              <w:rPr>
                <w:rFonts w:ascii="Aptos" w:hAnsi="Aptos"/>
                <w:sz w:val="18"/>
              </w:rPr>
              <w:t>Celery + RabbitMQ</w:t>
            </w:r>
          </w:p>
        </w:tc>
        <w:tc>
          <w:tcPr>
            <w:tcW w:type="dxa" w:w="2448"/>
            <w:vAlign w:val="center"/>
          </w:tcPr>
          <w:p>
            <w:r>
              <w:rPr>
                <w:rFonts w:ascii="Aptos" w:hAnsi="Aptos"/>
                <w:sz w:val="18"/>
              </w:rPr>
              <w:t>Redis broker</w:t>
            </w:r>
          </w:p>
        </w:tc>
      </w:tr>
      <w:tr>
        <w:tc>
          <w:tcPr>
            <w:tcW w:type="dxa" w:w="2448"/>
            <w:vAlign w:val="center"/>
          </w:tcPr>
          <w:p>
            <w:r>
              <w:rPr>
                <w:rFonts w:ascii="Aptos" w:hAnsi="Aptos"/>
                <w:sz w:val="18"/>
              </w:rPr>
              <w:t>Durable workflow (later)</w:t>
            </w:r>
          </w:p>
        </w:tc>
        <w:tc>
          <w:tcPr>
            <w:tcW w:type="dxa" w:w="4464"/>
            <w:vAlign w:val="center"/>
          </w:tcPr>
          <w:p>
            <w:r>
              <w:rPr>
                <w:rFonts w:ascii="Aptos" w:hAnsi="Aptos"/>
                <w:sz w:val="18"/>
              </w:rPr>
              <w:t>Temporal when human-review/long workflows justify it</w:t>
            </w:r>
          </w:p>
        </w:tc>
        <w:tc>
          <w:tcPr>
            <w:tcW w:type="dxa" w:w="2448"/>
            <w:vAlign w:val="center"/>
          </w:tcPr>
          <w:p>
            <w:r>
              <w:rPr>
                <w:rFonts w:ascii="Aptos" w:hAnsi="Aptos"/>
                <w:sz w:val="18"/>
              </w:rPr>
              <w:t>Continue Celery</w:t>
            </w:r>
          </w:p>
        </w:tc>
      </w:tr>
      <w:tr>
        <w:tc>
          <w:tcPr>
            <w:tcW w:type="dxa" w:w="2448"/>
            <w:vAlign w:val="center"/>
          </w:tcPr>
          <w:p>
            <w:r>
              <w:rPr>
                <w:rFonts w:ascii="Aptos" w:hAnsi="Aptos"/>
                <w:sz w:val="18"/>
              </w:rPr>
              <w:t>LLM serving - development</w:t>
            </w:r>
          </w:p>
        </w:tc>
        <w:tc>
          <w:tcPr>
            <w:tcW w:type="dxa" w:w="4464"/>
            <w:vAlign w:val="center"/>
          </w:tcPr>
          <w:p>
            <w:r>
              <w:rPr>
                <w:rFonts w:ascii="Aptos" w:hAnsi="Aptos"/>
                <w:sz w:val="18"/>
              </w:rPr>
              <w:t>Ollama</w:t>
            </w:r>
          </w:p>
        </w:tc>
        <w:tc>
          <w:tcPr>
            <w:tcW w:type="dxa" w:w="2448"/>
            <w:vAlign w:val="center"/>
          </w:tcPr>
          <w:p>
            <w:r>
              <w:rPr>
                <w:rFonts w:ascii="Aptos" w:hAnsi="Aptos"/>
                <w:sz w:val="18"/>
              </w:rPr>
              <w:t>llama.cpp</w:t>
            </w:r>
          </w:p>
        </w:tc>
      </w:tr>
      <w:tr>
        <w:tc>
          <w:tcPr>
            <w:tcW w:type="dxa" w:w="2448"/>
            <w:vAlign w:val="center"/>
          </w:tcPr>
          <w:p>
            <w:r>
              <w:rPr>
                <w:rFonts w:ascii="Aptos" w:hAnsi="Aptos"/>
                <w:sz w:val="18"/>
              </w:rPr>
              <w:t>LLM serving - production</w:t>
            </w:r>
          </w:p>
        </w:tc>
        <w:tc>
          <w:tcPr>
            <w:tcW w:type="dxa" w:w="4464"/>
            <w:vAlign w:val="center"/>
          </w:tcPr>
          <w:p>
            <w:r>
              <w:rPr>
                <w:rFonts w:ascii="Aptos" w:hAnsi="Aptos"/>
                <w:sz w:val="18"/>
              </w:rPr>
              <w:t>vLLM, private internal endpoint</w:t>
            </w:r>
          </w:p>
        </w:tc>
        <w:tc>
          <w:tcPr>
            <w:tcW w:type="dxa" w:w="2448"/>
            <w:vAlign w:val="center"/>
          </w:tcPr>
          <w:p>
            <w:r>
              <w:rPr>
                <w:rFonts w:ascii="Aptos" w:hAnsi="Aptos"/>
                <w:sz w:val="18"/>
              </w:rPr>
              <w:t>Other benchmarked production engine</w:t>
            </w:r>
          </w:p>
        </w:tc>
      </w:tr>
      <w:tr>
        <w:tc>
          <w:tcPr>
            <w:tcW w:type="dxa" w:w="2448"/>
            <w:vAlign w:val="center"/>
          </w:tcPr>
          <w:p>
            <w:r>
              <w:rPr>
                <w:rFonts w:ascii="Aptos" w:hAnsi="Aptos"/>
                <w:sz w:val="18"/>
              </w:rPr>
              <w:t>Inference routing</w:t>
            </w:r>
          </w:p>
        </w:tc>
        <w:tc>
          <w:tcPr>
            <w:tcW w:type="dxa" w:w="4464"/>
            <w:vAlign w:val="center"/>
          </w:tcPr>
          <w:p>
            <w:r>
              <w:rPr>
                <w:rFonts w:ascii="Aptos" w:hAnsi="Aptos"/>
                <w:sz w:val="18"/>
              </w:rPr>
              <w:t>Gateway/reverse proxy -&gt; inference-aware Gateway API/llm-d at scale</w:t>
            </w:r>
          </w:p>
        </w:tc>
        <w:tc>
          <w:tcPr>
            <w:tcW w:type="dxa" w:w="2448"/>
            <w:vAlign w:val="center"/>
          </w:tcPr>
          <w:p>
            <w:r>
              <w:rPr>
                <w:rFonts w:ascii="Aptos" w:hAnsi="Aptos"/>
                <w:sz w:val="18"/>
              </w:rPr>
              <w:t>Round-robin only for small deployments</w:t>
            </w:r>
          </w:p>
        </w:tc>
      </w:tr>
      <w:tr>
        <w:tc>
          <w:tcPr>
            <w:tcW w:type="dxa" w:w="2448"/>
            <w:vAlign w:val="center"/>
          </w:tcPr>
          <w:p>
            <w:r>
              <w:rPr>
                <w:rFonts w:ascii="Aptos" w:hAnsi="Aptos"/>
                <w:sz w:val="18"/>
              </w:rPr>
              <w:t>Orchestration</w:t>
            </w:r>
          </w:p>
        </w:tc>
        <w:tc>
          <w:tcPr>
            <w:tcW w:type="dxa" w:w="4464"/>
            <w:vAlign w:val="center"/>
          </w:tcPr>
          <w:p>
            <w:r>
              <w:rPr>
                <w:rFonts w:ascii="Aptos" w:hAnsi="Aptos"/>
                <w:sz w:val="18"/>
              </w:rPr>
              <w:t>Kubernetes</w:t>
            </w:r>
          </w:p>
        </w:tc>
        <w:tc>
          <w:tcPr>
            <w:tcW w:type="dxa" w:w="2448"/>
            <w:vAlign w:val="center"/>
          </w:tcPr>
          <w:p>
            <w:r>
              <w:rPr>
                <w:rFonts w:ascii="Aptos" w:hAnsi="Aptos"/>
                <w:sz w:val="18"/>
              </w:rPr>
              <w:t>Docker Compose for local development</w:t>
            </w:r>
          </w:p>
        </w:tc>
      </w:tr>
      <w:tr>
        <w:tc>
          <w:tcPr>
            <w:tcW w:type="dxa" w:w="2448"/>
            <w:vAlign w:val="center"/>
          </w:tcPr>
          <w:p>
            <w:r>
              <w:rPr>
                <w:rFonts w:ascii="Aptos" w:hAnsi="Aptos"/>
                <w:sz w:val="18"/>
              </w:rPr>
              <w:t>GPU autoscaling</w:t>
            </w:r>
          </w:p>
        </w:tc>
        <w:tc>
          <w:tcPr>
            <w:tcW w:type="dxa" w:w="4464"/>
            <w:vAlign w:val="center"/>
          </w:tcPr>
          <w:p>
            <w:r>
              <w:rPr>
                <w:rFonts w:ascii="Aptos" w:hAnsi="Aptos"/>
                <w:sz w:val="18"/>
              </w:rPr>
              <w:t>KEDA + node autoscaler + DCGM/vLLM metrics</w:t>
            </w:r>
          </w:p>
        </w:tc>
        <w:tc>
          <w:tcPr>
            <w:tcW w:type="dxa" w:w="2448"/>
            <w:vAlign w:val="center"/>
          </w:tcPr>
          <w:p>
            <w:r>
              <w:rPr>
                <w:rFonts w:ascii="Aptos" w:hAnsi="Aptos"/>
                <w:sz w:val="18"/>
              </w:rPr>
              <w:t>Static GPU pool</w:t>
            </w:r>
          </w:p>
        </w:tc>
      </w:tr>
      <w:tr>
        <w:tc>
          <w:tcPr>
            <w:tcW w:type="dxa" w:w="2448"/>
            <w:vAlign w:val="center"/>
          </w:tcPr>
          <w:p>
            <w:r>
              <w:rPr>
                <w:rFonts w:ascii="Aptos" w:hAnsi="Aptos"/>
                <w:sz w:val="18"/>
              </w:rPr>
              <w:t>Telemetry</w:t>
            </w:r>
          </w:p>
        </w:tc>
        <w:tc>
          <w:tcPr>
            <w:tcW w:type="dxa" w:w="4464"/>
            <w:vAlign w:val="center"/>
          </w:tcPr>
          <w:p>
            <w:r>
              <w:rPr>
                <w:rFonts w:ascii="Aptos" w:hAnsi="Aptos"/>
                <w:sz w:val="18"/>
              </w:rPr>
              <w:t>OpenTelemetry</w:t>
            </w:r>
          </w:p>
        </w:tc>
        <w:tc>
          <w:tcPr>
            <w:tcW w:type="dxa" w:w="2448"/>
            <w:vAlign w:val="center"/>
          </w:tcPr>
          <w:p>
            <w:r>
              <w:rPr>
                <w:rFonts w:ascii="Aptos" w:hAnsi="Aptos"/>
                <w:sz w:val="18"/>
              </w:rPr>
              <w:t>Vendor agent</w:t>
            </w:r>
          </w:p>
        </w:tc>
      </w:tr>
      <w:tr>
        <w:tc>
          <w:tcPr>
            <w:tcW w:type="dxa" w:w="2448"/>
            <w:vAlign w:val="center"/>
          </w:tcPr>
          <w:p>
            <w:r>
              <w:rPr>
                <w:rFonts w:ascii="Aptos" w:hAnsi="Aptos"/>
                <w:sz w:val="18"/>
              </w:rPr>
              <w:t>Metrics/dashboard</w:t>
            </w:r>
          </w:p>
        </w:tc>
        <w:tc>
          <w:tcPr>
            <w:tcW w:type="dxa" w:w="4464"/>
            <w:vAlign w:val="center"/>
          </w:tcPr>
          <w:p>
            <w:r>
              <w:rPr>
                <w:rFonts w:ascii="Aptos" w:hAnsi="Aptos"/>
                <w:sz w:val="18"/>
              </w:rPr>
              <w:t>Prometheus + Grafana + DCGM exporter</w:t>
            </w:r>
          </w:p>
        </w:tc>
        <w:tc>
          <w:tcPr>
            <w:tcW w:type="dxa" w:w="2448"/>
            <w:vAlign w:val="center"/>
          </w:tcPr>
          <w:p>
            <w:r>
              <w:rPr>
                <w:rFonts w:ascii="Aptos" w:hAnsi="Aptos"/>
                <w:sz w:val="18"/>
              </w:rPr>
              <w:t>Datadog</w:t>
            </w:r>
          </w:p>
        </w:tc>
      </w:tr>
      <w:tr>
        <w:tc>
          <w:tcPr>
            <w:tcW w:type="dxa" w:w="2448"/>
            <w:vAlign w:val="center"/>
          </w:tcPr>
          <w:p>
            <w:r>
              <w:rPr>
                <w:rFonts w:ascii="Aptos" w:hAnsi="Aptos"/>
                <w:sz w:val="18"/>
              </w:rPr>
              <w:t>Logs</w:t>
            </w:r>
          </w:p>
        </w:tc>
        <w:tc>
          <w:tcPr>
            <w:tcW w:type="dxa" w:w="4464"/>
            <w:vAlign w:val="center"/>
          </w:tcPr>
          <w:p>
            <w:r>
              <w:rPr>
                <w:rFonts w:ascii="Aptos" w:hAnsi="Aptos"/>
                <w:sz w:val="18"/>
              </w:rPr>
              <w:t>Loki</w:t>
            </w:r>
          </w:p>
        </w:tc>
        <w:tc>
          <w:tcPr>
            <w:tcW w:type="dxa" w:w="2448"/>
            <w:vAlign w:val="center"/>
          </w:tcPr>
          <w:p>
            <w:r>
              <w:rPr>
                <w:rFonts w:ascii="Aptos" w:hAnsi="Aptos"/>
                <w:sz w:val="18"/>
              </w:rPr>
              <w:t>ELK</w:t>
            </w:r>
          </w:p>
        </w:tc>
      </w:tr>
      <w:tr>
        <w:tc>
          <w:tcPr>
            <w:tcW w:type="dxa" w:w="2448"/>
            <w:vAlign w:val="center"/>
          </w:tcPr>
          <w:p>
            <w:r>
              <w:rPr>
                <w:rFonts w:ascii="Aptos" w:hAnsi="Aptos"/>
                <w:sz w:val="18"/>
              </w:rPr>
              <w:t>RAG observability/evaluation</w:t>
            </w:r>
          </w:p>
        </w:tc>
        <w:tc>
          <w:tcPr>
            <w:tcW w:type="dxa" w:w="4464"/>
            <w:vAlign w:val="center"/>
          </w:tcPr>
          <w:p>
            <w:r>
              <w:rPr>
                <w:rFonts w:ascii="Aptos" w:hAnsi="Aptos"/>
                <w:sz w:val="18"/>
              </w:rPr>
              <w:t>Phoenix self-hosted + Ragas/custom metrics</w:t>
            </w:r>
          </w:p>
        </w:tc>
        <w:tc>
          <w:tcPr>
            <w:tcW w:type="dxa" w:w="2448"/>
            <w:vAlign w:val="center"/>
          </w:tcPr>
          <w:p>
            <w:r>
              <w:rPr>
                <w:rFonts w:ascii="Aptos" w:hAnsi="Aptos"/>
                <w:sz w:val="18"/>
              </w:rPr>
              <w:t>Langfuse as alternative</w:t>
            </w:r>
          </w:p>
        </w:tc>
      </w:tr>
      <w:tr>
        <w:tc>
          <w:tcPr>
            <w:tcW w:type="dxa" w:w="2448"/>
            <w:vAlign w:val="center"/>
          </w:tcPr>
          <w:p>
            <w:r>
              <w:rPr>
                <w:rFonts w:ascii="Aptos" w:hAnsi="Aptos"/>
                <w:sz w:val="18"/>
              </w:rPr>
              <w:t>Auth</w:t>
            </w:r>
          </w:p>
        </w:tc>
        <w:tc>
          <w:tcPr>
            <w:tcW w:type="dxa" w:w="4464"/>
            <w:vAlign w:val="center"/>
          </w:tcPr>
          <w:p>
            <w:r>
              <w:rPr>
                <w:rFonts w:ascii="Aptos" w:hAnsi="Aptos"/>
                <w:sz w:val="18"/>
              </w:rPr>
              <w:t>OIDC/OAuth2 SSO; SAML where required</w:t>
            </w:r>
          </w:p>
        </w:tc>
        <w:tc>
          <w:tcPr>
            <w:tcW w:type="dxa" w:w="2448"/>
            <w:vAlign w:val="center"/>
          </w:tcPr>
          <w:p>
            <w:r>
              <w:rPr>
                <w:rFonts w:ascii="Aptos" w:hAnsi="Aptos"/>
                <w:sz w:val="18"/>
              </w:rPr>
              <w:t>Direct LDAP only if unavoidable</w:t>
            </w:r>
          </w:p>
        </w:tc>
      </w:tr>
      <w:tr>
        <w:tc>
          <w:tcPr>
            <w:tcW w:type="dxa" w:w="2448"/>
            <w:vAlign w:val="center"/>
          </w:tcPr>
          <w:p>
            <w:r>
              <w:rPr>
                <w:rFonts w:ascii="Aptos" w:hAnsi="Aptos"/>
                <w:sz w:val="18"/>
              </w:rPr>
              <w:t>Secrets</w:t>
            </w:r>
          </w:p>
        </w:tc>
        <w:tc>
          <w:tcPr>
            <w:tcW w:type="dxa" w:w="4464"/>
            <w:vAlign w:val="center"/>
          </w:tcPr>
          <w:p>
            <w:r>
              <w:rPr>
                <w:rFonts w:ascii="Aptos" w:hAnsi="Aptos"/>
                <w:sz w:val="18"/>
              </w:rPr>
              <w:t>HashiCorp Vault / enterprise equivalent</w:t>
            </w:r>
          </w:p>
        </w:tc>
        <w:tc>
          <w:tcPr>
            <w:tcW w:type="dxa" w:w="2448"/>
            <w:vAlign w:val="center"/>
          </w:tcPr>
          <w:p>
            <w:r>
              <w:rPr>
                <w:rFonts w:ascii="Aptos" w:hAnsi="Aptos"/>
                <w:sz w:val="18"/>
              </w:rPr>
              <w:t>Sealed Secrets for simpler deployments</w:t>
            </w:r>
          </w:p>
        </w:tc>
      </w:tr>
      <w:tr>
        <w:tc>
          <w:tcPr>
            <w:tcW w:type="dxa" w:w="2448"/>
            <w:vAlign w:val="center"/>
          </w:tcPr>
          <w:p>
            <w:r>
              <w:rPr>
                <w:rFonts w:ascii="Aptos" w:hAnsi="Aptos"/>
                <w:sz w:val="18"/>
              </w:rPr>
              <w:t>Object storage</w:t>
            </w:r>
          </w:p>
        </w:tc>
        <w:tc>
          <w:tcPr>
            <w:tcW w:type="dxa" w:w="4464"/>
            <w:vAlign w:val="center"/>
          </w:tcPr>
          <w:p>
            <w:r>
              <w:rPr>
                <w:rFonts w:ascii="Aptos" w:hAnsi="Aptos"/>
                <w:sz w:val="18"/>
              </w:rPr>
              <w:t>S3-compatible on-prem object storage</w:t>
            </w:r>
          </w:p>
        </w:tc>
        <w:tc>
          <w:tcPr>
            <w:tcW w:type="dxa" w:w="2448"/>
            <w:vAlign w:val="center"/>
          </w:tcPr>
          <w:p>
            <w:r>
              <w:rPr>
                <w:rFonts w:ascii="Aptos" w:hAnsi="Aptos"/>
                <w:sz w:val="18"/>
              </w:rPr>
              <w:t>Enterprise NAS with equivalent controls</w:t>
            </w:r>
          </w:p>
        </w:tc>
      </w:tr>
      <w:tr>
        <w:tc>
          <w:tcPr>
            <w:tcW w:type="dxa" w:w="2448"/>
            <w:vAlign w:val="center"/>
          </w:tcPr>
          <w:p>
            <w:r>
              <w:rPr>
                <w:rFonts w:ascii="Aptos" w:hAnsi="Aptos"/>
                <w:sz w:val="18"/>
              </w:rPr>
              <w:t>Admin UI</w:t>
            </w:r>
          </w:p>
        </w:tc>
        <w:tc>
          <w:tcPr>
            <w:tcW w:type="dxa" w:w="4464"/>
            <w:vAlign w:val="center"/>
          </w:tcPr>
          <w:p>
            <w:r>
              <w:rPr>
                <w:rFonts w:ascii="Aptos" w:hAnsi="Aptos"/>
                <w:sz w:val="18"/>
              </w:rPr>
              <w:t>React + Tailwind</w:t>
            </w:r>
          </w:p>
        </w:tc>
        <w:tc>
          <w:tcPr>
            <w:tcW w:type="dxa" w:w="2448"/>
            <w:vAlign w:val="center"/>
          </w:tcPr>
          <w:p>
            <w:r>
              <w:rPr>
                <w:rFonts w:ascii="Aptos" w:hAnsi="Aptos"/>
                <w:sz w:val="18"/>
              </w:rPr>
              <w:t>Vue</w:t>
            </w:r>
          </w:p>
        </w:tc>
      </w:tr>
      <w:tr>
        <w:tc>
          <w:tcPr>
            <w:tcW w:type="dxa" w:w="2448"/>
            <w:vAlign w:val="center"/>
          </w:tcPr>
          <w:p>
            <w:r>
              <w:rPr>
                <w:rFonts w:ascii="Aptos" w:hAnsi="Aptos"/>
                <w:sz w:val="18"/>
              </w:rPr>
              <w:t>CI/CD</w:t>
            </w:r>
          </w:p>
        </w:tc>
        <w:tc>
          <w:tcPr>
            <w:tcW w:type="dxa" w:w="4464"/>
            <w:vAlign w:val="center"/>
          </w:tcPr>
          <w:p>
            <w:r>
              <w:rPr>
                <w:rFonts w:ascii="Aptos" w:hAnsi="Aptos"/>
                <w:sz w:val="18"/>
              </w:rPr>
              <w:t>GitLab/Gitea/GitHub/Jenkins according to university strategy</w:t>
            </w:r>
          </w:p>
        </w:tc>
        <w:tc>
          <w:tcPr>
            <w:tcW w:type="dxa" w:w="2448"/>
            <w:vAlign w:val="center"/>
          </w:tcPr>
          <w:p>
            <w:r>
              <w:rPr>
                <w:rFonts w:ascii="Aptos" w:hAnsi="Aptos"/>
                <w:sz w:val="18"/>
              </w:rPr>
              <w:t>Manual deployment not recommended</w:t>
            </w:r>
          </w:p>
        </w:tc>
      </w:tr>
      <w:tr>
        <w:tc>
          <w:tcPr>
            <w:tcW w:type="dxa" w:w="2448"/>
            <w:vAlign w:val="center"/>
          </w:tcPr>
          <w:p>
            <w:r>
              <w:rPr>
                <w:rFonts w:ascii="Aptos" w:hAnsi="Aptos"/>
                <w:sz w:val="18"/>
              </w:rPr>
              <w:t>Supply chain</w:t>
            </w:r>
          </w:p>
        </w:tc>
        <w:tc>
          <w:tcPr>
            <w:tcW w:type="dxa" w:w="4464"/>
            <w:vAlign w:val="center"/>
          </w:tcPr>
          <w:p>
            <w:r>
              <w:rPr>
                <w:rFonts w:ascii="Aptos" w:hAnsi="Aptos"/>
                <w:sz w:val="18"/>
              </w:rPr>
              <w:t>SBOM + vulnerability scanning + signed/pinned artifacts/models</w:t>
            </w:r>
          </w:p>
        </w:tc>
        <w:tc>
          <w:tcPr>
            <w:tcW w:type="dxa" w:w="2448"/>
            <w:vAlign w:val="center"/>
          </w:tcPr>
          <w:p>
            <w:r>
              <w:rPr>
                <w:rFonts w:ascii="Aptos" w:hAnsi="Aptos"/>
                <w:sz w:val="18"/>
              </w:rPr>
              <w:t>Manual tracking not recommended</w:t>
            </w:r>
          </w:p>
        </w:tc>
      </w:tr>
    </w:tbl>
    <w:p>
      <w:pPr>
        <w:spacing w:after="100"/>
      </w:pPr>
    </w:p>
    <w:p>
      <w:pPr>
        <w:pStyle w:val="Heading1"/>
        <w:pBdr>
          <w:bottom w:val="single" w:color="2E6DA4" w:sz="8" w:space="4"/>
        </w:pBdr>
        <w:spacing w:after="100" w:before="120"/>
      </w:pPr>
      <w:r>
        <w:rPr>
          <w:rFonts w:ascii="Calibri" w:cs="Calibri" w:eastAsia="Calibri" w:hAnsi="Calibri"/>
          <w:b/>
          <w:bCs/>
          <w:color w:val="152A47"/>
          <w:sz w:val="32"/>
          <w:szCs w:val="32"/>
        </w:rPr>
        <w:t xml:space="preserve">26. Proposed Project Folder Structure</w:t>
      </w:r>
    </w:p>
    <w:p>
      <w:pPr>
        <w:spacing w:after="100"/>
      </w:pPr>
      <w:r>
        <w:rPr>
          <w:rFonts w:ascii="Calibri" w:cs="Calibri" w:eastAsia="Calibri" w:hAnsi="Calibri"/>
          <w:color w:val="4A4A4A"/>
          <w:sz w:val="20"/>
          <w:szCs w:val="20"/>
        </w:rPr>
        <w:t xml:space="preserve">A layout that keeps the API, workers, ingestion, and UI cleanly separated so each can be built, tested, and scaled independently.</w:t>
      </w:r>
    </w:p>
    <w:tbl>
      <w:tblPr>
        <w:tblW w:type="dxa" w:w="9460"/>
        <w:jc w:val="center"/>
        <w:tblBorders>
          <w:top w:val="single" w:color="auto" w:sz="4"/>
          <w:left w:val="single" w:color="auto" w:sz="4"/>
          <w:bottom w:val="single" w:color="auto" w:sz="4"/>
          <w:right w:val="single" w:color="auto" w:sz="4"/>
          <w:insideH w:val="single" w:color="auto" w:sz="4"/>
          <w:insideV w:val="single" w:color="auto" w:sz="4"/>
        </w:tblBorders>
      </w:tblPr>
      <w:tblGrid>
        <w:gridCol w:w="9460"/>
      </w:tblGrid>
      <w:tr>
        <w:tc>
          <w:tcPr>
            <w:tcW w:type="dxa" w:w="9460"/>
            <w:shd w:fill="F3F3F3" w:val="clear"/>
            <w:tcMar>
              <w:top w:type="dxa" w:w="120"/>
              <w:left w:type="dxa" w:w="100"/>
              <w:bottom w:type="dxa" w:w="120"/>
              <w:right w:type="dxa" w:w="60"/>
            </w:tcMar>
            <w:vAlign w:val="center"/>
          </w:tcPr>
          <w:p>
            <w:pPr>
              <w:spacing w:after="0"/>
            </w:pPr>
            <w:r>
              <w:rPr>
                <w:rFonts w:ascii="Aptos" w:cs="Consolas" w:eastAsia="Consolas" w:hAnsi="Aptos"/>
                <w:b/>
                <w:color w:val="152A47"/>
                <w:sz w:val="18"/>
                <w:szCs w:val="16"/>
              </w:rPr>
              <w:t xml:space="preserve">university_rag_system/</w:t>
            </w:r>
          </w:p>
          <w:p>
            <w:pPr>
              <w:spacing w:after="0"/>
            </w:pPr>
            <w:r>
              <w:rPr>
                <w:rFonts w:ascii="Aptos" w:cs="Consolas" w:eastAsia="Consolas" w:hAnsi="Aptos"/>
                <w:b/>
                <w:color w:val="152A47"/>
                <w:sz w:val="18"/>
                <w:szCs w:val="16"/>
              </w:rPr>
              <w:t xml:space="preserve">|-- api/                       # Core FastAPI service (Phase 6)</w:t>
            </w:r>
          </w:p>
          <w:p>
            <w:pPr>
              <w:spacing w:after="0"/>
            </w:pPr>
            <w:r>
              <w:rPr>
                <w:rFonts w:ascii="Aptos" w:cs="Consolas" w:eastAsia="Consolas" w:hAnsi="Aptos"/>
                <w:b/>
                <w:color w:val="152A47"/>
                <w:sz w:val="18"/>
                <w:szCs w:val="16"/>
              </w:rPr>
              <w:t xml:space="preserve">|   |-- main.py</w:t>
            </w:r>
          </w:p>
          <w:p>
            <w:pPr>
              <w:spacing w:after="0"/>
            </w:pPr>
            <w:r>
              <w:rPr>
                <w:rFonts w:ascii="Aptos" w:cs="Consolas" w:eastAsia="Consolas" w:hAnsi="Aptos"/>
                <w:b/>
                <w:color w:val="152A47"/>
                <w:sz w:val="18"/>
                <w:szCs w:val="16"/>
              </w:rPr>
              <w:t xml:space="preserve">|   |-- routers/               # chat.py, ask.py, documents.py, auth.py, health.py</w:t>
            </w:r>
          </w:p>
          <w:p>
            <w:pPr>
              <w:spacing w:after="0"/>
            </w:pPr>
            <w:r>
              <w:rPr>
                <w:rFonts w:ascii="Aptos" w:cs="Consolas" w:eastAsia="Consolas" w:hAnsi="Aptos"/>
                <w:b/>
                <w:color w:val="152A47"/>
                <w:sz w:val="18"/>
                <w:szCs w:val="16"/>
              </w:rPr>
              <w:t xml:space="preserve">|   |-- core/</w:t>
            </w:r>
          </w:p>
          <w:p>
            <w:pPr>
              <w:spacing w:after="0"/>
            </w:pPr>
            <w:r>
              <w:rPr>
                <w:rFonts w:ascii="Aptos" w:cs="Consolas" w:eastAsia="Consolas" w:hAnsi="Aptos"/>
                <w:b/>
                <w:color w:val="152A47"/>
                <w:sz w:val="18"/>
                <w:szCs w:val="16"/>
              </w:rPr>
              <w:t xml:space="preserve">|   |   |-- llm_router.py      # local-first router; hosted fallback opt-in (Phase 5)</w:t>
            </w:r>
          </w:p>
          <w:p>
            <w:pPr>
              <w:spacing w:after="0"/>
            </w:pPr>
            <w:r>
              <w:rPr>
                <w:rFonts w:ascii="Aptos" w:cs="Consolas" w:eastAsia="Consolas" w:hAnsi="Aptos"/>
                <w:b/>
                <w:color w:val="152A47"/>
                <w:sz w:val="18"/>
                <w:szCs w:val="16"/>
              </w:rPr>
              <w:t xml:space="preserve">|   |   |-- config.py</w:t>
            </w:r>
          </w:p>
          <w:p>
            <w:pPr>
              <w:spacing w:after="0"/>
            </w:pPr>
            <w:r>
              <w:rPr>
                <w:rFonts w:ascii="Aptos" w:cs="Consolas" w:eastAsia="Consolas" w:hAnsi="Aptos"/>
                <w:b/>
                <w:color w:val="152A47"/>
                <w:sz w:val="18"/>
                <w:szCs w:val="16"/>
              </w:rPr>
              <w:t xml:space="preserve">|   |-- rag/</w:t>
            </w:r>
          </w:p>
          <w:p>
            <w:pPr>
              <w:spacing w:after="0"/>
            </w:pPr>
            <w:r>
              <w:rPr>
                <w:rFonts w:ascii="Aptos" w:cs="Consolas" w:eastAsia="Consolas" w:hAnsi="Aptos"/>
                <w:b/>
                <w:color w:val="152A47"/>
                <w:sz w:val="18"/>
                <w:szCs w:val="16"/>
              </w:rPr>
              <w:t xml:space="preserve">|   |   |-- retriever.py       # hybrid BM25 + ANN + RRF (Phase 4)</w:t>
            </w:r>
          </w:p>
          <w:p>
            <w:pPr>
              <w:spacing w:after="0"/>
            </w:pPr>
            <w:r>
              <w:rPr>
                <w:rFonts w:ascii="Aptos" w:cs="Consolas" w:eastAsia="Consolas" w:hAnsi="Aptos"/>
                <w:b/>
                <w:color w:val="152A47"/>
                <w:sz w:val="18"/>
                <w:szCs w:val="16"/>
              </w:rPr>
              <w:t xml:space="preserve">|   |   |-- reranker.py</w:t>
            </w:r>
          </w:p>
          <w:p>
            <w:pPr>
              <w:spacing w:after="0"/>
            </w:pPr>
            <w:r>
              <w:rPr>
                <w:rFonts w:ascii="Aptos" w:cs="Consolas" w:eastAsia="Consolas" w:hAnsi="Aptos"/>
                <w:b/>
                <w:color w:val="152A47"/>
                <w:sz w:val="18"/>
                <w:szCs w:val="16"/>
              </w:rPr>
              <w:t xml:space="preserve">|   |   |-- embedder.py        # (Phase 3)</w:t>
            </w:r>
          </w:p>
          <w:p>
            <w:pPr>
              <w:spacing w:after="0"/>
            </w:pPr>
            <w:r>
              <w:rPr>
                <w:rFonts w:ascii="Aptos" w:cs="Consolas" w:eastAsia="Consolas" w:hAnsi="Aptos"/>
                <w:b/>
                <w:color w:val="152A47"/>
                <w:sz w:val="18"/>
                <w:szCs w:val="16"/>
              </w:rPr>
              <w:t xml:space="preserve">|-- ingestion/                 # Format detection, OCR, chunking (Phase 1-2)</w:t>
            </w:r>
          </w:p>
          <w:p>
            <w:pPr>
              <w:spacing w:after="0"/>
            </w:pPr>
            <w:r>
              <w:rPr>
                <w:rFonts w:ascii="Aptos" w:cs="Consolas" w:eastAsia="Consolas" w:hAnsi="Aptos"/>
                <w:b/>
                <w:color w:val="152A47"/>
                <w:sz w:val="18"/>
                <w:szCs w:val="16"/>
              </w:rPr>
              <w:t xml:space="preserve">|   |-- folder_watcher.py     # watches registered folders; detects new/changed/deleted files</w:t>
            </w:r>
          </w:p>
          <w:p>
            <w:pPr>
              <w:spacing w:after="0"/>
            </w:pPr>
            <w:r>
              <w:rPr>
                <w:rFonts w:ascii="Aptos" w:cs="Consolas" w:eastAsia="Consolas" w:hAnsi="Aptos"/>
                <w:b/>
                <w:color w:val="152A47"/>
                <w:sz w:val="18"/>
                <w:szCs w:val="16"/>
              </w:rPr>
              <w:t xml:space="preserve">|   |-- manifest.py           # tracks processed files (path, hash, mtime, status) in Postgres</w:t>
            </w:r>
          </w:p>
          <w:p>
            <w:pPr>
              <w:spacing w:after="0"/>
            </w:pPr>
            <w:r>
              <w:rPr>
                <w:rFonts w:ascii="Aptos" w:cs="Consolas" w:eastAsia="Consolas" w:hAnsi="Aptos"/>
                <w:b/>
                <w:color w:val="152A47"/>
                <w:sz w:val="18"/>
                <w:szCs w:val="16"/>
              </w:rPr>
              <w:t xml:space="preserve">|   |-- path_tagger.py        # infers dept/semester/course tags from folder path</w:t>
            </w:r>
          </w:p>
          <w:p>
            <w:pPr>
              <w:spacing w:after="0"/>
            </w:pPr>
            <w:r>
              <w:rPr>
                <w:rFonts w:ascii="Aptos" w:cs="Consolas" w:eastAsia="Consolas" w:hAnsi="Aptos"/>
                <w:b/>
                <w:color w:val="152A47"/>
                <w:sz w:val="18"/>
                <w:szCs w:val="16"/>
              </w:rPr>
              <w:t xml:space="preserve">|   |-- format_detector.py</w:t>
            </w:r>
          </w:p>
          <w:p>
            <w:pPr>
              <w:spacing w:after="0"/>
            </w:pPr>
            <w:r>
              <w:rPr>
                <w:rFonts w:ascii="Aptos" w:cs="Consolas" w:eastAsia="Consolas" w:hAnsi="Aptos"/>
                <w:b/>
                <w:color w:val="152A47"/>
                <w:sz w:val="18"/>
                <w:szCs w:val="16"/>
              </w:rPr>
              <w:t xml:space="preserve">|   |-- ocr_handwritten.py    # local VLM document OCR (Qwen-VL-based / olmOCR / PaddleOCR-VL)</w:t>
            </w:r>
          </w:p>
          <w:p>
            <w:pPr>
              <w:spacing w:after="0"/>
            </w:pPr>
            <w:r>
              <w:rPr>
                <w:rFonts w:ascii="Aptos" w:cs="Consolas" w:eastAsia="Consolas" w:hAnsi="Aptos"/>
                <w:b/>
                <w:color w:val="152A47"/>
                <w:sz w:val="18"/>
                <w:szCs w:val="16"/>
              </w:rPr>
              <w:t xml:space="preserve">|   |-- ocr_printed.py</w:t>
            </w:r>
          </w:p>
          <w:p>
            <w:pPr>
              <w:spacing w:after="0"/>
            </w:pPr>
            <w:r>
              <w:rPr>
                <w:rFonts w:ascii="Aptos" w:cs="Consolas" w:eastAsia="Consolas" w:hAnsi="Aptos"/>
                <w:b/>
                <w:color w:val="152A47"/>
                <w:sz w:val="18"/>
                <w:szCs w:val="16"/>
              </w:rPr>
              <w:t xml:space="preserve">|   |-- chunker.py</w:t>
            </w:r>
          </w:p>
          <w:p>
            <w:pPr>
              <w:spacing w:after="0"/>
            </w:pPr>
            <w:r>
              <w:rPr>
                <w:rFonts w:ascii="Aptos" w:cs="Consolas" w:eastAsia="Consolas" w:hAnsi="Aptos"/>
                <w:b/>
                <w:color w:val="152A47"/>
                <w:sz w:val="18"/>
                <w:szCs w:val="16"/>
              </w:rPr>
              <w:t xml:space="preserve">|   |-- dedup.py</w:t>
            </w:r>
          </w:p>
          <w:p>
            <w:pPr>
              <w:spacing w:after="0"/>
            </w:pPr>
            <w:r>
              <w:rPr>
                <w:rFonts w:ascii="Aptos" w:cs="Consolas" w:eastAsia="Consolas" w:hAnsi="Aptos"/>
                <w:b/>
                <w:color w:val="152A47"/>
                <w:sz w:val="18"/>
                <w:szCs w:val="16"/>
              </w:rPr>
              <w:t xml:space="preserve">|-- workers/                   # Celery tasks (Phase 8)</w:t>
            </w:r>
          </w:p>
          <w:p>
            <w:pPr>
              <w:spacing w:after="0"/>
            </w:pPr>
            <w:r>
              <w:rPr>
                <w:rFonts w:ascii="Aptos" w:cs="Consolas" w:eastAsia="Consolas" w:hAnsi="Aptos"/>
                <w:b/>
                <w:color w:val="152A47"/>
                <w:sz w:val="18"/>
                <w:szCs w:val="16"/>
              </w:rPr>
              <w:t xml:space="preserve">|   |-- ocr_tasks.py</w:t>
            </w:r>
          </w:p>
          <w:p>
            <w:pPr>
              <w:spacing w:after="0"/>
            </w:pPr>
            <w:r>
              <w:rPr>
                <w:rFonts w:ascii="Aptos" w:cs="Consolas" w:eastAsia="Consolas" w:hAnsi="Aptos"/>
                <w:b/>
                <w:color w:val="152A47"/>
                <w:sz w:val="18"/>
                <w:szCs w:val="16"/>
              </w:rPr>
              <w:t xml:space="preserve">|   |-- embed_tasks.py</w:t>
            </w:r>
          </w:p>
          <w:p>
            <w:pPr>
              <w:spacing w:after="0"/>
            </w:pPr>
            <w:r>
              <w:rPr>
                <w:rFonts w:ascii="Aptos" w:cs="Consolas" w:eastAsia="Consolas" w:hAnsi="Aptos"/>
                <w:b/>
                <w:color w:val="152A47"/>
                <w:sz w:val="18"/>
                <w:szCs w:val="16"/>
              </w:rPr>
              <w:t xml:space="preserve">|   |-- index_tasks.py</w:t>
            </w:r>
          </w:p>
          <w:p>
            <w:pPr>
              <w:spacing w:after="0"/>
            </w:pPr>
            <w:r>
              <w:rPr>
                <w:rFonts w:ascii="Aptos" w:cs="Consolas" w:eastAsia="Consolas" w:hAnsi="Aptos"/>
                <w:b/>
                <w:color w:val="152A47"/>
                <w:sz w:val="18"/>
                <w:szCs w:val="16"/>
              </w:rPr>
              <w:t xml:space="preserve">|-- admin-ui/                  # React admin dashboard incl. folder picker (Phase 10)</w:t>
            </w:r>
          </w:p>
          <w:p>
            <w:pPr>
              <w:spacing w:after="0"/>
            </w:pPr>
            <w:r>
              <w:rPr>
                <w:rFonts w:ascii="Aptos" w:cs="Consolas" w:eastAsia="Consolas" w:hAnsi="Aptos"/>
                <w:b/>
                <w:color w:val="152A47"/>
                <w:sz w:val="18"/>
                <w:szCs w:val="16"/>
              </w:rPr>
              <w:t xml:space="preserve">|-- student-widget/            # Embeddable chat widget for the portal (Phase 10)</w:t>
            </w:r>
          </w:p>
          <w:p>
            <w:pPr>
              <w:spacing w:after="0"/>
            </w:pPr>
            <w:r>
              <w:rPr>
                <w:rFonts w:ascii="Aptos" w:cs="Consolas" w:eastAsia="Consolas" w:hAnsi="Aptos"/>
                <w:b/>
                <w:color w:val="152A47"/>
                <w:sz w:val="18"/>
                <w:szCs w:val="16"/>
              </w:rPr>
              <w:t xml:space="preserve">|-- infra/</w:t>
            </w:r>
          </w:p>
          <w:p>
            <w:pPr>
              <w:spacing w:after="0"/>
            </w:pPr>
            <w:r>
              <w:rPr>
                <w:rFonts w:ascii="Aptos" w:cs="Consolas" w:eastAsia="Consolas" w:hAnsi="Aptos"/>
                <w:b/>
                <w:color w:val="152A47"/>
                <w:sz w:val="18"/>
                <w:szCs w:val="16"/>
              </w:rPr>
              <w:t xml:space="preserve">|   |-- docker-compose.yml     # local dev</w:t>
            </w:r>
          </w:p>
          <w:p>
            <w:pPr>
              <w:spacing w:after="0"/>
            </w:pPr>
            <w:r>
              <w:rPr>
                <w:rFonts w:ascii="Aptos" w:cs="Consolas" w:eastAsia="Consolas" w:hAnsi="Aptos"/>
                <w:b/>
                <w:color w:val="152A47"/>
                <w:sz w:val="18"/>
                <w:szCs w:val="16"/>
              </w:rPr>
              <w:t xml:space="preserve">|   |-- k8s/                   # Kubernetes manifests / Helm charts (Phase 9, 15)</w:t>
            </w:r>
          </w:p>
          <w:p>
            <w:pPr>
              <w:spacing w:after="0"/>
            </w:pPr>
            <w:r>
              <w:rPr>
                <w:rFonts w:ascii="Aptos" w:cs="Consolas" w:eastAsia="Consolas" w:hAnsi="Aptos"/>
                <w:b/>
                <w:color w:val="152A47"/>
                <w:sz w:val="18"/>
                <w:szCs w:val="16"/>
              </w:rPr>
              <w:t xml:space="preserve">|   |-- nginx.conf             # load balancer config (Phase 9)</w:t>
            </w:r>
          </w:p>
          <w:p>
            <w:pPr>
              <w:spacing w:after="0"/>
            </w:pPr>
            <w:r>
              <w:rPr>
                <w:rFonts w:ascii="Aptos" w:cs="Consolas" w:eastAsia="Consolas" w:hAnsi="Aptos"/>
                <w:b/>
                <w:color w:val="152A47"/>
                <w:sz w:val="18"/>
                <w:szCs w:val="16"/>
              </w:rPr>
              <w:t xml:space="preserve">|-- monitoring/</w:t>
            </w:r>
          </w:p>
          <w:p>
            <w:pPr>
              <w:spacing w:after="0"/>
            </w:pPr>
            <w:r>
              <w:rPr>
                <w:rFonts w:ascii="Aptos" w:cs="Consolas" w:eastAsia="Consolas" w:hAnsi="Aptos"/>
                <w:b/>
                <w:color w:val="152A47"/>
                <w:sz w:val="18"/>
                <w:szCs w:val="16"/>
              </w:rPr>
              <w:t xml:space="preserve">|   |-- prometheus.yml</w:t>
            </w:r>
          </w:p>
          <w:p>
            <w:pPr>
              <w:spacing w:after="0"/>
            </w:pPr>
            <w:r>
              <w:rPr>
                <w:rFonts w:ascii="Aptos" w:cs="Consolas" w:eastAsia="Consolas" w:hAnsi="Aptos"/>
                <w:b/>
                <w:color w:val="152A47"/>
                <w:sz w:val="18"/>
                <w:szCs w:val="16"/>
              </w:rPr>
              <w:t xml:space="preserve">|   |-- grafana-dashboards/</w:t>
            </w:r>
          </w:p>
          <w:p>
            <w:pPr>
              <w:spacing w:after="0"/>
            </w:pPr>
            <w:r>
              <w:rPr>
                <w:rFonts w:ascii="Aptos" w:cs="Consolas" w:eastAsia="Consolas" w:hAnsi="Aptos"/>
                <w:b/>
                <w:color w:val="152A47"/>
                <w:sz w:val="18"/>
                <w:szCs w:val="16"/>
              </w:rPr>
              <w:t xml:space="preserve">|-- scripts/                   # setup, migrations, eval runners</w:t>
            </w:r>
          </w:p>
          <w:p>
            <w:pPr>
              <w:spacing w:after="0"/>
            </w:pPr>
            <w:r>
              <w:rPr>
                <w:rFonts w:ascii="Aptos" w:cs="Consolas" w:eastAsia="Consolas" w:hAnsi="Aptos"/>
                <w:b/>
                <w:color w:val="152A47"/>
                <w:sz w:val="18"/>
                <w:szCs w:val="16"/>
              </w:rPr>
              <w:t xml:space="preserve">|-- docs/</w:t>
            </w:r>
          </w:p>
          <w:p>
            <w:pPr>
              <w:spacing w:after="0"/>
            </w:pPr>
            <w:r>
              <w:rPr>
                <w:rFonts w:ascii="Aptos" w:cs="Consolas" w:eastAsia="Consolas" w:hAnsi="Aptos"/>
                <w:b/>
                <w:color w:val="152A47"/>
                <w:sz w:val="18"/>
                <w:szCs w:val="16"/>
              </w:rPr>
              <w:t xml:space="preserve">|   |-- README.md</w:t>
            </w:r>
          </w:p>
          <w:p>
            <w:pPr>
              <w:spacing w:after="0"/>
            </w:pPr>
            <w:r>
              <w:rPr>
                <w:rFonts w:ascii="Aptos" w:cs="Consolas" w:eastAsia="Consolas" w:hAnsi="Aptos"/>
                <w:b/>
                <w:color w:val="152A47"/>
                <w:sz w:val="18"/>
                <w:szCs w:val="16"/>
              </w:rPr>
              <w:t xml:space="preserve">|   |-- API.md</w:t>
            </w:r>
          </w:p>
          <w:p>
            <w:pPr>
              <w:spacing w:after="0"/>
            </w:pPr>
            <w:r>
              <w:rPr>
                <w:rFonts w:ascii="Aptos" w:cs="Consolas" w:eastAsia="Consolas" w:hAnsi="Aptos"/>
                <w:b/>
                <w:color w:val="152A47"/>
                <w:sz w:val="18"/>
                <w:szCs w:val="16"/>
              </w:rPr>
              <w:t xml:space="preserve">|-- requirements.txt / pyproject.toml</w:t>
            </w:r>
          </w:p>
        </w:tc>
      </w:tr>
    </w:tbl>
    <w:p>
      <w:pPr>
        <w:spacing w:after="100"/>
      </w:pPr>
    </w:p>
    <w:p>
      <w:pPr>
        <w:spacing w:after="100"/>
      </w:pPr>
      <w:r>
        <w:br w:type="page"/>
      </w:r>
    </w:p>
    <w:p>
      <w:pPr>
        <w:pStyle w:val="Heading1"/>
        <w:pBdr>
          <w:bottom w:val="single" w:color="2E6DA4" w:sz="8" w:space="4"/>
        </w:pBdr>
        <w:spacing w:after="100" w:before="120"/>
      </w:pPr>
      <w:r>
        <w:rPr>
          <w:rFonts w:ascii="Calibri" w:cs="Calibri" w:eastAsia="Calibri" w:hAnsi="Calibri"/>
          <w:b/>
          <w:bCs/>
          <w:color w:val="152A47"/>
          <w:sz w:val="32"/>
          <w:szCs w:val="32"/>
        </w:rPr>
        <w:t xml:space="preserve">27. Implementation Roadmap</w:t>
      </w:r>
    </w:p>
    <w:p>
      <w:pPr>
        <w:spacing w:after="100"/>
      </w:pPr>
      <w:r>
        <w:rPr>
          <w:rFonts w:ascii="Calibri" w:cs="Calibri" w:eastAsia="Calibri" w:hAnsi="Calibri"/>
          <w:color w:val="4A4A4A"/>
          <w:sz w:val="20"/>
          <w:szCs w:val="20"/>
        </w:rPr>
        <w:t xml:space="preserve">An indicative, phased timeline. Durations depend heavily on team size and how much of the tech stack above is new to the team — treat this as a sequencing guide, not a fixed commitment.</w:t>
      </w:r>
    </w:p>
    <w:tbl>
      <w:tblPr>
        <w:tblW w:type="dxa" w:w="9359"/>
        <w:jc w:val="center"/>
        <w:tblBorders>
          <w:top w:val="single" w:color="auto" w:sz="4"/>
          <w:left w:val="single" w:color="auto" w:sz="4"/>
          <w:bottom w:val="single" w:color="auto" w:sz="4"/>
          <w:right w:val="single" w:color="auto" w:sz="4"/>
          <w:insideH w:val="single" w:color="auto" w:sz="4"/>
          <w:insideV w:val="single" w:color="auto" w:sz="4"/>
        </w:tblBorders>
      </w:tblPr>
      <w:tblGrid>
        <w:gridCol w:w="2016"/>
        <w:gridCol w:w="1727"/>
        <w:gridCol w:w="5616"/>
      </w:tblGrid>
      <w:tr>
        <w:trPr>
          <w:tblHeader/>
        </w:trPr>
        <w:tc>
          <w:tcPr>
            <w:tcW w:type="dxa" w:w="2016"/>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Stage</w:t>
            </w:r>
          </w:p>
        </w:tc>
        <w:tc>
          <w:tcPr>
            <w:tcW w:type="dxa" w:w="1727"/>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Indicative duration</w:t>
            </w:r>
          </w:p>
        </w:tc>
        <w:tc>
          <w:tcPr>
            <w:tcW w:type="dxa" w:w="5616"/>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Deliverable</w:t>
            </w:r>
          </w:p>
        </w:tc>
      </w:tr>
      <w:tr>
        <w:tc>
          <w:tcPr>
            <w:tcW w:type="dxa" w:w="2016"/>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MVP</w:t>
            </w:r>
          </w:p>
        </w:tc>
        <w:tc>
          <w:tcPr>
            <w:tcW w:type="dxa" w:w="1727"/>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Weeks 1-4</w:t>
            </w:r>
          </w:p>
        </w:tc>
        <w:tc>
          <w:tcPr>
            <w:tcW w:type="dxa" w:w="5616"/>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Single-department pilot: folder-watch ingestion of born-digital PDFs, local LLM + local embeddings, basic /ask API, no OCR/cache/LB yet</w:t>
            </w:r>
          </w:p>
        </w:tc>
      </w:tr>
      <w:tr>
        <w:tc>
          <w:tcPr>
            <w:tcW w:type="dxa" w:w="2016"/>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Beta</w:t>
            </w:r>
          </w:p>
        </w:tc>
        <w:tc>
          <w:tcPr>
            <w:tcW w:type="dxa" w:w="1727"/>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Weeks 5-9</w:t>
            </w:r>
          </w:p>
        </w:tc>
        <w:tc>
          <w:tcPr>
            <w:tcW w:type="dxa" w:w="5616"/>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 Local handwriting OCR (VLM-based, Phase 1), hybrid retrieval + reranking, Redis cache, admin UI with folder picker, SSO auth</w:t>
            </w:r>
          </w:p>
        </w:tc>
      </w:tr>
      <w:tr>
        <w:tc>
          <w:tcPr>
            <w:tcW w:type="dxa" w:w="2016"/>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Production hardening</w:t>
            </w:r>
          </w:p>
        </w:tc>
        <w:tc>
          <w:tcPr>
            <w:tcW w:type="dxa" w:w="1727"/>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Weeks 10-15</w:t>
            </w:r>
          </w:p>
        </w:tc>
        <w:tc>
          <w:tcPr>
            <w:tcW w:type="dxa" w:w="5616"/>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Kubernetes deployment, GPU-aware KEDA autoscaling, WAF/edge protection live, load balancer, optional hosted-API fallback wired (off), monitoring, secrets management, SBOM pipeline, backup/DR tested</w:t>
            </w:r>
          </w:p>
        </w:tc>
      </w:tr>
      <w:tr>
        <w:tc>
          <w:tcPr>
            <w:tcW w:type="dxa" w:w="2016"/>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University-wide rollout</w:t>
            </w:r>
          </w:p>
        </w:tc>
        <w:tc>
          <w:tcPr>
            <w:tcW w:type="dxa" w:w="1727"/>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Weeks 16-22</w:t>
            </w:r>
          </w:p>
        </w:tc>
        <w:tc>
          <w:tcPr>
            <w:tcW w:type="dxa" w:w="5616"/>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Load-test at lakh-scale concurrency on local GPU capacity, security review, first chaos-engineering game day, SLOs live, phased department rollout, feedback loop live</w:t>
            </w:r>
          </w:p>
        </w:tc>
      </w:tr>
      <w:tr>
        <w:tc>
          <w:tcPr>
            <w:tcW w:type="dxa" w:w="2016"/>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Continuous improvement</w:t>
            </w:r>
          </w:p>
        </w:tc>
        <w:tc>
          <w:tcPr>
            <w:tcW w:type="dxa" w:w="1727"/>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Ongoing</w:t>
            </w:r>
          </w:p>
        </w:tc>
        <w:tc>
          <w:tcPr>
            <w:tcW w:type="dxa" w:w="5616"/>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Pilot vision-language ingestion (Phase 16) on the hardest documents; revisit model/gateway choices against current leaderboards each quarter; disaggregated GPU serving if throughput demands it</w:t>
            </w:r>
          </w:p>
        </w:tc>
      </w:tr>
    </w:tbl>
    <w:p>
      <w:pPr>
        <w:spacing w:after="100"/>
      </w:pPr>
    </w:p>
    <w:p>
      <w:pPr>
        <w:spacing w:after="100" w:before="40"/>
      </w:pPr>
      <w:r>
        <w:rPr>
          <w:rFonts w:ascii="Calibri" w:cs="Calibri" w:eastAsia="Calibri" w:hAnsi="Calibri"/>
          <w:i/>
          <w:iCs/>
          <w:color w:val="7A7A7A"/>
          <w:sz w:val="17"/>
          <w:szCs w:val="17"/>
        </w:rPr>
        <w:t xml:space="preserve">Recommendation: pilot with one department/course before opening access to all 1,00,000 students. It surfaces OCR quality issues and retrieval gaps while the blast radius is still small.</w:t>
      </w:r>
    </w:p>
    <w:p>
      <w:pPr>
        <w:pStyle w:val="Heading1"/>
        <w:pBdr>
          <w:bottom w:val="single" w:color="2E6DA4" w:sz="8" w:space="4"/>
        </w:pBdr>
        <w:spacing w:after="100" w:before="120"/>
      </w:pPr>
      <w:r>
        <w:rPr>
          <w:rFonts w:ascii="Calibri" w:cs="Calibri" w:eastAsia="Calibri" w:hAnsi="Calibri"/>
          <w:b/>
          <w:bCs/>
          <w:color w:val="152A47"/>
          <w:sz w:val="32"/>
          <w:szCs w:val="32"/>
        </w:rPr>
        <w:t xml:space="preserve">28. Closing Notes &amp; Next Steps</w:t>
      </w:r>
    </w:p>
    <w:p>
      <w:pPr>
        <w:pStyle w:val="ListParagraph"/>
        <w:numPr>
          <w:ilvl w:val="0"/>
          <w:numId w:val="2"/>
        </w:numPr>
        <w:spacing w:after="100"/>
        <w:ind w:left="317" w:hanging="173"/>
      </w:pPr>
      <w:r>
        <w:rPr>
          <w:rFonts w:ascii="Calibri" w:cs="Calibri" w:eastAsia="Calibri" w:hAnsi="Calibri"/>
          <w:color w:val="4A4A4A"/>
          <w:sz w:val="20"/>
          <w:szCs w:val="20"/>
        </w:rPr>
        <w:t xml:space="preserve">Start with Phases 0, 1, 3, 4, 5, and 6 on a small, real document set — a local LLM answering questions from one folder of real course material. Caching, load balancing, and the admin UI matter enormously at scale, but they're layered on top of a proven local core, not built before it.</w:t>
      </w:r>
    </w:p>
    <w:p>
      <w:pPr>
        <w:pStyle w:val="ListParagraph"/>
        <w:numPr>
          <w:ilvl w:val="0"/>
          <w:numId w:val="2"/>
        </w:numPr>
        <w:spacing w:after="100"/>
        <w:ind w:left="317" w:hanging="173"/>
      </w:pPr>
      <w:r>
        <w:rPr>
          <w:rFonts w:ascii="Calibri" w:cs="Calibri" w:eastAsia="Calibri" w:hAnsi="Calibri"/>
          <w:color w:val="4A4A4A"/>
          <w:sz w:val="20"/>
          <w:szCs w:val="20"/>
        </w:rPr>
        <w:t xml:space="preserve">Point the folder watcher (Phase 1) at your existing handwritten and digital document shares on day one — that's what turns a static file share into a continuously synced index without anyone re-uploading anything by hand.</w:t>
      </w:r>
    </w:p>
    <w:p>
      <w:pPr>
        <w:pStyle w:val="ListParagraph"/>
        <w:numPr>
          <w:ilvl w:val="0"/>
          <w:numId w:val="2"/>
        </w:numPr>
        <w:spacing w:after="100"/>
        <w:ind w:left="317" w:hanging="173"/>
      </w:pPr>
      <w:r>
        <w:rPr>
          <w:rFonts w:ascii="Calibri" w:cs="Calibri" w:eastAsia="Calibri" w:hAnsi="Calibri"/>
          <w:color w:val="4A4A4A"/>
          <w:sz w:val="20"/>
          <w:szCs w:val="20"/>
        </w:rPr>
        <w:t xml:space="preserve">Treat handwriting OCR quality as the project's biggest risk item and test it early, locally, with your actual old handwritten documents, not a clean sample set.</w:t>
      </w:r>
    </w:p>
    <w:p>
      <w:pPr>
        <w:pStyle w:val="ListParagraph"/>
        <w:numPr>
          <w:ilvl w:val="0"/>
          <w:numId w:val="2"/>
        </w:numPr>
        <w:spacing w:after="100"/>
        <w:ind w:left="317" w:hanging="173"/>
      </w:pPr>
      <w:r>
        <w:rPr>
          <w:rFonts w:ascii="Calibri" w:cs="Calibri" w:eastAsia="Calibri" w:hAnsi="Calibri"/>
          <w:color w:val="4A4A4A"/>
          <w:sz w:val="20"/>
          <w:szCs w:val="20"/>
        </w:rPr>
        <w:t xml:space="preserve">Keep the LLM router (Phase 5) local-first and thin from day one — it's what lets you run entirely on your own GPUs now and switch on a hosted provider later, only if you choose to, without a rewrite.</w:t>
      </w:r>
    </w:p>
    <w:p>
      <w:pPr>
        <w:pStyle w:val="ListParagraph"/>
        <w:numPr>
          <w:ilvl w:val="0"/>
          <w:numId w:val="2"/>
        </w:numPr>
        <w:spacing w:after="100"/>
        <w:ind w:left="317" w:hanging="173"/>
      </w:pPr>
      <w:r>
        <w:rPr>
          <w:rFonts w:ascii="Calibri" w:cs="Calibri" w:eastAsia="Calibri" w:hAnsi="Calibri"/>
          <w:color w:val="4A4A4A"/>
          <w:sz w:val="20"/>
          <w:szCs w:val="20"/>
        </w:rPr>
        <w:t xml:space="preserve">Re-validate the capacity assumptions in Section 3 — especially your own GPU throughput — with a real load test before the university-wide rollout in Section 27.</w:t>
      </w:r>
    </w:p>
    <w:p>
      <w:pPr>
        <w:pStyle w:val="ListParagraph"/>
        <w:numPr>
          <w:ilvl w:val="0"/>
          <w:numId w:val="2"/>
        </w:numPr>
        <w:spacing w:after="100"/>
        <w:ind w:left="317" w:hanging="173"/>
      </w:pPr>
      <w:r>
        <w:rPr>
          <w:rFonts w:ascii="Calibri" w:cs="Calibri" w:eastAsia="Calibri" w:hAnsi="Calibri"/>
          <w:color w:val="4A4A4A"/>
          <w:sz w:val="20"/>
          <w:szCs w:val="20"/>
        </w:rPr>
        <w:t xml:space="preserve">Treat Phases 16, 17, and 18 as what they are — a forward-looking ingestion upgrade, an enterprise reliability layer, and a future roadmap — to be added once the core (Phases 0-15) is proven, not built in parallel with it. Bolting on disaster recovery, GPU cost governance, or multilingual support to a system that doesn't answer a basic question correctly yet is wasted effort.</w:t>
      </w:r>
    </w:p>
    <w:p>
      <w:pPr>
        <w:pStyle w:val="ListParagraph"/>
        <w:numPr>
          <w:ilvl w:val="0"/>
          <w:numId w:val="2"/>
        </w:numPr>
        <w:spacing w:after="100"/>
        <w:ind w:left="317" w:hanging="173"/>
      </w:pPr>
      <w:r>
        <w:rPr>
          <w:rFonts w:ascii="Calibri" w:cs="Calibri" w:eastAsia="Calibri" w:hAnsi="Calibri"/>
          <w:color w:val="4A4A4A"/>
          <w:sz w:val="20"/>
          <w:szCs w:val="20"/>
        </w:rPr>
        <w:t xml:space="preserve">Phase 19 is the one exception to "build it later": the content-validation step it adds to Phase 1, and the untrusted-context boundary it adds to Phase 5, close a real hole the moment folder-watch ingestion goes live — treat those two specifically as MVP scope, not hardening for later. Edge protection (Phase 9's WAF/DDoS layer) belongs in that same MVP bucket, for the same reason: it's exposed the moment the API is reachable from the internet, not just at lakh-scale.</w:t>
      </w:r>
    </w:p>
    <w:p>
      <w:pPr>
        <w:pStyle w:val="ListParagraph"/>
        <w:numPr>
          <w:ilvl w:val="0"/>
          <w:numId w:val="2"/>
        </w:numPr>
        <w:spacing w:after="100"/>
        <w:ind w:left="317" w:hanging="173"/>
      </w:pPr>
      <w:r>
        <w:rPr>
          <w:rFonts w:ascii="Aptos" w:hAnsi="Aptos"/>
          <w:sz w:val="21"/>
        </w:rPr>
        <w:t>The specific tools/models in this September 2026 baseline remain intentionally replaceable. Re-verify parsers, embedding/reranking models, inference serving and security advisories at each rollout milestone and at least quarterly; use the Model &amp; Component Registry so upgrades are controlled, benchmarked and reversible rather than code rewrites.</w:t>
      </w:r>
    </w:p>
    <w:p>
      <w:pPr>
        <w:spacing w:after="100"/>
      </w:pPr>
    </w:p>
    <w:p>
      <w:pPr>
        <w:spacing w:after="100"/>
      </w:pPr>
      <w:r>
        <w:br w:type="page"/>
      </w:r>
    </w:p>
    <w:p>
      <w:pPr>
        <w:pStyle w:val="Heading1"/>
        <w:pBdr>
          <w:bottom w:val="single" w:color="2E6DA4" w:sz="8" w:space="4"/>
        </w:pBdr>
        <w:spacing w:after="100" w:before="120"/>
      </w:pPr>
      <w:r>
        <w:rPr>
          <w:rFonts w:ascii="Calibri" w:cs="Calibri" w:eastAsia="Calibri" w:hAnsi="Calibri"/>
          <w:b/>
          <w:bCs/>
          <w:color w:val="152A47"/>
          <w:sz w:val="32"/>
          <w:szCs w:val="32"/>
        </w:rPr>
        <w:t xml:space="preserve">29. Appendix A: Data Model Reference</w:t>
      </w:r>
    </w:p>
    <w:p>
      <w:pPr>
        <w:spacing w:after="100"/>
      </w:pPr>
      <w:r>
        <w:rPr>
          <w:rFonts w:ascii="Calibri" w:cs="Calibri" w:eastAsia="Calibri" w:hAnsi="Calibri"/>
          <w:color w:val="4A4A4A"/>
          <w:sz w:val="20"/>
          <w:szCs w:val="20"/>
        </w:rPr>
        <w:t xml:space="preserve">Concrete schemas for the core entities referenced throughout this plan (Phases 1-3, 11, 19) — the level of detail needed to generate migrations and ORM models directly, without guessing field names or types between phases.</w:t>
      </w:r>
    </w:p>
    <w:p>
      <w:pPr>
        <w:pStyle w:val="Heading2"/>
        <w:spacing w:after="100" w:before="160"/>
      </w:pPr>
      <w:r>
        <w:rPr>
          <w:rFonts w:ascii="Calibri" w:cs="Calibri" w:eastAsia="Calibri" w:hAnsi="Calibri"/>
          <w:b/>
          <w:bCs/>
          <w:color w:val="2E6DA4"/>
          <w:sz w:val="24"/>
          <w:szCs w:val="24"/>
        </w:rPr>
        <w:t xml:space="preserve">watched_folders — registered by the admin UI (Phase 1, 10)</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16"/>
        <w:gridCol w:w="1440"/>
        <w:gridCol w:w="5904"/>
      </w:tblGrid>
      <w:tr>
        <w:trPr>
          <w:tblHeader/>
        </w:trPr>
        <w:tc>
          <w:tcPr>
            <w:tcW w:type="dxa" w:w="2016"/>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Field</w:t>
            </w:r>
          </w:p>
        </w:tc>
        <w:tc>
          <w:tcPr>
            <w:tcW w:type="dxa" w:w="1440"/>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Type</w:t>
            </w:r>
          </w:p>
        </w:tc>
        <w:tc>
          <w:tcPr>
            <w:tcW w:type="dxa" w:w="5904"/>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Notes</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id</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UUID</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Primary key</w:t>
            </w:r>
          </w:p>
        </w:tc>
      </w:tr>
      <w:tr>
        <w:tc>
          <w:tcPr>
            <w:tcW w:type="dxa" w:w="2016"/>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path</w:t>
            </w:r>
          </w:p>
        </w:tc>
        <w:tc>
          <w:tcPr>
            <w:tcW w:type="dxa" w:w="144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Unique. Filesystem or mounted network path being watched</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department</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Nullable. Auto-inferred from path, or admin-set/overridden</w:t>
            </w:r>
          </w:p>
        </w:tc>
      </w:tr>
      <w:tr>
        <w:tc>
          <w:tcPr>
            <w:tcW w:type="dxa" w:w="2016"/>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semester</w:t>
            </w:r>
          </w:p>
        </w:tc>
        <w:tc>
          <w:tcPr>
            <w:tcW w:type="dxa" w:w="144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Nullable</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course</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Nullable</w:t>
            </w:r>
          </w:p>
        </w:tc>
      </w:tr>
      <w:tr>
        <w:tc>
          <w:tcPr>
            <w:tcW w:type="dxa" w:w="2016"/>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created_at</w:t>
            </w:r>
          </w:p>
        </w:tc>
        <w:tc>
          <w:tcPr>
            <w:tcW w:type="dxa" w:w="144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TIMESTAMP</w:t>
            </w:r>
          </w:p>
        </w:tc>
        <w:tc>
          <w:tcPr>
            <w:tcW w:type="dxa" w:w="59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
            </w:r>
          </w:p>
        </w:tc>
      </w:tr>
    </w:tbl>
    <w:p>
      <w:pPr>
        <w:spacing w:after="100"/>
      </w:pPr>
    </w:p>
    <w:p>
      <w:pPr>
        <w:pStyle w:val="Heading2"/>
        <w:spacing w:after="100" w:before="160"/>
      </w:pPr>
      <w:r>
        <w:rPr>
          <w:rFonts w:ascii="Calibri" w:cs="Calibri" w:eastAsia="Calibri" w:hAnsi="Calibri"/>
          <w:b/>
          <w:bCs/>
          <w:color w:val="2E6DA4"/>
          <w:sz w:val="24"/>
          <w:szCs w:val="24"/>
        </w:rPr>
        <w:t xml:space="preserve">manifest_entries — change detection for the folder watcher (Phase 1)</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16"/>
        <w:gridCol w:w="1440"/>
        <w:gridCol w:w="5904"/>
      </w:tblGrid>
      <w:tr>
        <w:trPr>
          <w:tblHeader/>
        </w:trPr>
        <w:tc>
          <w:tcPr>
            <w:tcW w:type="dxa" w:w="2016"/>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Field</w:t>
            </w:r>
          </w:p>
        </w:tc>
        <w:tc>
          <w:tcPr>
            <w:tcW w:type="dxa" w:w="1440"/>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Type</w:t>
            </w:r>
          </w:p>
        </w:tc>
        <w:tc>
          <w:tcPr>
            <w:tcW w:type="dxa" w:w="5904"/>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Notes</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id</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UUID</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Primary key</w:t>
            </w:r>
          </w:p>
        </w:tc>
      </w:tr>
      <w:tr>
        <w:tc>
          <w:tcPr>
            <w:tcW w:type="dxa" w:w="2016"/>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path</w:t>
            </w:r>
          </w:p>
        </w:tc>
        <w:tc>
          <w:tcPr>
            <w:tcW w:type="dxa" w:w="144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Unique. Absolute file path</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content_hash</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SHA-256. Used to skip reprocessing unchanged files on rescan</w:t>
            </w:r>
          </w:p>
        </w:tc>
      </w:tr>
      <w:tr>
        <w:tc>
          <w:tcPr>
            <w:tcW w:type="dxa" w:w="2016"/>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mtime</w:t>
            </w:r>
          </w:p>
        </w:tc>
        <w:tc>
          <w:tcPr>
            <w:tcW w:type="dxa" w:w="144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FLOAT</w:t>
            </w:r>
          </w:p>
        </w:tc>
        <w:tc>
          <w:tcPr>
            <w:tcW w:type="dxa" w:w="59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Filesystem last-modified time (unix epoch)</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status</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One of: pending / processing / done / failed</w:t>
            </w:r>
          </w:p>
        </w:tc>
      </w:tr>
      <w:tr>
        <w:tc>
          <w:tcPr>
            <w:tcW w:type="dxa" w:w="2016"/>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error</w:t>
            </w:r>
          </w:p>
        </w:tc>
        <w:tc>
          <w:tcPr>
            <w:tcW w:type="dxa" w:w="144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Nullable. Populated on failure, feeds the review queue (Phase 1)</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updated_at</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TIMESTAMP</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
            </w:r>
          </w:p>
        </w:tc>
      </w:tr>
    </w:tbl>
    <w:p>
      <w:pPr>
        <w:spacing w:after="100"/>
      </w:pPr>
    </w:p>
    <w:p>
      <w:pPr>
        <w:pStyle w:val="Heading2"/>
        <w:spacing w:after="100" w:before="160"/>
      </w:pPr>
      <w:r>
        <w:rPr>
          <w:rFonts w:ascii="Calibri" w:cs="Calibri" w:eastAsia="Calibri" w:hAnsi="Calibri"/>
          <w:b/>
          <w:bCs/>
          <w:color w:val="2E6DA4"/>
          <w:sz w:val="24"/>
          <w:szCs w:val="24"/>
        </w:rPr>
        <w:t xml:space="preserve">documents — one row per successfully ingested document (Phase 1, 2)</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16"/>
        <w:gridCol w:w="1440"/>
        <w:gridCol w:w="5904"/>
      </w:tblGrid>
      <w:tr>
        <w:trPr>
          <w:tblHeader/>
        </w:trPr>
        <w:tc>
          <w:tcPr>
            <w:tcW w:type="dxa" w:w="2016"/>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Field</w:t>
            </w:r>
          </w:p>
        </w:tc>
        <w:tc>
          <w:tcPr>
            <w:tcW w:type="dxa" w:w="1440"/>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Type</w:t>
            </w:r>
          </w:p>
        </w:tc>
        <w:tc>
          <w:tcPr>
            <w:tcW w:type="dxa" w:w="5904"/>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Notes</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id</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UUID</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Primary key</w:t>
            </w:r>
          </w:p>
        </w:tc>
      </w:tr>
      <w:tr>
        <w:tc>
          <w:tcPr>
            <w:tcW w:type="dxa" w:w="2016"/>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source_path</w:t>
            </w:r>
          </w:p>
        </w:tc>
        <w:tc>
          <w:tcPr>
            <w:tcW w:type="dxa" w:w="144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Original file location</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title</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
            </w:r>
          </w:p>
        </w:tc>
      </w:tr>
      <w:tr>
        <w:tc>
          <w:tcPr>
            <w:tcW w:type="dxa" w:w="2016"/>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department</w:t>
            </w:r>
          </w:p>
        </w:tc>
        <w:tc>
          <w:tcPr>
            <w:tcW w:type="dxa" w:w="144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Indexed — used for retrieval scoping (Phase 4)</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semester</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Indexed</w:t>
            </w:r>
          </w:p>
        </w:tc>
      </w:tr>
      <w:tr>
        <w:tc>
          <w:tcPr>
            <w:tcW w:type="dxa" w:w="2016"/>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course</w:t>
            </w:r>
          </w:p>
        </w:tc>
        <w:tc>
          <w:tcPr>
            <w:tcW w:type="dxa" w:w="144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Indexed</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doc_type</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One of: born_digital / scanned / handwritten</w:t>
            </w:r>
          </w:p>
        </w:tc>
      </w:tr>
      <w:tr>
        <w:tc>
          <w:tcPr>
            <w:tcW w:type="dxa" w:w="2016"/>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ocr_confidence</w:t>
            </w:r>
          </w:p>
        </w:tc>
        <w:tc>
          <w:tcPr>
            <w:tcW w:type="dxa" w:w="144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FLOAT</w:t>
            </w:r>
          </w:p>
        </w:tc>
        <w:tc>
          <w:tcPr>
            <w:tcW w:type="dxa" w:w="59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Nullable, 0-1. Null for born-digital text extraction</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created_at</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TIMESTAMP</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
            </w:r>
          </w:p>
        </w:tc>
      </w:tr>
    </w:tbl>
    <w:p>
      <w:pPr>
        <w:spacing w:after="100"/>
      </w:pPr>
    </w:p>
    <w:p>
      <w:pPr>
        <w:pStyle w:val="Heading2"/>
        <w:spacing w:after="100" w:before="160"/>
      </w:pPr>
      <w:r>
        <w:rPr>
          <w:rFonts w:ascii="Calibri" w:cs="Calibri" w:eastAsia="Calibri" w:hAnsi="Calibri"/>
          <w:b/>
          <w:bCs/>
          <w:color w:val="2E6DA4"/>
          <w:sz w:val="24"/>
          <w:szCs w:val="24"/>
        </w:rPr>
        <w:t xml:space="preserve">chunks — the retrievable unit (Phase 2, 3, 4)</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16"/>
        <w:gridCol w:w="1440"/>
        <w:gridCol w:w="5904"/>
      </w:tblGrid>
      <w:tr>
        <w:trPr>
          <w:tblHeader/>
        </w:trPr>
        <w:tc>
          <w:tcPr>
            <w:tcW w:type="dxa" w:w="2016"/>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Field</w:t>
            </w:r>
          </w:p>
        </w:tc>
        <w:tc>
          <w:tcPr>
            <w:tcW w:type="dxa" w:w="1440"/>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Type</w:t>
            </w:r>
          </w:p>
        </w:tc>
        <w:tc>
          <w:tcPr>
            <w:tcW w:type="dxa" w:w="5904"/>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Notes</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id</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UUID</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Primary key</w:t>
            </w:r>
          </w:p>
        </w:tc>
      </w:tr>
      <w:tr>
        <w:tc>
          <w:tcPr>
            <w:tcW w:type="dxa" w:w="2016"/>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document_id</w:t>
            </w:r>
          </w:p>
        </w:tc>
        <w:tc>
          <w:tcPr>
            <w:tcW w:type="dxa" w:w="144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UUID</w:t>
            </w:r>
          </w:p>
        </w:tc>
        <w:tc>
          <w:tcPr>
            <w:tcW w:type="dxa" w:w="59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Foreign key -&gt; documents.id</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page_number</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INT</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Nullable</w:t>
            </w:r>
          </w:p>
        </w:tc>
      </w:tr>
      <w:tr>
        <w:tc>
          <w:tcPr>
            <w:tcW w:type="dxa" w:w="2016"/>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section</w:t>
            </w:r>
          </w:p>
        </w:tc>
        <w:tc>
          <w:tcPr>
            <w:tcW w:type="dxa" w:w="144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Nullable</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text</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The chunk content</w:t>
            </w:r>
          </w:p>
        </w:tc>
      </w:tr>
      <w:tr>
        <w:tc>
          <w:tcPr>
            <w:tcW w:type="dxa" w:w="2016"/>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content_hash</w:t>
            </w:r>
          </w:p>
        </w:tc>
        <w:tc>
          <w:tcPr>
            <w:tcW w:type="dxa" w:w="144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SHA-256, indexed — cross-document dedup (Phase 2)</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embedding_ref</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Pointer/ID into the vector store (Phase 3) — the vector itself lives there, not in Postgres</w:t>
            </w:r>
          </w:p>
        </w:tc>
      </w:tr>
    </w:tbl>
    <w:p>
      <w:pPr>
        <w:spacing w:after="100"/>
      </w:pPr>
    </w:p>
    <w:p>
      <w:pPr>
        <w:pStyle w:val="Heading2"/>
        <w:spacing w:after="100" w:before="160"/>
      </w:pPr>
      <w:r>
        <w:rPr>
          <w:rFonts w:ascii="Calibri" w:cs="Calibri" w:eastAsia="Calibri" w:hAnsi="Calibri"/>
          <w:b/>
          <w:bCs/>
          <w:color w:val="2E6DA4"/>
          <w:sz w:val="24"/>
          <w:szCs w:val="24"/>
        </w:rPr>
        <w:t xml:space="preserve">users — local mirror of SSO identity (Phase 11)</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16"/>
        <w:gridCol w:w="1440"/>
        <w:gridCol w:w="5904"/>
      </w:tblGrid>
      <w:tr>
        <w:trPr>
          <w:tblHeader/>
        </w:trPr>
        <w:tc>
          <w:tcPr>
            <w:tcW w:type="dxa" w:w="2016"/>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Field</w:t>
            </w:r>
          </w:p>
        </w:tc>
        <w:tc>
          <w:tcPr>
            <w:tcW w:type="dxa" w:w="1440"/>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Type</w:t>
            </w:r>
          </w:p>
        </w:tc>
        <w:tc>
          <w:tcPr>
            <w:tcW w:type="dxa" w:w="5904"/>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Notes</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id</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UUID</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Primary key</w:t>
            </w:r>
          </w:p>
        </w:tc>
      </w:tr>
      <w:tr>
        <w:tc>
          <w:tcPr>
            <w:tcW w:type="dxa" w:w="2016"/>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external_id</w:t>
            </w:r>
          </w:p>
        </w:tc>
        <w:tc>
          <w:tcPr>
            <w:tcW w:type="dxa" w:w="144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Subject/ID from the SSO provider. Never store a password here</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role</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One of: student / faculty / admin</w:t>
            </w:r>
          </w:p>
        </w:tc>
      </w:tr>
      <w:tr>
        <w:tc>
          <w:tcPr>
            <w:tcW w:type="dxa" w:w="2016"/>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department</w:t>
            </w:r>
          </w:p>
        </w:tc>
        <w:tc>
          <w:tcPr>
            <w:tcW w:type="dxa" w:w="144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created_at</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TIMESTAMP</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
            </w:r>
          </w:p>
        </w:tc>
      </w:tr>
    </w:tbl>
    <w:p>
      <w:pPr>
        <w:spacing w:after="100"/>
      </w:pPr>
    </w:p>
    <w:p>
      <w:pPr>
        <w:pStyle w:val="Heading2"/>
        <w:spacing w:after="100" w:before="160"/>
      </w:pPr>
      <w:r>
        <w:rPr>
          <w:rFonts w:ascii="Calibri" w:cs="Calibri" w:eastAsia="Calibri" w:hAnsi="Calibri"/>
          <w:b/>
          <w:bCs/>
          <w:color w:val="2E6DA4"/>
          <w:sz w:val="24"/>
          <w:szCs w:val="24"/>
        </w:rPr>
        <w:t xml:space="preserve">query_audit_log — content-free audit trail (Phase 19)</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16"/>
        <w:gridCol w:w="1440"/>
        <w:gridCol w:w="5904"/>
      </w:tblGrid>
      <w:tr>
        <w:trPr>
          <w:tblHeader/>
        </w:trPr>
        <w:tc>
          <w:tcPr>
            <w:tcW w:type="dxa" w:w="2016"/>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Field</w:t>
            </w:r>
          </w:p>
        </w:tc>
        <w:tc>
          <w:tcPr>
            <w:tcW w:type="dxa" w:w="1440"/>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Type</w:t>
            </w:r>
          </w:p>
        </w:tc>
        <w:tc>
          <w:tcPr>
            <w:tcW w:type="dxa" w:w="5904"/>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Notes</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id</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UUID</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Primary key</w:t>
            </w:r>
          </w:p>
        </w:tc>
      </w:tr>
      <w:tr>
        <w:tc>
          <w:tcPr>
            <w:tcW w:type="dxa" w:w="2016"/>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user_id</w:t>
            </w:r>
          </w:p>
        </w:tc>
        <w:tc>
          <w:tcPr>
            <w:tcW w:type="dxa" w:w="144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UUID</w:t>
            </w:r>
          </w:p>
        </w:tc>
        <w:tc>
          <w:tcPr>
            <w:tcW w:type="dxa" w:w="59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Foreign key -&gt; users.id</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question_hash</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Hashed, never the raw question text</w:t>
            </w:r>
          </w:p>
        </w:tc>
      </w:tr>
      <w:tr>
        <w:tc>
          <w:tcPr>
            <w:tcW w:type="dxa" w:w="2016"/>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chunk_ids_returned</w:t>
            </w:r>
          </w:p>
        </w:tc>
        <w:tc>
          <w:tcPr>
            <w:tcW w:type="dxa" w:w="144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JSON array of chunk IDs — never chunk content</w:t>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served_by</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TEXT</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One of: local / hosted / fallback / cache</w:t>
            </w:r>
          </w:p>
        </w:tc>
      </w:tr>
      <w:tr>
        <w:tc>
          <w:tcPr>
            <w:tcW w:type="dxa" w:w="2016"/>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latency_ms</w:t>
            </w:r>
          </w:p>
        </w:tc>
        <w:tc>
          <w:tcPr>
            <w:tcW w:type="dxa" w:w="144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INT</w:t>
            </w:r>
          </w:p>
        </w:tc>
        <w:tc>
          <w:tcPr>
            <w:tcW w:type="dxa" w:w="5904"/>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
            </w:r>
          </w:p>
        </w:tc>
      </w:tr>
      <w:tr>
        <w:tc>
          <w:tcPr>
            <w:tcW w:type="dxa" w:w="2016"/>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created_at</w:t>
            </w:r>
          </w:p>
        </w:tc>
        <w:tc>
          <w:tcPr>
            <w:tcW w:type="dxa" w:w="144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TIMESTAMP</w:t>
            </w:r>
          </w:p>
        </w:tc>
        <w:tc>
          <w:tcPr>
            <w:tcW w:type="dxa" w:w="5904"/>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
            </w:r>
          </w:p>
        </w:tc>
      </w:tr>
    </w:tbl>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Every table needed for a first migration is defined here — no guessing field names between phases.</w:t>
      </w:r>
    </w:p>
    <w:p>
      <w:pPr>
        <w:spacing w:after="100"/>
      </w:pPr>
      <w:r>
        <w:br w:type="page"/>
      </w:r>
    </w:p>
    <w:p>
      <w:pPr>
        <w:pStyle w:val="Heading1"/>
        <w:pBdr>
          <w:bottom w:val="single" w:color="2E6DA4" w:sz="8" w:space="4"/>
        </w:pBdr>
        <w:spacing w:after="100" w:before="120"/>
      </w:pPr>
      <w:r>
        <w:rPr>
          <w:rFonts w:ascii="Calibri" w:cs="Calibri" w:eastAsia="Calibri" w:hAnsi="Calibri"/>
          <w:b/>
          <w:bCs/>
          <w:color w:val="152A47"/>
          <w:sz w:val="32"/>
          <w:szCs w:val="32"/>
        </w:rPr>
        <w:t xml:space="preserve">30. Appendix B: API Contract Reference</w:t>
      </w:r>
    </w:p>
    <w:p>
      <w:pPr>
        <w:spacing w:after="100"/>
      </w:pPr>
      <w:r>
        <w:rPr>
          <w:rFonts w:ascii="Calibri" w:cs="Calibri" w:eastAsia="Calibri" w:hAnsi="Calibri"/>
          <w:color w:val="4A4A4A"/>
          <w:sz w:val="20"/>
          <w:szCs w:val="20"/>
        </w:rPr>
        <w:t xml:space="preserve">The literal wire format for every endpoint from Phase 6. Every route requires an X-API-Key header or an Authorization: Bearer &lt;jwt&gt; header (Phase 11); every JSON error response shares one shape:</w:t>
      </w:r>
    </w:p>
    <w:tbl>
      <w:tblPr>
        <w:tblW w:type="dxa" w:w="9460"/>
        <w:jc w:val="center"/>
        <w:tblBorders>
          <w:top w:val="single" w:color="auto" w:sz="4"/>
          <w:left w:val="single" w:color="auto" w:sz="4"/>
          <w:bottom w:val="single" w:color="auto" w:sz="4"/>
          <w:right w:val="single" w:color="auto" w:sz="4"/>
          <w:insideH w:val="single" w:color="auto" w:sz="4"/>
          <w:insideV w:val="single" w:color="auto" w:sz="4"/>
        </w:tblBorders>
      </w:tblPr>
      <w:tblGrid>
        <w:gridCol w:w="9460"/>
      </w:tblGrid>
      <w:tr>
        <w:tc>
          <w:tcPr>
            <w:tcW w:type="dxa" w:w="9460"/>
            <w:shd w:fill="F3F3F3" w:val="clear"/>
            <w:tcMar>
              <w:top w:type="dxa" w:w="120"/>
              <w:left w:type="dxa" w:w="100"/>
              <w:bottom w:type="dxa" w:w="120"/>
              <w:right w:type="dxa" w:w="60"/>
            </w:tcMar>
            <w:vAlign w:val="center"/>
          </w:tcPr>
          <w:p>
            <w:pPr>
              <w:spacing w:after="0"/>
            </w:pPr>
            <w:r>
              <w:rPr>
                <w:rFonts w:ascii="Aptos" w:cs="Consolas" w:eastAsia="Consolas" w:hAnsi="Aptos"/>
                <w:b/>
                <w:color w:val="152A47"/>
                <w:sz w:val="18"/>
                <w:szCs w:val="16"/>
              </w:rPr>
              <w:t xml:space="preserve">{</w:t>
            </w:r>
          </w:p>
          <w:p>
            <w:pPr>
              <w:spacing w:after="0"/>
            </w:pPr>
            <w:r>
              <w:rPr>
                <w:rFonts w:ascii="Aptos" w:cs="Consolas" w:eastAsia="Consolas" w:hAnsi="Aptos"/>
                <w:b/>
                <w:color w:val="152A47"/>
                <w:sz w:val="18"/>
                <w:szCs w:val="16"/>
              </w:rPr>
              <w:t xml:space="preserve">  "error": {</w:t>
            </w:r>
          </w:p>
          <w:p>
            <w:pPr>
              <w:spacing w:after="0"/>
            </w:pPr>
            <w:r>
              <w:rPr>
                <w:rFonts w:ascii="Aptos" w:cs="Consolas" w:eastAsia="Consolas" w:hAnsi="Aptos"/>
                <w:b/>
                <w:color w:val="152A47"/>
                <w:sz w:val="18"/>
                <w:szCs w:val="16"/>
              </w:rPr>
              <w:t xml:space="preserve">    "code": "unauthorized | not_found | rate_limited | validation_error | ...",</w:t>
            </w:r>
          </w:p>
          <w:p>
            <w:pPr>
              <w:spacing w:after="0"/>
            </w:pPr>
            <w:r>
              <w:rPr>
                <w:rFonts w:ascii="Aptos" w:cs="Consolas" w:eastAsia="Consolas" w:hAnsi="Aptos"/>
                <w:b/>
                <w:color w:val="152A47"/>
                <w:sz w:val="18"/>
                <w:szCs w:val="16"/>
              </w:rPr>
              <w:t xml:space="preserve">    "message": "human-readable description"</w:t>
            </w:r>
          </w:p>
          <w:p>
            <w:pPr>
              <w:spacing w:after="0"/>
            </w:pPr>
            <w:r>
              <w:rPr>
                <w:rFonts w:ascii="Aptos" w:cs="Consolas" w:eastAsia="Consolas" w:hAnsi="Aptos"/>
                <w:b/>
                <w:color w:val="152A47"/>
                <w:sz w:val="18"/>
                <w:szCs w:val="16"/>
              </w:rPr>
              <w:t xml:space="preserve">  }</w:t>
            </w:r>
          </w:p>
          <w:p>
            <w:pPr>
              <w:spacing w:after="0"/>
            </w:pPr>
            <w:r>
              <w:rPr>
                <w:rFonts w:ascii="Aptos" w:cs="Consolas" w:eastAsia="Consolas" w:hAnsi="Aptos"/>
                <w:b/>
                <w:color w:val="152A47"/>
                <w:sz w:val="18"/>
                <w:szCs w:val="16"/>
              </w:rPr>
              <w:t xml:space="preserve">}</w:t>
            </w:r>
          </w:p>
        </w:tc>
      </w:tr>
    </w:tbl>
    <w:p>
      <w:pPr>
        <w:spacing w:after="100"/>
      </w:pPr>
    </w:p>
    <w:p>
      <w:pPr>
        <w:spacing w:after="100"/>
      </w:pPr>
      <w:r>
        <w:rPr>
          <w:rFonts w:ascii="Calibri" w:cs="Calibri" w:eastAsia="Calibri" w:hAnsi="Calibri"/>
          <w:color w:val="4A4A4A"/>
          <w:sz w:val="20"/>
          <w:szCs w:val="20"/>
        </w:rPr>
        <w:t xml:space="preserve">Versioning policy: breaking changes get a new prefix (/v2/...) and a 90-day parallel-run window before /v1 is retired — the portal widget (Phase 10) and any future LMS integration (Phase 18) depend on this contract not moving under them without notice. Additive changes (a new optional field) don't need a version bump.</w:t>
      </w:r>
    </w:p>
    <w:p>
      <w:pPr>
        <w:pStyle w:val="Heading2"/>
        <w:spacing w:after="100" w:before="160"/>
      </w:pPr>
      <w:r>
        <w:rPr>
          <w:rFonts w:ascii="Calibri" w:cs="Calibri" w:eastAsia="Calibri" w:hAnsi="Calibri"/>
          <w:b/>
          <w:bCs/>
          <w:color w:val="2E6DA4"/>
          <w:sz w:val="24"/>
          <w:szCs w:val="24"/>
        </w:rPr>
        <w:t xml:space="preserve">POST /ask</w:t>
      </w:r>
    </w:p>
    <w:p>
      <w:pPr>
        <w:spacing w:after="100"/>
      </w:pPr>
      <w:r>
        <w:rPr>
          <w:rFonts w:ascii="Calibri" w:cs="Calibri" w:eastAsia="Calibri" w:hAnsi="Calibri"/>
          <w:color w:val="4A4A4A"/>
          <w:sz w:val="20"/>
          <w:szCs w:val="20"/>
        </w:rPr>
        <w:t xml:space="preserve">Request:</w:t>
      </w:r>
    </w:p>
    <w:tbl>
      <w:tblPr>
        <w:tblW w:type="dxa" w:w="9460"/>
        <w:jc w:val="center"/>
        <w:tblBorders>
          <w:top w:val="single" w:color="auto" w:sz="4"/>
          <w:left w:val="single" w:color="auto" w:sz="4"/>
          <w:bottom w:val="single" w:color="auto" w:sz="4"/>
          <w:right w:val="single" w:color="auto" w:sz="4"/>
          <w:insideH w:val="single" w:color="auto" w:sz="4"/>
          <w:insideV w:val="single" w:color="auto" w:sz="4"/>
        </w:tblBorders>
      </w:tblPr>
      <w:tblGrid>
        <w:gridCol w:w="9460"/>
      </w:tblGrid>
      <w:tr>
        <w:tc>
          <w:tcPr>
            <w:tcW w:type="dxa" w:w="9460"/>
            <w:shd w:fill="F3F3F3" w:val="clear"/>
            <w:tcMar>
              <w:top w:type="dxa" w:w="120"/>
              <w:left w:type="dxa" w:w="100"/>
              <w:bottom w:type="dxa" w:w="120"/>
              <w:right w:type="dxa" w:w="60"/>
            </w:tcMar>
            <w:vAlign w:val="center"/>
          </w:tcPr>
          <w:p>
            <w:pPr>
              <w:spacing w:after="0"/>
            </w:pPr>
            <w:r>
              <w:rPr>
                <w:rFonts w:ascii="Aptos" w:cs="Consolas" w:eastAsia="Consolas" w:hAnsi="Aptos"/>
                <w:b/>
                <w:color w:val="152A47"/>
                <w:sz w:val="18"/>
                <w:szCs w:val="16"/>
              </w:rPr>
              <w:t xml:space="preserve">{</w:t>
            </w:r>
          </w:p>
          <w:p>
            <w:pPr>
              <w:spacing w:after="0"/>
            </w:pPr>
            <w:r>
              <w:rPr>
                <w:rFonts w:ascii="Aptos" w:cs="Consolas" w:eastAsia="Consolas" w:hAnsi="Aptos"/>
                <w:b/>
                <w:color w:val="152A47"/>
                <w:sz w:val="18"/>
                <w:szCs w:val="16"/>
              </w:rPr>
              <w:t xml:space="preserve">  "question": "string, required, max 1000 chars (Phase 19)",</w:t>
            </w:r>
          </w:p>
          <w:p>
            <w:pPr>
              <w:spacing w:after="0"/>
            </w:pPr>
            <w:r>
              <w:rPr>
                <w:rFonts w:ascii="Aptos" w:cs="Consolas" w:eastAsia="Consolas" w:hAnsi="Aptos"/>
                <w:b/>
                <w:color w:val="152A47"/>
                <w:sz w:val="18"/>
                <w:szCs w:val="16"/>
              </w:rPr>
              <w:t xml:space="preserve">  "department": "string, optional",</w:t>
            </w:r>
          </w:p>
          <w:p>
            <w:pPr>
              <w:spacing w:after="0"/>
            </w:pPr>
            <w:r>
              <w:rPr>
                <w:rFonts w:ascii="Aptos" w:cs="Consolas" w:eastAsia="Consolas" w:hAnsi="Aptos"/>
                <w:b/>
                <w:color w:val="152A47"/>
                <w:sz w:val="18"/>
                <w:szCs w:val="16"/>
              </w:rPr>
              <w:t xml:space="preserve">  "course": "string, optional",</w:t>
            </w:r>
          </w:p>
          <w:p>
            <w:pPr>
              <w:spacing w:after="0"/>
            </w:pPr>
            <w:r>
              <w:rPr>
                <w:rFonts w:ascii="Aptos" w:cs="Consolas" w:eastAsia="Consolas" w:hAnsi="Aptos"/>
                <w:b/>
                <w:color w:val="152A47"/>
                <w:sz w:val="18"/>
                <w:szCs w:val="16"/>
              </w:rPr>
              <w:t xml:space="preserve">  "stream": false</w:t>
            </w:r>
          </w:p>
          <w:p>
            <w:pPr>
              <w:spacing w:after="0"/>
            </w:pPr>
            <w:r>
              <w:rPr>
                <w:rFonts w:ascii="Aptos" w:cs="Consolas" w:eastAsia="Consolas" w:hAnsi="Aptos"/>
                <w:b/>
                <w:color w:val="152A47"/>
                <w:sz w:val="18"/>
                <w:szCs w:val="16"/>
              </w:rPr>
              <w:t xml:space="preserve">}</w:t>
            </w:r>
          </w:p>
        </w:tc>
      </w:tr>
    </w:tbl>
    <w:p>
      <w:pPr>
        <w:spacing w:after="100"/>
      </w:pPr>
    </w:p>
    <w:p>
      <w:pPr>
        <w:spacing w:after="100"/>
      </w:pPr>
      <w:r>
        <w:rPr>
          <w:rFonts w:ascii="Calibri" w:cs="Calibri" w:eastAsia="Calibri" w:hAnsi="Calibri"/>
          <w:color w:val="4A4A4A"/>
          <w:sz w:val="20"/>
          <w:szCs w:val="20"/>
        </w:rPr>
        <w:t xml:space="preserve">Response 200:</w:t>
      </w:r>
    </w:p>
    <w:tbl>
      <w:tblPr>
        <w:tblW w:type="dxa" w:w="9460"/>
        <w:jc w:val="center"/>
        <w:tblBorders>
          <w:top w:val="single" w:color="auto" w:sz="4"/>
          <w:left w:val="single" w:color="auto" w:sz="4"/>
          <w:bottom w:val="single" w:color="auto" w:sz="4"/>
          <w:right w:val="single" w:color="auto" w:sz="4"/>
          <w:insideH w:val="single" w:color="auto" w:sz="4"/>
          <w:insideV w:val="single" w:color="auto" w:sz="4"/>
        </w:tblBorders>
      </w:tblPr>
      <w:tblGrid>
        <w:gridCol w:w="9460"/>
      </w:tblGrid>
      <w:tr>
        <w:tc>
          <w:tcPr>
            <w:tcW w:type="dxa" w:w="9460"/>
            <w:shd w:fill="F3F3F3" w:val="clear"/>
            <w:tcMar>
              <w:top w:type="dxa" w:w="120"/>
              <w:left w:type="dxa" w:w="100"/>
              <w:bottom w:type="dxa" w:w="120"/>
              <w:right w:type="dxa" w:w="60"/>
            </w:tcMar>
            <w:vAlign w:val="center"/>
          </w:tcPr>
          <w:p>
            <w:pPr>
              <w:spacing w:after="0"/>
            </w:pPr>
            <w:r>
              <w:rPr>
                <w:rFonts w:ascii="Aptos" w:cs="Consolas" w:eastAsia="Consolas" w:hAnsi="Aptos"/>
                <w:b/>
                <w:color w:val="152A47"/>
                <w:sz w:val="18"/>
                <w:szCs w:val="16"/>
              </w:rPr>
              <w:t xml:space="preserve">{</w:t>
            </w:r>
          </w:p>
          <w:p>
            <w:pPr>
              <w:spacing w:after="0"/>
            </w:pPr>
            <w:r>
              <w:rPr>
                <w:rFonts w:ascii="Aptos" w:cs="Consolas" w:eastAsia="Consolas" w:hAnsi="Aptos"/>
                <w:b/>
                <w:color w:val="152A47"/>
                <w:sz w:val="18"/>
                <w:szCs w:val="16"/>
              </w:rPr>
              <w:t xml:space="preserve">  "answer": "string",</w:t>
            </w:r>
          </w:p>
          <w:p>
            <w:pPr>
              <w:spacing w:after="0"/>
            </w:pPr>
            <w:r>
              <w:rPr>
                <w:rFonts w:ascii="Aptos" w:cs="Consolas" w:eastAsia="Consolas" w:hAnsi="Aptos"/>
                <w:b/>
                <w:color w:val="152A47"/>
                <w:sz w:val="18"/>
                <w:szCs w:val="16"/>
              </w:rPr>
              <w:t xml:space="preserve">  "citations": [</w:t>
            </w:r>
          </w:p>
          <w:p>
            <w:pPr>
              <w:spacing w:after="0"/>
            </w:pPr>
            <w:r>
              <w:rPr>
                <w:rFonts w:ascii="Aptos" w:cs="Consolas" w:eastAsia="Consolas" w:hAnsi="Aptos"/>
                <w:b/>
                <w:color w:val="152A47"/>
                <w:sz w:val="18"/>
                <w:szCs w:val="16"/>
              </w:rPr>
              <w:t xml:space="preserve">    {"document_id": "uuid", "title": "string", "page_number": 12,</w:t>
            </w:r>
          </w:p>
          <w:p>
            <w:pPr>
              <w:spacing w:after="0"/>
            </w:pPr>
            <w:r>
              <w:rPr>
                <w:rFonts w:ascii="Aptos" w:cs="Consolas" w:eastAsia="Consolas" w:hAnsi="Aptos"/>
                <w:b/>
                <w:color w:val="152A47"/>
                <w:sz w:val="18"/>
                <w:szCs w:val="16"/>
              </w:rPr>
              <w:t xml:space="preserve">     "section": "string|null", "snippet": "string"}</w:t>
            </w:r>
          </w:p>
          <w:p>
            <w:pPr>
              <w:spacing w:after="0"/>
            </w:pPr>
            <w:r>
              <w:rPr>
                <w:rFonts w:ascii="Aptos" w:cs="Consolas" w:eastAsia="Consolas" w:hAnsi="Aptos"/>
                <w:b/>
                <w:color w:val="152A47"/>
                <w:sz w:val="18"/>
                <w:szCs w:val="16"/>
              </w:rPr>
              <w:t xml:space="preserve">  ],</w:t>
            </w:r>
          </w:p>
          <w:p>
            <w:pPr>
              <w:spacing w:after="0"/>
            </w:pPr>
            <w:r>
              <w:rPr>
                <w:rFonts w:ascii="Aptos" w:cs="Consolas" w:eastAsia="Consolas" w:hAnsi="Aptos"/>
                <w:b/>
                <w:color w:val="152A47"/>
                <w:sz w:val="18"/>
                <w:szCs w:val="16"/>
              </w:rPr>
              <w:t xml:space="preserve">  "served_by": "local | hosted | fallback | cache"</w:t>
            </w:r>
          </w:p>
          <w:p>
            <w:pPr>
              <w:spacing w:after="0"/>
            </w:pPr>
            <w:r>
              <w:rPr>
                <w:rFonts w:ascii="Aptos" w:cs="Consolas" w:eastAsia="Consolas" w:hAnsi="Aptos"/>
                <w:b/>
                <w:color w:val="152A47"/>
                <w:sz w:val="18"/>
                <w:szCs w:val="16"/>
              </w:rPr>
              <w:t xml:space="preserve">}</w:t>
            </w:r>
          </w:p>
        </w:tc>
      </w:tr>
    </w:tbl>
    <w:p>
      <w:pPr>
        <w:spacing w:after="100"/>
      </w:pPr>
    </w:p>
    <w:p>
      <w:pPr>
        <w:pStyle w:val="Heading2"/>
        <w:spacing w:after="100" w:before="160"/>
      </w:pPr>
      <w:r>
        <w:rPr>
          <w:rFonts w:ascii="Aptos" w:hAnsi="Aptos"/>
          <w:sz w:val="21"/>
        </w:rPr>
        <w:t>POST /v1/responses          -&gt; preferred OpenAI-compatible response interface</w:t>
        <w:br/>
        <w:t>POST /v1/chat/completions   -&gt; compatibility endpoint</w:t>
        <w:br/>
        <w:t>POST /api/v1/ask            -&gt; university endpoint: question + authorized scope -&gt; answer + verified citations</w:t>
      </w:r>
    </w:p>
    <w:p>
      <w:pPr>
        <w:spacing w:after="100"/>
      </w:pPr>
      <w:r>
        <w:rPr>
          <w:rFonts w:ascii="Calibri" w:cs="Calibri" w:eastAsia="Calibri" w:hAnsi="Calibri"/>
          <w:color w:val="4A4A4A"/>
          <w:sz w:val="20"/>
          <w:szCs w:val="20"/>
        </w:rPr>
        <w:t xml:space="preserve">Request:</w:t>
      </w:r>
    </w:p>
    <w:tbl>
      <w:tblPr>
        <w:tblW w:type="dxa" w:w="9460"/>
        <w:jc w:val="center"/>
        <w:tblBorders>
          <w:top w:val="single" w:color="auto" w:sz="4"/>
          <w:left w:val="single" w:color="auto" w:sz="4"/>
          <w:bottom w:val="single" w:color="auto" w:sz="4"/>
          <w:right w:val="single" w:color="auto" w:sz="4"/>
          <w:insideH w:val="single" w:color="auto" w:sz="4"/>
          <w:insideV w:val="single" w:color="auto" w:sz="4"/>
        </w:tblBorders>
      </w:tblPr>
      <w:tblGrid>
        <w:gridCol w:w="9460"/>
      </w:tblGrid>
      <w:tr>
        <w:tc>
          <w:tcPr>
            <w:tcW w:type="dxa" w:w="9460"/>
            <w:shd w:fill="F3F3F3" w:val="clear"/>
            <w:tcMar>
              <w:top w:type="dxa" w:w="120"/>
              <w:left w:type="dxa" w:w="100"/>
              <w:bottom w:type="dxa" w:w="120"/>
              <w:right w:type="dxa" w:w="60"/>
            </w:tcMar>
            <w:vAlign w:val="center"/>
          </w:tcPr>
          <w:p>
            <w:pPr>
              <w:spacing w:after="0"/>
            </w:pPr>
            <w:r>
              <w:rPr>
                <w:rFonts w:ascii="Aptos" w:cs="Consolas" w:eastAsia="Consolas" w:hAnsi="Aptos"/>
                <w:b/>
                <w:color w:val="152A47"/>
                <w:sz w:val="18"/>
                <w:szCs w:val="16"/>
              </w:rPr>
              <w:t xml:space="preserve">{</w:t>
            </w:r>
          </w:p>
          <w:p>
            <w:pPr>
              <w:spacing w:after="0"/>
            </w:pPr>
            <w:r>
              <w:rPr>
                <w:rFonts w:ascii="Aptos" w:cs="Consolas" w:eastAsia="Consolas" w:hAnsi="Aptos"/>
                <w:b/>
                <w:color w:val="152A47"/>
                <w:sz w:val="18"/>
                <w:szCs w:val="16"/>
              </w:rPr>
              <w:t xml:space="preserve">  "model": "university-rag",</w:t>
            </w:r>
          </w:p>
          <w:p>
            <w:pPr>
              <w:spacing w:after="0"/>
            </w:pPr>
            <w:r>
              <w:rPr>
                <w:rFonts w:ascii="Aptos" w:cs="Consolas" w:eastAsia="Consolas" w:hAnsi="Aptos"/>
                <w:b/>
                <w:color w:val="152A47"/>
                <w:sz w:val="18"/>
                <w:szCs w:val="16"/>
              </w:rPr>
              <w:t xml:space="preserve">  "messages": [{"role": "user", "content": "string"}],</w:t>
            </w:r>
          </w:p>
          <w:p>
            <w:pPr>
              <w:spacing w:after="0"/>
            </w:pPr>
            <w:r>
              <w:rPr>
                <w:rFonts w:ascii="Aptos" w:cs="Consolas" w:eastAsia="Consolas" w:hAnsi="Aptos"/>
                <w:b/>
                <w:color w:val="152A47"/>
                <w:sz w:val="18"/>
                <w:szCs w:val="16"/>
              </w:rPr>
              <w:t xml:space="preserve">  "temperature": 0.2,</w:t>
            </w:r>
          </w:p>
          <w:p>
            <w:pPr>
              <w:spacing w:after="0"/>
            </w:pPr>
            <w:r>
              <w:rPr>
                <w:rFonts w:ascii="Aptos" w:cs="Consolas" w:eastAsia="Consolas" w:hAnsi="Aptos"/>
                <w:b/>
                <w:color w:val="152A47"/>
                <w:sz w:val="18"/>
                <w:szCs w:val="16"/>
              </w:rPr>
              <w:t xml:space="preserve">  "stream": false</w:t>
            </w:r>
          </w:p>
          <w:p>
            <w:pPr>
              <w:spacing w:after="0"/>
            </w:pPr>
            <w:r>
              <w:rPr>
                <w:rFonts w:ascii="Aptos" w:cs="Consolas" w:eastAsia="Consolas" w:hAnsi="Aptos"/>
                <w:b/>
                <w:color w:val="152A47"/>
                <w:sz w:val="18"/>
                <w:szCs w:val="16"/>
              </w:rPr>
              <w:t xml:space="preserve">}</w:t>
            </w:r>
          </w:p>
        </w:tc>
      </w:tr>
    </w:tbl>
    <w:p>
      <w:pPr>
        <w:spacing w:after="100"/>
      </w:pPr>
    </w:p>
    <w:p>
      <w:pPr>
        <w:spacing w:after="100"/>
      </w:pPr>
      <w:r>
        <w:rPr>
          <w:rFonts w:ascii="Calibri" w:cs="Calibri" w:eastAsia="Calibri" w:hAnsi="Calibri"/>
          <w:color w:val="4A4A4A"/>
          <w:sz w:val="20"/>
          <w:szCs w:val="20"/>
        </w:rPr>
        <w:t xml:space="preserve">Response 200 (non-streamed):</w:t>
      </w:r>
    </w:p>
    <w:tbl>
      <w:tblPr>
        <w:tblW w:type="dxa" w:w="9460"/>
        <w:jc w:val="center"/>
        <w:tblBorders>
          <w:top w:val="single" w:color="auto" w:sz="4"/>
          <w:left w:val="single" w:color="auto" w:sz="4"/>
          <w:bottom w:val="single" w:color="auto" w:sz="4"/>
          <w:right w:val="single" w:color="auto" w:sz="4"/>
          <w:insideH w:val="single" w:color="auto" w:sz="4"/>
          <w:insideV w:val="single" w:color="auto" w:sz="4"/>
        </w:tblBorders>
      </w:tblPr>
      <w:tblGrid>
        <w:gridCol w:w="9460"/>
      </w:tblGrid>
      <w:tr>
        <w:tc>
          <w:tcPr>
            <w:tcW w:type="dxa" w:w="9460"/>
            <w:shd w:fill="F3F3F3" w:val="clear"/>
            <w:tcMar>
              <w:top w:type="dxa" w:w="120"/>
              <w:left w:type="dxa" w:w="100"/>
              <w:bottom w:type="dxa" w:w="120"/>
              <w:right w:type="dxa" w:w="60"/>
            </w:tcMar>
            <w:vAlign w:val="center"/>
          </w:tcPr>
          <w:p>
            <w:pPr>
              <w:spacing w:after="0"/>
            </w:pPr>
            <w:r>
              <w:rPr>
                <w:rFonts w:ascii="Aptos" w:cs="Consolas" w:eastAsia="Consolas" w:hAnsi="Aptos"/>
                <w:b/>
                <w:color w:val="152A47"/>
                <w:sz w:val="18"/>
                <w:szCs w:val="16"/>
              </w:rPr>
              <w:t xml:space="preserve">{</w:t>
            </w:r>
          </w:p>
          <w:p>
            <w:pPr>
              <w:spacing w:after="0"/>
            </w:pPr>
            <w:r>
              <w:rPr>
                <w:rFonts w:ascii="Aptos" w:cs="Consolas" w:eastAsia="Consolas" w:hAnsi="Aptos"/>
                <w:b/>
                <w:color w:val="152A47"/>
                <w:sz w:val="18"/>
                <w:szCs w:val="16"/>
              </w:rPr>
              <w:t xml:space="preserve">  "id": "string", "object": "chat.completion", "model": "university-rag",</w:t>
            </w:r>
          </w:p>
          <w:p>
            <w:pPr>
              <w:spacing w:after="0"/>
            </w:pPr>
            <w:r>
              <w:rPr>
                <w:rFonts w:ascii="Aptos" w:cs="Consolas" w:eastAsia="Consolas" w:hAnsi="Aptos"/>
                <w:b/>
                <w:color w:val="152A47"/>
                <w:sz w:val="18"/>
                <w:szCs w:val="16"/>
              </w:rPr>
              <w:t xml:space="preserve">  "choices": [{"index": 0,</w:t>
            </w:r>
          </w:p>
          <w:p>
            <w:pPr>
              <w:spacing w:after="0"/>
            </w:pPr>
            <w:r>
              <w:rPr>
                <w:rFonts w:ascii="Aptos" w:cs="Consolas" w:eastAsia="Consolas" w:hAnsi="Aptos"/>
                <w:b/>
                <w:color w:val="152A47"/>
                <w:sz w:val="18"/>
                <w:szCs w:val="16"/>
              </w:rPr>
              <w:t xml:space="preserve">    "message": {"role": "assistant", "content": "string"},</w:t>
            </w:r>
          </w:p>
          <w:p>
            <w:pPr>
              <w:spacing w:after="0"/>
            </w:pPr>
            <w:r>
              <w:rPr>
                <w:rFonts w:ascii="Aptos" w:cs="Consolas" w:eastAsia="Consolas" w:hAnsi="Aptos"/>
                <w:b/>
                <w:color w:val="152A47"/>
                <w:sz w:val="18"/>
                <w:szCs w:val="16"/>
              </w:rPr>
              <w:t xml:space="preserve">    "finish_reason": "stop"}]</w:t>
            </w:r>
          </w:p>
          <w:p>
            <w:pPr>
              <w:spacing w:after="0"/>
            </w:pPr>
            <w:r>
              <w:rPr>
                <w:rFonts w:ascii="Aptos" w:cs="Consolas" w:eastAsia="Consolas" w:hAnsi="Aptos"/>
                <w:b/>
                <w:color w:val="152A47"/>
                <w:sz w:val="18"/>
                <w:szCs w:val="16"/>
              </w:rPr>
              <w:t xml:space="preserve">}</w:t>
            </w:r>
          </w:p>
        </w:tc>
      </w:tr>
    </w:tbl>
    <w:p>
      <w:pPr>
        <w:spacing w:after="100"/>
      </w:pPr>
    </w:p>
    <w:p>
      <w:pPr>
        <w:spacing w:after="100"/>
      </w:pPr>
      <w:r>
        <w:rPr>
          <w:rFonts w:ascii="Calibri" w:cs="Calibri" w:eastAsia="Calibri" w:hAnsi="Calibri"/>
          <w:color w:val="4A4A4A"/>
          <w:sz w:val="20"/>
          <w:szCs w:val="20"/>
        </w:rPr>
        <w:t xml:space="preserve">When stream: true, respond with Server-Sent Events shaped like OpenAI's chat.completion.chunk — this is what lets existing OpenAI-client tooling work against this endpoint unmodified.</w:t>
      </w:r>
    </w:p>
    <w:p>
      <w:pPr>
        <w:pStyle w:val="Heading2"/>
        <w:spacing w:after="100" w:before="160"/>
      </w:pPr>
      <w:r>
        <w:rPr>
          <w:rFonts w:ascii="Calibri" w:cs="Calibri" w:eastAsia="Calibri" w:hAnsi="Calibri"/>
          <w:b/>
          <w:bCs/>
          <w:color w:val="2E6DA4"/>
          <w:sz w:val="24"/>
          <w:szCs w:val="24"/>
        </w:rPr>
        <w:t xml:space="preserve">POST /sources/folder</w:t>
      </w:r>
    </w:p>
    <w:p>
      <w:pPr>
        <w:spacing w:after="100"/>
      </w:pPr>
      <w:r>
        <w:rPr>
          <w:rFonts w:ascii="Calibri" w:cs="Calibri" w:eastAsia="Calibri" w:hAnsi="Calibri"/>
          <w:color w:val="4A4A4A"/>
          <w:sz w:val="20"/>
          <w:szCs w:val="20"/>
        </w:rPr>
        <w:t xml:space="preserve">Request:</w:t>
      </w:r>
    </w:p>
    <w:tbl>
      <w:tblPr>
        <w:tblW w:type="dxa" w:w="9460"/>
        <w:jc w:val="center"/>
        <w:tblBorders>
          <w:top w:val="single" w:color="auto" w:sz="4"/>
          <w:left w:val="single" w:color="auto" w:sz="4"/>
          <w:bottom w:val="single" w:color="auto" w:sz="4"/>
          <w:right w:val="single" w:color="auto" w:sz="4"/>
          <w:insideH w:val="single" w:color="auto" w:sz="4"/>
          <w:insideV w:val="single" w:color="auto" w:sz="4"/>
        </w:tblBorders>
      </w:tblPr>
      <w:tblGrid>
        <w:gridCol w:w="9460"/>
      </w:tblGrid>
      <w:tr>
        <w:tc>
          <w:tcPr>
            <w:tcW w:type="dxa" w:w="9460"/>
            <w:shd w:fill="F3F3F3" w:val="clear"/>
            <w:tcMar>
              <w:top w:type="dxa" w:w="120"/>
              <w:left w:type="dxa" w:w="100"/>
              <w:bottom w:type="dxa" w:w="120"/>
              <w:right w:type="dxa" w:w="60"/>
            </w:tcMar>
            <w:vAlign w:val="center"/>
          </w:tcPr>
          <w:p>
            <w:pPr>
              <w:spacing w:after="0"/>
            </w:pPr>
            <w:r>
              <w:rPr>
                <w:rFonts w:ascii="Aptos" w:cs="Consolas" w:eastAsia="Consolas" w:hAnsi="Aptos"/>
                <w:b/>
                <w:color w:val="152A47"/>
                <w:sz w:val="18"/>
                <w:szCs w:val="16"/>
              </w:rPr>
              <w:t xml:space="preserve">{</w:t>
            </w:r>
          </w:p>
          <w:p>
            <w:pPr>
              <w:spacing w:after="0"/>
            </w:pPr>
            <w:r>
              <w:rPr>
                <w:rFonts w:ascii="Aptos" w:cs="Consolas" w:eastAsia="Consolas" w:hAnsi="Aptos"/>
                <w:b/>
                <w:color w:val="152A47"/>
                <w:sz w:val="18"/>
                <w:szCs w:val="16"/>
              </w:rPr>
              <w:t xml:space="preserve">  "path": "string, required - absolute or mounted network path",</w:t>
            </w:r>
          </w:p>
          <w:p>
            <w:pPr>
              <w:spacing w:after="0"/>
            </w:pPr>
            <w:r>
              <w:rPr>
                <w:rFonts w:ascii="Aptos" w:cs="Consolas" w:eastAsia="Consolas" w:hAnsi="Aptos"/>
                <w:b/>
                <w:color w:val="152A47"/>
                <w:sz w:val="18"/>
                <w:szCs w:val="16"/>
              </w:rPr>
              <w:t xml:space="preserve">  "department": "string, optional", "semester": "string, optional",</w:t>
            </w:r>
          </w:p>
          <w:p>
            <w:pPr>
              <w:spacing w:after="0"/>
            </w:pPr>
            <w:r>
              <w:rPr>
                <w:rFonts w:ascii="Aptos" w:cs="Consolas" w:eastAsia="Consolas" w:hAnsi="Aptos"/>
                <w:b/>
                <w:color w:val="152A47"/>
                <w:sz w:val="18"/>
                <w:szCs w:val="16"/>
              </w:rPr>
              <w:t xml:space="preserve">  "course": "string, optional"</w:t>
            </w:r>
          </w:p>
          <w:p>
            <w:pPr>
              <w:spacing w:after="0"/>
            </w:pPr>
            <w:r>
              <w:rPr>
                <w:rFonts w:ascii="Aptos" w:cs="Consolas" w:eastAsia="Consolas" w:hAnsi="Aptos"/>
                <w:b/>
                <w:color w:val="152A47"/>
                <w:sz w:val="18"/>
                <w:szCs w:val="16"/>
              </w:rPr>
              <w:t xml:space="preserve">}</w:t>
            </w:r>
          </w:p>
        </w:tc>
      </w:tr>
    </w:tbl>
    <w:p>
      <w:pPr>
        <w:spacing w:after="100"/>
      </w:pPr>
    </w:p>
    <w:p>
      <w:pPr>
        <w:spacing w:after="100"/>
      </w:pPr>
      <w:r>
        <w:rPr>
          <w:rFonts w:ascii="Calibri" w:cs="Calibri" w:eastAsia="Calibri" w:hAnsi="Calibri"/>
          <w:color w:val="4A4A4A"/>
          <w:sz w:val="20"/>
          <w:szCs w:val="20"/>
        </w:rPr>
        <w:t xml:space="preserve">Response 201:</w:t>
      </w:r>
    </w:p>
    <w:tbl>
      <w:tblPr>
        <w:tblW w:type="dxa" w:w="9460"/>
        <w:jc w:val="center"/>
        <w:tblBorders>
          <w:top w:val="single" w:color="auto" w:sz="4"/>
          <w:left w:val="single" w:color="auto" w:sz="4"/>
          <w:bottom w:val="single" w:color="auto" w:sz="4"/>
          <w:right w:val="single" w:color="auto" w:sz="4"/>
          <w:insideH w:val="single" w:color="auto" w:sz="4"/>
          <w:insideV w:val="single" w:color="auto" w:sz="4"/>
        </w:tblBorders>
      </w:tblPr>
      <w:tblGrid>
        <w:gridCol w:w="9460"/>
      </w:tblGrid>
      <w:tr>
        <w:tc>
          <w:tcPr>
            <w:tcW w:type="dxa" w:w="9460"/>
            <w:shd w:fill="F3F3F3" w:val="clear"/>
            <w:tcMar>
              <w:top w:type="dxa" w:w="120"/>
              <w:left w:type="dxa" w:w="100"/>
              <w:bottom w:type="dxa" w:w="120"/>
              <w:right w:type="dxa" w:w="60"/>
            </w:tcMar>
            <w:vAlign w:val="center"/>
          </w:tcPr>
          <w:p>
            <w:pPr>
              <w:spacing w:after="0"/>
            </w:pPr>
            <w:r>
              <w:rPr>
                <w:rFonts w:ascii="Aptos" w:cs="Consolas" w:eastAsia="Consolas" w:hAnsi="Aptos"/>
                <w:b/>
                <w:color w:val="152A47"/>
                <w:sz w:val="18"/>
                <w:szCs w:val="16"/>
              </w:rPr>
              <w:t xml:space="preserve">{</w:t>
            </w:r>
          </w:p>
          <w:p>
            <w:pPr>
              <w:spacing w:after="0"/>
            </w:pPr>
            <w:r>
              <w:rPr>
                <w:rFonts w:ascii="Aptos" w:cs="Consolas" w:eastAsia="Consolas" w:hAnsi="Aptos"/>
                <w:b/>
                <w:color w:val="152A47"/>
                <w:sz w:val="18"/>
                <w:szCs w:val="16"/>
              </w:rPr>
              <w:t xml:space="preserve">  "id": "uuid", "path": "string",</w:t>
            </w:r>
          </w:p>
          <w:p>
            <w:pPr>
              <w:spacing w:after="0"/>
            </w:pPr>
            <w:r>
              <w:rPr>
                <w:rFonts w:ascii="Aptos" w:cs="Consolas" w:eastAsia="Consolas" w:hAnsi="Aptos"/>
                <w:b/>
                <w:color w:val="152A47"/>
                <w:sz w:val="18"/>
                <w:szCs w:val="16"/>
              </w:rPr>
              <w:t xml:space="preserve">  "message": "Folder registered; initial scan queued."</w:t>
            </w:r>
          </w:p>
          <w:p>
            <w:pPr>
              <w:spacing w:after="0"/>
            </w:pPr>
            <w:r>
              <w:rPr>
                <w:rFonts w:ascii="Aptos" w:cs="Consolas" w:eastAsia="Consolas" w:hAnsi="Aptos"/>
                <w:b/>
                <w:color w:val="152A47"/>
                <w:sz w:val="18"/>
                <w:szCs w:val="16"/>
              </w:rPr>
              <w:t xml:space="preserve">}</w:t>
            </w:r>
          </w:p>
        </w:tc>
      </w:tr>
    </w:tbl>
    <w:p>
      <w:pPr>
        <w:spacing w:after="100"/>
      </w:pPr>
    </w:p>
    <w:p>
      <w:pPr>
        <w:pStyle w:val="Heading2"/>
        <w:spacing w:after="100" w:before="160"/>
      </w:pPr>
      <w:r>
        <w:rPr>
          <w:rFonts w:ascii="Calibri" w:cs="Calibri" w:eastAsia="Calibri" w:hAnsi="Calibri"/>
          <w:b/>
          <w:bCs/>
          <w:color w:val="2E6DA4"/>
          <w:sz w:val="24"/>
          <w:szCs w:val="24"/>
        </w:rPr>
        <w:t xml:space="preserve">POST /documents (multipart/form-data, not JSON)</w:t>
      </w:r>
    </w:p>
    <w:p>
      <w:pPr>
        <w:spacing w:after="100"/>
      </w:pPr>
      <w:r>
        <w:rPr>
          <w:rFonts w:ascii="Calibri" w:cs="Calibri" w:eastAsia="Calibri" w:hAnsi="Calibri"/>
          <w:color w:val="4A4A4A"/>
          <w:sz w:val="20"/>
          <w:szCs w:val="20"/>
        </w:rPr>
        <w:t xml:space="preserve">Fields: file (binary, required), department, course, semester (all optional form fields).</w:t>
      </w:r>
    </w:p>
    <w:p>
      <w:pPr>
        <w:spacing w:after="100"/>
      </w:pPr>
      <w:r>
        <w:rPr>
          <w:rFonts w:ascii="Calibri" w:cs="Calibri" w:eastAsia="Calibri" w:hAnsi="Calibri"/>
          <w:color w:val="4A4A4A"/>
          <w:sz w:val="20"/>
          <w:szCs w:val="20"/>
        </w:rPr>
        <w:t xml:space="preserve">Response 202 (ingestion is async — this is a queued acknowledgement, not a finished result):</w:t>
      </w:r>
    </w:p>
    <w:tbl>
      <w:tblPr>
        <w:tblW w:type="dxa" w:w="9460"/>
        <w:jc w:val="center"/>
        <w:tblBorders>
          <w:top w:val="single" w:color="auto" w:sz="4"/>
          <w:left w:val="single" w:color="auto" w:sz="4"/>
          <w:bottom w:val="single" w:color="auto" w:sz="4"/>
          <w:right w:val="single" w:color="auto" w:sz="4"/>
          <w:insideH w:val="single" w:color="auto" w:sz="4"/>
          <w:insideV w:val="single" w:color="auto" w:sz="4"/>
        </w:tblBorders>
      </w:tblPr>
      <w:tblGrid>
        <w:gridCol w:w="9460"/>
      </w:tblGrid>
      <w:tr>
        <w:tc>
          <w:tcPr>
            <w:tcW w:type="dxa" w:w="9460"/>
            <w:shd w:fill="F3F3F3" w:val="clear"/>
            <w:tcMar>
              <w:top w:type="dxa" w:w="120"/>
              <w:left w:type="dxa" w:w="100"/>
              <w:bottom w:type="dxa" w:w="120"/>
              <w:right w:type="dxa" w:w="60"/>
            </w:tcMar>
            <w:vAlign w:val="center"/>
          </w:tcPr>
          <w:p>
            <w:pPr>
              <w:spacing w:after="0"/>
            </w:pPr>
            <w:r>
              <w:rPr>
                <w:rFonts w:ascii="Aptos" w:cs="Consolas" w:eastAsia="Consolas" w:hAnsi="Aptos"/>
                <w:b/>
                <w:color w:val="152A47"/>
                <w:sz w:val="18"/>
                <w:szCs w:val="16"/>
              </w:rPr>
              <w:t xml:space="preserve">{</w:t>
            </w:r>
          </w:p>
          <w:p>
            <w:pPr>
              <w:spacing w:after="0"/>
            </w:pPr>
            <w:r>
              <w:rPr>
                <w:rFonts w:ascii="Aptos" w:cs="Consolas" w:eastAsia="Consolas" w:hAnsi="Aptos"/>
                <w:b/>
                <w:color w:val="152A47"/>
                <w:sz w:val="18"/>
                <w:szCs w:val="16"/>
              </w:rPr>
              <w:t xml:space="preserve">  "document_id": "uuid", "title": "string", "status": "queued"</w:t>
            </w:r>
          </w:p>
          <w:p>
            <w:pPr>
              <w:spacing w:after="0"/>
            </w:pPr>
            <w:r>
              <w:rPr>
                <w:rFonts w:ascii="Aptos" w:cs="Consolas" w:eastAsia="Consolas" w:hAnsi="Aptos"/>
                <w:b/>
                <w:color w:val="152A47"/>
                <w:sz w:val="18"/>
                <w:szCs w:val="16"/>
              </w:rPr>
              <w:t xml:space="preserve">}</w:t>
            </w:r>
          </w:p>
        </w:tc>
      </w:tr>
    </w:tbl>
    <w:p>
      <w:pPr>
        <w:spacing w:after="100"/>
      </w:pPr>
    </w:p>
    <w:p>
      <w:pPr>
        <w:pStyle w:val="Heading2"/>
        <w:spacing w:after="100" w:before="160"/>
      </w:pPr>
      <w:r>
        <w:rPr>
          <w:rFonts w:ascii="Calibri" w:cs="Calibri" w:eastAsia="Calibri" w:hAnsi="Calibri"/>
          <w:b/>
          <w:bCs/>
          <w:color w:val="2E6DA4"/>
          <w:sz w:val="24"/>
          <w:szCs w:val="24"/>
        </w:rPr>
        <w:t xml:space="preserve">GET /health &amp; GET /metrics</w:t>
      </w:r>
    </w:p>
    <w:p>
      <w:pPr>
        <w:spacing w:after="100"/>
      </w:pPr>
      <w:r>
        <w:rPr>
          <w:rFonts w:ascii="Calibri" w:cs="Calibri" w:eastAsia="Calibri" w:hAnsi="Calibri"/>
          <w:color w:val="4A4A4A"/>
          <w:sz w:val="20"/>
          <w:szCs w:val="20"/>
        </w:rPr>
        <w:t xml:space="preserve">Health response 200:</w:t>
      </w:r>
    </w:p>
    <w:tbl>
      <w:tblPr>
        <w:tblW w:type="dxa" w:w="9460"/>
        <w:jc w:val="center"/>
        <w:tblBorders>
          <w:top w:val="single" w:color="auto" w:sz="4"/>
          <w:left w:val="single" w:color="auto" w:sz="4"/>
          <w:bottom w:val="single" w:color="auto" w:sz="4"/>
          <w:right w:val="single" w:color="auto" w:sz="4"/>
          <w:insideH w:val="single" w:color="auto" w:sz="4"/>
          <w:insideV w:val="single" w:color="auto" w:sz="4"/>
        </w:tblBorders>
      </w:tblPr>
      <w:tblGrid>
        <w:gridCol w:w="9460"/>
      </w:tblGrid>
      <w:tr>
        <w:tc>
          <w:tcPr>
            <w:tcW w:type="dxa" w:w="9460"/>
            <w:shd w:fill="F3F3F3" w:val="clear"/>
            <w:tcMar>
              <w:top w:type="dxa" w:w="120"/>
              <w:left w:type="dxa" w:w="100"/>
              <w:bottom w:type="dxa" w:w="120"/>
              <w:right w:type="dxa" w:w="60"/>
            </w:tcMar>
            <w:vAlign w:val="center"/>
          </w:tcPr>
          <w:p>
            <w:pPr>
              <w:spacing w:after="0"/>
            </w:pPr>
            <w:r>
              <w:rPr>
                <w:rFonts w:ascii="Aptos" w:cs="Consolas" w:eastAsia="Consolas" w:hAnsi="Aptos"/>
                <w:b/>
                <w:color w:val="152A47"/>
                <w:sz w:val="18"/>
                <w:szCs w:val="16"/>
              </w:rPr>
              <w:t xml:space="preserve">{</w:t>
            </w:r>
          </w:p>
          <w:p>
            <w:pPr>
              <w:spacing w:after="0"/>
            </w:pPr>
            <w:r>
              <w:rPr>
                <w:rFonts w:ascii="Aptos" w:cs="Consolas" w:eastAsia="Consolas" w:hAnsi="Aptos"/>
                <w:b/>
                <w:color w:val="152A47"/>
                <w:sz w:val="18"/>
                <w:szCs w:val="16"/>
              </w:rPr>
              <w:t xml:space="preserve">  "status": "ok", "database": true, "vector_store": true,</w:t>
            </w:r>
          </w:p>
          <w:p>
            <w:pPr>
              <w:spacing w:after="0"/>
            </w:pPr>
            <w:r>
              <w:rPr>
                <w:rFonts w:ascii="Aptos" w:cs="Consolas" w:eastAsia="Consolas" w:hAnsi="Aptos"/>
                <w:b/>
                <w:color w:val="152A47"/>
                <w:sz w:val="18"/>
                <w:szCs w:val="16"/>
              </w:rPr>
              <w:t xml:space="preserve">  "llm_backend": "local", "documents_indexed": 48213</w:t>
            </w:r>
          </w:p>
          <w:p>
            <w:pPr>
              <w:spacing w:after="0"/>
            </w:pPr>
            <w:r>
              <w:rPr>
                <w:rFonts w:ascii="Aptos" w:cs="Consolas" w:eastAsia="Consolas" w:hAnsi="Aptos"/>
                <w:b/>
                <w:color w:val="152A47"/>
                <w:sz w:val="18"/>
                <w:szCs w:val="16"/>
              </w:rPr>
              <w:t xml:space="preserve">}</w:t>
            </w:r>
          </w:p>
        </w:tc>
      </w:tr>
    </w:tbl>
    <w:p>
      <w:pPr>
        <w:spacing w:after="100"/>
      </w:pPr>
    </w:p>
    <w:p>
      <w:pPr>
        <w:spacing w:after="100"/>
      </w:pPr>
      <w:r>
        <w:rPr>
          <w:rFonts w:ascii="Calibri" w:cs="Calibri" w:eastAsia="Calibri" w:hAnsi="Calibri"/>
          <w:color w:val="4A4A4A"/>
          <w:sz w:val="20"/>
          <w:szCs w:val="20"/>
        </w:rPr>
        <w:t xml:space="preserve">/metrics returns Prometheus text-exposition format, not JSON — it's scraped by Phase 12's Prometheus instance, not read by a client directly.</w:t>
      </w: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This is the literal contract to build against — request shape, response shape, and error shape, for every route this plan defines.</w:t>
      </w:r>
    </w:p>
    <w:p>
      <w:pPr>
        <w:spacing w:after="100"/>
      </w:pPr>
      <w:r>
        <w:br w:type="page"/>
      </w:r>
    </w:p>
    <w:p>
      <w:pPr>
        <w:pStyle w:val="Heading1"/>
        <w:pBdr>
          <w:bottom w:val="single" w:color="2E6DA4" w:sz="8" w:space="4"/>
        </w:pBdr>
        <w:spacing w:after="100" w:before="120"/>
      </w:pPr>
      <w:r>
        <w:rPr>
          <w:rFonts w:ascii="Calibri" w:cs="Calibri" w:eastAsia="Calibri" w:hAnsi="Calibri"/>
          <w:b/>
          <w:bCs/>
          <w:color w:val="152A47"/>
          <w:sz w:val="32"/>
          <w:szCs w:val="32"/>
        </w:rPr>
        <w:t xml:space="preserve">31. Appendix C: Configuration Reference</w:t>
      </w:r>
    </w:p>
    <w:p>
      <w:pPr>
        <w:spacing w:after="100"/>
      </w:pPr>
      <w:r>
        <w:rPr>
          <w:rFonts w:ascii="Calibri" w:cs="Calibri" w:eastAsia="Calibri" w:hAnsi="Calibri"/>
          <w:color w:val="4A4A4A"/>
          <w:sz w:val="20"/>
          <w:szCs w:val="20"/>
        </w:rPr>
        <w:t xml:space="preserve">Every setting mentioned anywhere in this plan, consolidated into one authoritative source — enough to generate a working .env file directly. Treat the defaults as reasonable starting points, not fixed commitments; tune them against your own load test (Phase 14).</w:t>
      </w:r>
    </w:p>
    <w:p>
      <w:pPr>
        <w:pStyle w:val="Heading2"/>
        <w:spacing w:after="100" w:before="160"/>
      </w:pPr>
      <w:r>
        <w:rPr>
          <w:rFonts w:ascii="Calibri" w:cs="Calibri" w:eastAsia="Calibri" w:hAnsi="Calibri"/>
          <w:b/>
          <w:bCs/>
          <w:color w:val="2E6DA4"/>
          <w:sz w:val="24"/>
          <w:szCs w:val="24"/>
        </w:rPr>
        <w:t xml:space="preserve">Core &amp; auth</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888"/>
        <w:gridCol w:w="1872"/>
        <w:gridCol w:w="3600"/>
      </w:tblGrid>
      <w:tr>
        <w:trPr>
          <w:tblHeader/>
        </w:trPr>
        <w:tc>
          <w:tcPr>
            <w:tcW w:type="dxa" w:w="3888"/>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Setting</w:t>
            </w:r>
          </w:p>
        </w:tc>
        <w:tc>
          <w:tcPr>
            <w:tcW w:type="dxa" w:w="1872"/>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Default</w:t>
            </w:r>
          </w:p>
        </w:tc>
        <w:tc>
          <w:tcPr>
            <w:tcW w:type="dxa" w:w="3600"/>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Description</w:t>
            </w:r>
          </w:p>
        </w:tc>
      </w:tr>
      <w:tr>
        <w:tc>
          <w:tcPr>
            <w:tcW w:type="dxa" w:w="3888"/>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API_KEY</w:t>
            </w:r>
          </w:p>
        </w:tc>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(required, no default)</w:t>
            </w:r>
          </w:p>
        </w:tc>
        <w:tc>
          <w:tcPr>
            <w:tcW w:type="dxa" w:w="360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Static key for service-to-service calls (Phase 6)</w:t>
            </w:r>
          </w:p>
        </w:tc>
      </w:tr>
      <w:tr>
        <w:tc>
          <w:tcPr>
            <w:tcW w:type="dxa" w:w="3888"/>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JWT_SIGNING_KEY</w:t>
            </w:r>
          </w:p>
        </w:tc>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(required, no default)</w:t>
            </w:r>
          </w:p>
        </w:tc>
        <w:tc>
          <w:tcPr>
            <w:tcW w:type="dxa" w:w="360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Signs/verifies student and staff access tokens</w:t>
            </w:r>
          </w:p>
        </w:tc>
      </w:tr>
      <w:tr>
        <w:tc>
          <w:tcPr>
            <w:tcW w:type="dxa" w:w="3888"/>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JWT_ACCESS_TOKEN_TTL_MINUTES</w:t>
            </w:r>
          </w:p>
        </w:tc>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15</w:t>
            </w:r>
          </w:p>
        </w:tc>
        <w:tc>
          <w:tcPr>
            <w:tcW w:type="dxa" w:w="360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Short-lived by design (Phase 19)</w:t>
            </w:r>
          </w:p>
        </w:tc>
      </w:tr>
      <w:tr>
        <w:tc>
          <w:tcPr>
            <w:tcW w:type="dxa" w:w="3888"/>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JWT_REFRESH_TOKEN_TTL_DAYS</w:t>
            </w:r>
          </w:p>
        </w:tc>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30</w:t>
            </w:r>
          </w:p>
        </w:tc>
        <w:tc>
          <w:tcPr>
            <w:tcW w:type="dxa" w:w="360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Subject to the revocation list (Phase 11)</w:t>
            </w:r>
          </w:p>
        </w:tc>
      </w:tr>
    </w:tbl>
    <w:p>
      <w:pPr>
        <w:spacing w:after="100"/>
      </w:pPr>
    </w:p>
    <w:p>
      <w:pPr>
        <w:pStyle w:val="Heading2"/>
        <w:spacing w:after="100" w:before="160"/>
      </w:pPr>
      <w:r>
        <w:rPr>
          <w:rFonts w:ascii="Calibri" w:cs="Calibri" w:eastAsia="Calibri" w:hAnsi="Calibri"/>
          <w:b/>
          <w:bCs/>
          <w:color w:val="2E6DA4"/>
          <w:sz w:val="24"/>
          <w:szCs w:val="24"/>
        </w:rPr>
        <w:t xml:space="preserve">Database &amp; storage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888"/>
        <w:gridCol w:w="1872"/>
        <w:gridCol w:w="3600"/>
      </w:tblGrid>
      <w:tr>
        <w:trPr>
          <w:tblHeader/>
        </w:trPr>
        <w:tc>
          <w:tcPr>
            <w:tcW w:type="dxa" w:w="3888"/>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Setting</w:t>
            </w:r>
          </w:p>
        </w:tc>
        <w:tc>
          <w:tcPr>
            <w:tcW w:type="dxa" w:w="1872"/>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Default</w:t>
            </w:r>
          </w:p>
        </w:tc>
        <w:tc>
          <w:tcPr>
            <w:tcW w:type="dxa" w:w="3600"/>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Description</w:t>
            </w:r>
          </w:p>
        </w:tc>
      </w:tr>
      <w:tr>
        <w:tc>
          <w:tcPr>
            <w:tcW w:type="dxa" w:w="3888"/>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DATABASE_URL</w:t>
            </w:r>
          </w:p>
        </w:tc>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sqlite:///./university_rag.db</w:t>
            </w:r>
          </w:p>
        </w:tc>
        <w:tc>
          <w:tcPr>
            <w:tcW w:type="dxa" w:w="360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Postgres in production (Phase 3)</w:t>
            </w:r>
          </w:p>
        </w:tc>
      </w:tr>
      <w:tr>
        <w:tc>
          <w:tcPr>
            <w:tcW w:type="dxa" w:w="3888"/>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VECTOR_STORE_HOST / PORT</w:t>
            </w:r>
          </w:p>
        </w:tc>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(required)</w:t>
            </w:r>
          </w:p>
        </w:tc>
        <w:tc>
          <w:tcPr>
            <w:tcW w:type="dxa" w:w="360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Qdrant/Milvus connection (Phase 3)</w:t>
            </w:r>
          </w:p>
        </w:tc>
      </w:tr>
      <w:tr>
        <w:tc>
          <w:tcPr>
            <w:tcW w:type="dxa" w:w="3888"/>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OBJECT_STORAGE_ENDPOINT</w:t>
            </w:r>
          </w:p>
        </w:tc>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(required)</w:t>
            </w:r>
          </w:p>
        </w:tc>
        <w:tc>
          <w:tcPr>
            <w:tcW w:type="dxa" w:w="360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S3-compatible/MinIO endpoint for originals (Phase 1)</w:t>
            </w:r>
          </w:p>
        </w:tc>
      </w:tr>
      <w:tr>
        <w:tc>
          <w:tcPr>
            <w:tcW w:type="dxa" w:w="3888"/>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REDIS_URL</w:t>
            </w:r>
          </w:p>
        </w:tc>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redis://localhost:6379/0</w:t>
            </w:r>
          </w:p>
        </w:tc>
        <w:tc>
          <w:tcPr>
            <w:tcW w:type="dxa" w:w="360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Cache, rate limiting, session state (Phase 7)</w:t>
            </w:r>
          </w:p>
        </w:tc>
      </w:tr>
    </w:tbl>
    <w:p>
      <w:pPr>
        <w:spacing w:after="100"/>
      </w:pPr>
    </w:p>
    <w:p>
      <w:pPr>
        <w:pStyle w:val="Heading2"/>
        <w:spacing w:after="100" w:before="160"/>
      </w:pPr>
      <w:r>
        <w:rPr>
          <w:rFonts w:ascii="Calibri" w:cs="Calibri" w:eastAsia="Calibri" w:hAnsi="Calibri"/>
          <w:b/>
          <w:bCs/>
          <w:color w:val="2E6DA4"/>
          <w:sz w:val="24"/>
          <w:szCs w:val="24"/>
        </w:rPr>
        <w:t xml:space="preserve">Folder watcher &amp; ingestion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888"/>
        <w:gridCol w:w="1872"/>
        <w:gridCol w:w="3600"/>
      </w:tblGrid>
      <w:tr>
        <w:trPr>
          <w:tblHeader/>
        </w:trPr>
        <w:tc>
          <w:tcPr>
            <w:tcW w:type="dxa" w:w="3888"/>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Setting</w:t>
            </w:r>
          </w:p>
        </w:tc>
        <w:tc>
          <w:tcPr>
            <w:tcW w:type="dxa" w:w="1872"/>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Default</w:t>
            </w:r>
          </w:p>
        </w:tc>
        <w:tc>
          <w:tcPr>
            <w:tcW w:type="dxa" w:w="3600"/>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Description</w:t>
            </w:r>
          </w:p>
        </w:tc>
      </w:tr>
      <w:tr>
        <w:tc>
          <w:tcPr>
            <w:tcW w:type="dxa" w:w="3888"/>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WATCHED_FOLDERS</w:t>
            </w:r>
          </w:p>
        </w:tc>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(empty — register via API)</w:t>
            </w:r>
          </w:p>
        </w:tc>
        <w:tc>
          <w:tcPr>
            <w:tcW w:type="dxa" w:w="360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Comma-separated startup folders (Phase 1)</w:t>
            </w:r>
          </w:p>
        </w:tc>
      </w:tr>
      <w:tr>
        <w:tc>
          <w:tcPr>
            <w:tcW w:type="dxa" w:w="3888"/>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RESCAN_INTERVAL_SECONDS</w:t>
            </w:r>
          </w:p>
        </w:tc>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900</w:t>
            </w:r>
          </w:p>
        </w:tc>
        <w:tc>
          <w:tcPr>
            <w:tcW w:type="dxa" w:w="360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Periodic full re-scan safety net (Phase 1)</w:t>
            </w:r>
          </w:p>
        </w:tc>
      </w:tr>
      <w:tr>
        <w:tc>
          <w:tcPr>
            <w:tcW w:type="dxa" w:w="3888"/>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MAX_CONCURRENT_INGESTION_JOBS</w:t>
            </w:r>
          </w:p>
        </w:tc>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10</w:t>
            </w:r>
          </w:p>
        </w:tc>
        <w:tc>
          <w:tcPr>
            <w:tcW w:type="dxa" w:w="360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Backpressure cap so bulk ingestion can't starve GPU workers (Phase 8)</w:t>
            </w:r>
          </w:p>
        </w:tc>
      </w:tr>
      <w:tr>
        <w:tc>
          <w:tcPr>
            <w:tcW w:type="dxa" w:w="3888"/>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MAX_UPLOAD_SIZE_MB</w:t>
            </w:r>
          </w:p>
        </w:tc>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100</w:t>
            </w:r>
          </w:p>
        </w:tc>
        <w:tc>
          <w:tcPr>
            <w:tcW w:type="dxa" w:w="360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Cap on manual /documents upload (Phase 19)</w:t>
            </w:r>
          </w:p>
        </w:tc>
      </w:tr>
    </w:tbl>
    <w:p>
      <w:pPr>
        <w:spacing w:after="100"/>
      </w:pPr>
    </w:p>
    <w:p>
      <w:pPr>
        <w:pStyle w:val="Heading2"/>
        <w:spacing w:after="100" w:before="160"/>
      </w:pPr>
      <w:r>
        <w:rPr>
          <w:rFonts w:ascii="Calibri" w:cs="Calibri" w:eastAsia="Calibri" w:hAnsi="Calibri"/>
          <w:b/>
          <w:bCs/>
          <w:color w:val="2E6DA4"/>
          <w:sz w:val="24"/>
          <w:szCs w:val="24"/>
        </w:rPr>
        <w:t xml:space="preserve">LLM router (Phase 5)</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888"/>
        <w:gridCol w:w="1872"/>
        <w:gridCol w:w="3600"/>
      </w:tblGrid>
      <w:tr>
        <w:trPr>
          <w:tblHeader/>
        </w:trPr>
        <w:tc>
          <w:tcPr>
            <w:tcW w:type="dxa" w:w="3888"/>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Setting</w:t>
            </w:r>
          </w:p>
        </w:tc>
        <w:tc>
          <w:tcPr>
            <w:tcW w:type="dxa" w:w="1872"/>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Default</w:t>
            </w:r>
          </w:p>
        </w:tc>
        <w:tc>
          <w:tcPr>
            <w:tcW w:type="dxa" w:w="3600"/>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Description</w:t>
            </w:r>
          </w:p>
        </w:tc>
      </w:tr>
      <w:tr>
        <w:tc>
          <w:tcPr>
            <w:tcW w:type="dxa" w:w="3888"/>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OLLAMA_HOST</w:t>
            </w:r>
          </w:p>
        </w:tc>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http://localhost:11434</w:t>
            </w:r>
          </w:p>
        </w:tc>
        <w:tc>
          <w:tcPr>
            <w:tcW w:type="dxa" w:w="360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
            </w:r>
          </w:p>
        </w:tc>
      </w:tr>
      <w:tr>
        <w:tc>
          <w:tcPr>
            <w:tcW w:type="dxa" w:w="3888"/>
            <w:shd w:fill="F7FAFC" w:val="clear"/>
            <w:tcMar>
              <w:top w:type="dxa" w:w="60"/>
              <w:left w:type="dxa" w:w="100"/>
              <w:bottom w:type="dxa" w:w="60"/>
              <w:right w:type="dxa" w:w="100"/>
            </w:tcMar>
            <w:vAlign w:val="center"/>
          </w:tcPr>
          <w:p>
            <w:r>
              <w:rPr>
                <w:rFonts w:ascii="Aptos" w:hAnsi="Aptos"/>
                <w:sz w:val="18"/>
              </w:rPr>
              <w:t>CHAT_MODEL_ALIAS</w:t>
            </w:r>
          </w:p>
        </w:tc>
        <w:tc>
          <w:tcPr>
            <w:tcW w:type="dxa" w:w="1872"/>
            <w:shd w:fill="F7FAFC" w:val="clear"/>
            <w:tcMar>
              <w:top w:type="dxa" w:w="60"/>
              <w:left w:type="dxa" w:w="100"/>
              <w:bottom w:type="dxa" w:w="60"/>
              <w:right w:type="dxa" w:w="100"/>
            </w:tcMar>
            <w:vAlign w:val="center"/>
          </w:tcPr>
          <w:p>
            <w:r>
              <w:rPr>
                <w:rFonts w:ascii="Aptos" w:hAnsi="Aptos"/>
                <w:sz w:val="18"/>
              </w:rPr>
              <w:t>university-chat</w:t>
            </w:r>
          </w:p>
        </w:tc>
        <w:tc>
          <w:tcPr>
            <w:tcW w:type="dxa" w:w="3600"/>
            <w:shd w:fill="F7FAFC" w:val="clear"/>
            <w:tcMar>
              <w:top w:type="dxa" w:w="60"/>
              <w:left w:type="dxa" w:w="100"/>
              <w:bottom w:type="dxa" w:w="60"/>
              <w:right w:type="dxa" w:w="100"/>
            </w:tcMar>
            <w:vAlign w:val="center"/>
          </w:tcPr>
          <w:p>
            <w:r>
              <w:rPr>
                <w:rFonts w:ascii="Aptos" w:hAnsi="Aptos"/>
                <w:sz w:val="18"/>
              </w:rPr>
              <w:t>Resolved by Model Registry; exact checkpoint/revision pinned outside application code</w:t>
            </w:r>
          </w:p>
        </w:tc>
      </w:tr>
      <w:tr>
        <w:tc>
          <w:tcPr>
            <w:tcW w:type="dxa" w:w="3888"/>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ENABLE_HOSTED_FALLBACK</w:t>
            </w:r>
          </w:p>
        </w:tc>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false</w:t>
            </w:r>
          </w:p>
        </w:tc>
        <w:tc>
          <w:tcPr>
            <w:tcW w:type="dxa" w:w="360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Must be explicitly true to activate any hosted API call</w:t>
            </w:r>
          </w:p>
        </w:tc>
      </w:tr>
      <w:tr>
        <w:tc>
          <w:tcPr>
            <w:tcW w:type="dxa" w:w="3888"/>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HOSTED_API_BASE / KEY / MODEL</w:t>
            </w:r>
          </w:p>
        </w:tc>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(unset)</w:t>
            </w:r>
          </w:p>
        </w:tc>
        <w:tc>
          <w:tcPr>
            <w:tcW w:type="dxa" w:w="360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Only read when ENABLE_HOSTED_FALLBACK=true</w:t>
            </w:r>
          </w:p>
        </w:tc>
      </w:tr>
      <w:tr>
        <w:tc>
          <w:tcPr>
            <w:tcW w:type="dxa" w:w="3888"/>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GPU_AUTODETECT</w:t>
            </w:r>
          </w:p>
        </w:tc>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true</w:t>
            </w:r>
          </w:p>
        </w:tc>
        <w:tc>
          <w:tcPr>
            <w:tcW w:type="dxa" w:w="360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Runs the nvidia-smi/CUDA check at startup (Phase 5); set false to force a mode</w:t>
            </w:r>
          </w:p>
        </w:tc>
      </w:tr>
    </w:tbl>
    <w:p>
      <w:pPr>
        <w:spacing w:after="100"/>
      </w:pPr>
    </w:p>
    <w:p>
      <w:pPr>
        <w:pStyle w:val="Heading2"/>
        <w:spacing w:after="100" w:before="160"/>
      </w:pPr>
      <w:r>
        <w:rPr>
          <w:rFonts w:ascii="Calibri" w:cs="Calibri" w:eastAsia="Calibri" w:hAnsi="Calibri"/>
          <w:b/>
          <w:bCs/>
          <w:color w:val="2E6DA4"/>
          <w:sz w:val="24"/>
          <w:szCs w:val="24"/>
        </w:rPr>
        <w:t xml:space="preserve">Retrieval (Phase 4)</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888"/>
        <w:gridCol w:w="1872"/>
        <w:gridCol w:w="3600"/>
      </w:tblGrid>
      <w:tr>
        <w:trPr>
          <w:tblHeader/>
        </w:trPr>
        <w:tc>
          <w:tcPr>
            <w:tcW w:type="dxa" w:w="3888"/>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Setting</w:t>
            </w:r>
          </w:p>
        </w:tc>
        <w:tc>
          <w:tcPr>
            <w:tcW w:type="dxa" w:w="1872"/>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Default</w:t>
            </w:r>
          </w:p>
        </w:tc>
        <w:tc>
          <w:tcPr>
            <w:tcW w:type="dxa" w:w="3600"/>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Description</w:t>
            </w:r>
          </w:p>
        </w:tc>
      </w:tr>
      <w:tr>
        <w:tc>
          <w:tcPr>
            <w:tcW w:type="dxa" w:w="3888"/>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TOP_K_RETRIEVE</w:t>
            </w:r>
          </w:p>
        </w:tc>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20</w:t>
            </w:r>
          </w:p>
        </w:tc>
        <w:tc>
          <w:tcPr>
            <w:tcW w:type="dxa" w:w="3600"/>
            <w:shd w:fill="FFFFFF" w:val="clear"/>
            <w:tcMar>
              <w:top w:type="dxa" w:w="60"/>
              <w:left w:type="dxa" w:w="100"/>
              <w:bottom w:type="dxa" w:w="60"/>
              <w:right w:type="dxa" w:w="100"/>
            </w:tcMar>
            <w:vAlign w:val="center"/>
          </w:tcPr>
          <w:p>
            <w:r>
              <w:rPr>
                <w:rFonts w:ascii="Aptos" w:hAnsi="Aptos"/>
                <w:sz w:val="18"/>
              </w:rPr>
              <w:t>Initial candidate count; tune with golden retrieval evaluation dataset</w:t>
            </w:r>
          </w:p>
        </w:tc>
      </w:tr>
      <w:tr>
        <w:tc>
          <w:tcPr>
            <w:tcW w:type="dxa" w:w="3888"/>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TOP_K_FINAL</w:t>
            </w:r>
          </w:p>
        </w:tc>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5</w:t>
            </w:r>
          </w:p>
        </w:tc>
        <w:tc>
          <w:tcPr>
            <w:tcW w:type="dxa" w:w="360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Chunks passed to the LLM as context</w:t>
            </w:r>
          </w:p>
        </w:tc>
      </w:tr>
    </w:tbl>
    <w:p>
      <w:pPr>
        <w:spacing w:after="100"/>
      </w:pPr>
    </w:p>
    <w:p>
      <w:pPr>
        <w:pStyle w:val="Heading2"/>
        <w:spacing w:after="100" w:before="160"/>
      </w:pPr>
      <w:r>
        <w:rPr>
          <w:rFonts w:ascii="Calibri" w:cs="Calibri" w:eastAsia="Calibri" w:hAnsi="Calibri"/>
          <w:b/>
          <w:bCs/>
          <w:color w:val="2E6DA4"/>
          <w:sz w:val="24"/>
          <w:szCs w:val="24"/>
        </w:rPr>
        <w:t xml:space="preserve">Caching, rate limits &amp; abuse prevention (Phase 7, 19)</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888"/>
        <w:gridCol w:w="1872"/>
        <w:gridCol w:w="3600"/>
      </w:tblGrid>
      <w:tr>
        <w:trPr>
          <w:tblHeader/>
        </w:trPr>
        <w:tc>
          <w:tcPr>
            <w:tcW w:type="dxa" w:w="3888"/>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Setting</w:t>
            </w:r>
          </w:p>
        </w:tc>
        <w:tc>
          <w:tcPr>
            <w:tcW w:type="dxa" w:w="1872"/>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Default</w:t>
            </w:r>
          </w:p>
        </w:tc>
        <w:tc>
          <w:tcPr>
            <w:tcW w:type="dxa" w:w="3600"/>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Description</w:t>
            </w:r>
          </w:p>
        </w:tc>
      </w:tr>
      <w:tr>
        <w:tc>
          <w:tcPr>
            <w:tcW w:type="dxa" w:w="3888"/>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CACHE_TTL_VOLATILE_SECONDS</w:t>
            </w:r>
          </w:p>
        </w:tc>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3600</w:t>
            </w:r>
          </w:p>
        </w:tc>
        <w:tc>
          <w:tcPr>
            <w:tcW w:type="dxa" w:w="360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Fast-changing content</w:t>
            </w:r>
          </w:p>
        </w:tc>
      </w:tr>
      <w:tr>
        <w:tc>
          <w:tcPr>
            <w:tcW w:type="dxa" w:w="3888"/>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CACHE_TTL_STABLE_SECONDS</w:t>
            </w:r>
          </w:p>
        </w:tc>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86400</w:t>
            </w:r>
          </w:p>
        </w:tc>
        <w:tc>
          <w:tcPr>
            <w:tcW w:type="dxa" w:w="360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Stable syllabus content</w:t>
            </w:r>
          </w:p>
        </w:tc>
      </w:tr>
      <w:tr>
        <w:tc>
          <w:tcPr>
            <w:tcW w:type="dxa" w:w="3888"/>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RATE_LIMIT_PER_STUDENT_PER_MINUTE</w:t>
            </w:r>
          </w:p>
        </w:tc>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20</w:t>
            </w:r>
          </w:p>
        </w:tc>
        <w:tc>
          <w:tcPr>
            <w:tcW w:type="dxa" w:w="360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
            </w:r>
          </w:p>
        </w:tc>
      </w:tr>
      <w:tr>
        <w:tc>
          <w:tcPr>
            <w:tcW w:type="dxa" w:w="3888"/>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RATE_LIMIT_PER_IP_PER_MINUTE</w:t>
            </w:r>
          </w:p>
        </w:tc>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60</w:t>
            </w:r>
          </w:p>
        </w:tc>
        <w:tc>
          <w:tcPr>
            <w:tcW w:type="dxa" w:w="360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Stricter guard for unauthenticated traffic</w:t>
            </w:r>
          </w:p>
        </w:tc>
      </w:tr>
      <w:tr>
        <w:tc>
          <w:tcPr>
            <w:tcW w:type="dxa" w:w="3888"/>
            <w:shd w:fill="FFFFFF"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MAX_QUESTION_LENGTH_CHARS</w:t>
            </w:r>
          </w:p>
        </w:tc>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1000</w:t>
            </w:r>
          </w:p>
        </w:tc>
        <w:tc>
          <w:tcPr>
            <w:tcW w:type="dxa" w:w="360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
            </w:r>
          </w:p>
        </w:tc>
      </w:tr>
      <w:tr>
        <w:tc>
          <w:tcPr>
            <w:tcW w:type="dxa" w:w="3888"/>
            <w:shd w:fill="F7FAFC" w:val="clear"/>
            <w:tcMar>
              <w:top w:type="dxa" w:w="60"/>
              <w:left w:type="dxa" w:w="100"/>
              <w:bottom w:type="dxa" w:w="60"/>
              <w:right w:type="dxa" w:w="100"/>
            </w:tcMar>
            <w:vAlign w:val="center"/>
          </w:tcPr>
          <w:p>
            <w:pPr>
              <w:spacing w:after="0"/>
            </w:pPr>
            <w:r>
              <w:rPr>
                <w:rFonts w:ascii="Aptos" w:cs="Consolas" w:eastAsia="Consolas" w:hAnsi="Aptos"/>
                <w:color w:val="152A47"/>
                <w:sz w:val="18"/>
                <w:szCs w:val="16"/>
              </w:rPr>
              <w:t xml:space="preserve">CORS_ALLOWED_ORIGINS</w:t>
            </w:r>
          </w:p>
        </w:tc>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(required, no wildcard default)</w:t>
            </w:r>
          </w:p>
        </w:tc>
        <w:tc>
          <w:tcPr>
            <w:tcW w:type="dxa" w:w="360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University portal domain(s) only (Phase 6, 19)</w:t>
            </w:r>
          </w:p>
        </w:tc>
      </w:tr>
    </w:tbl>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One table an agent can generate a working .env from directly — every setting named anywhere in this plan has exactly one authoritative definition here.</w:t>
      </w:r>
    </w:p>
    <w:p>
      <w:pPr>
        <w:spacing w:after="100"/>
      </w:pPr>
      <w:r>
        <w:br w:type="page"/>
      </w:r>
    </w:p>
    <w:p>
      <w:pPr>
        <w:pStyle w:val="Heading1"/>
        <w:pBdr>
          <w:bottom w:val="single" w:color="2E6DA4" w:sz="8" w:space="4"/>
        </w:pBdr>
        <w:spacing w:after="100" w:before="120"/>
      </w:pPr>
      <w:r>
        <w:rPr>
          <w:rFonts w:ascii="Calibri" w:cs="Calibri" w:eastAsia="Calibri" w:hAnsi="Calibri"/>
          <w:b/>
          <w:bCs/>
          <w:color w:val="152A47"/>
          <w:sz w:val="32"/>
          <w:szCs w:val="32"/>
        </w:rPr>
        <w:t xml:space="preserve">32. Appendix D: Security Coverage Map (OWASP LLM Top 10)</w:t>
      </w:r>
    </w:p>
    <w:p>
      <w:pPr>
        <w:spacing w:after="100"/>
      </w:pPr>
      <w:r>
        <w:rPr>
          <w:rFonts w:ascii="Calibri" w:cs="Calibri" w:eastAsia="Calibri" w:hAnsi="Calibri"/>
          <w:color w:val="4A4A4A"/>
          <w:sz w:val="20"/>
          <w:szCs w:val="20"/>
        </w:rPr>
        <w:t xml:space="preserve">Every security mechanism scattered across Phases 1, 3, 5, 6, 9, 11, 13, 14, 17, and 19, mapped against OWASP's Top 10 for LLM Applications (introduced in Phase 19) in one place — a sign-off checklist for a security review, not a re-explanation of each mechanism.</w:t>
      </w:r>
    </w:p>
    <w:tbl>
      <w:tblPr>
        <w:tblW w:type="dxa" w:w="9790"/>
        <w:jc w:val="center"/>
        <w:tblBorders>
          <w:top w:val="single" w:color="auto" w:sz="4"/>
          <w:left w:val="single" w:color="auto" w:sz="4"/>
          <w:bottom w:val="single" w:color="auto" w:sz="4"/>
          <w:right w:val="single" w:color="auto" w:sz="4"/>
          <w:insideH w:val="single" w:color="auto" w:sz="4"/>
          <w:insideV w:val="single" w:color="auto" w:sz="4"/>
        </w:tblBorders>
      </w:tblPr>
      <w:tblGrid>
        <w:gridCol w:w="2735"/>
        <w:gridCol w:w="5328"/>
        <w:gridCol w:w="1727"/>
      </w:tblGrid>
      <w:tr>
        <w:trPr>
          <w:tblHeader/>
        </w:trPr>
        <w:tc>
          <w:tcPr>
            <w:tcW w:type="dxa" w:w="2735"/>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OWASP Risk</w:t>
            </w:r>
          </w:p>
        </w:tc>
        <w:tc>
          <w:tcPr>
            <w:tcW w:type="dxa" w:w="5328"/>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How This Plan Addresses It</w:t>
            </w:r>
          </w:p>
        </w:tc>
        <w:tc>
          <w:tcPr>
            <w:tcW w:type="dxa" w:w="1727"/>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Phase(s)</w:t>
            </w:r>
          </w:p>
        </w:tc>
      </w:tr>
      <w:tr>
        <w:tc>
          <w:tcPr>
            <w:tcW w:type="dxa" w:w="2735"/>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LLM01: Prompt Injection</w:t>
            </w:r>
          </w:p>
        </w:tc>
        <w:tc>
          <w:tcPr>
            <w:tcW w:type="dxa" w:w="5328"/>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Content validation strips hidden/zero-width text at ingestion; system prompt separates instructions from retrieved context; tested against adversarial documents</w:t>
            </w:r>
          </w:p>
        </w:tc>
        <w:tc>
          <w:tcPr>
            <w:tcW w:type="dxa" w:w="1727"/>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1, 5, 19</w:t>
            </w:r>
          </w:p>
        </w:tc>
      </w:tr>
      <w:tr>
        <w:tc>
          <w:tcPr>
            <w:tcW w:type="dxa" w:w="2735"/>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LLM02: Sensitive Info Disclosure</w:t>
            </w:r>
          </w:p>
        </w:tc>
        <w:tc>
          <w:tcPr>
            <w:tcW w:type="dxa" w:w="5328"/>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RBAC + department/course scoping enforced at the vector-store layer itself; audit log stores chunk IDs, never chunk content or raw questions</w:t>
            </w:r>
          </w:p>
        </w:tc>
        <w:tc>
          <w:tcPr>
            <w:tcW w:type="dxa" w:w="1727"/>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11, 19</w:t>
            </w:r>
          </w:p>
        </w:tc>
      </w:tr>
      <w:tr>
        <w:tc>
          <w:tcPr>
            <w:tcW w:type="dxa" w:w="2735"/>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LLM03: Supply Chain</w:t>
            </w:r>
          </w:p>
        </w:tc>
        <w:tc>
          <w:tcPr>
            <w:tcW w:type="dxa" w:w="5328"/>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SBOM generated in CI (SPDX/CycloneDX); pinned, patched LLM-gateway version; periodic dependency/image vulnerability scans</w:t>
            </w:r>
          </w:p>
        </w:tc>
        <w:tc>
          <w:tcPr>
            <w:tcW w:type="dxa" w:w="1727"/>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17</w:t>
            </w:r>
          </w:p>
        </w:tc>
      </w:tr>
      <w:tr>
        <w:tc>
          <w:tcPr>
            <w:tcW w:type="dxa" w:w="2735"/>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LLM04: Data &amp; Model Poisoning</w:t>
            </w:r>
          </w:p>
        </w:tc>
        <w:tc>
          <w:tcPr>
            <w:tcW w:type="dxa" w:w="5328"/>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Confidence-gated human review queue for low-confidence OCR; content-hash dedup; file-type validation by content, not extension</w:t>
            </w:r>
          </w:p>
        </w:tc>
        <w:tc>
          <w:tcPr>
            <w:tcW w:type="dxa" w:w="1727"/>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1, 2</w:t>
            </w:r>
          </w:p>
        </w:tc>
      </w:tr>
      <w:tr>
        <w:tc>
          <w:tcPr>
            <w:tcW w:type="dxa" w:w="2735"/>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LLM05: Improper Output Handling</w:t>
            </w:r>
          </w:p>
        </w:tc>
        <w:tc>
          <w:tcPr>
            <w:tcW w:type="dxa" w:w="5328"/>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Every answer requires source citations; extractive fallback avoids ungrounded generation when no LLM backend is reachable</w:t>
            </w:r>
          </w:p>
        </w:tc>
        <w:tc>
          <w:tcPr>
            <w:tcW w:type="dxa" w:w="1727"/>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5, 6</w:t>
            </w:r>
          </w:p>
        </w:tc>
      </w:tr>
      <w:tr>
        <w:tc>
          <w:tcPr>
            <w:tcW w:type="dxa" w:w="2735"/>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LLM06: Excessive Agency</w:t>
            </w:r>
          </w:p>
        </w:tc>
        <w:tc>
          <w:tcPr>
            <w:tcW w:type="dxa" w:w="5328"/>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Avoided architecturally, not just mitigated: the system is read-only Q&amp;A by design, and the LLM is never given tool-execution or write access</w:t>
            </w:r>
          </w:p>
        </w:tc>
        <w:tc>
          <w:tcPr>
            <w:tcW w:type="dxa" w:w="1727"/>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5, 6</w:t>
            </w:r>
          </w:p>
        </w:tc>
      </w:tr>
      <w:tr>
        <w:tc>
          <w:tcPr>
            <w:tcW w:type="dxa" w:w="2735"/>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LLM07: System Prompt Leakage</w:t>
            </w:r>
          </w:p>
        </w:tc>
        <w:tc>
          <w:tcPr>
            <w:tcW w:type="dxa" w:w="5328"/>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The system prompt is treated as a security boundary, tested explicitly; no secrets or credentials are ever placed in it</w:t>
            </w:r>
          </w:p>
        </w:tc>
        <w:tc>
          <w:tcPr>
            <w:tcW w:type="dxa" w:w="1727"/>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5, 19</w:t>
            </w:r>
          </w:p>
        </w:tc>
      </w:tr>
      <w:tr>
        <w:tc>
          <w:tcPr>
            <w:tcW w:type="dxa" w:w="2735"/>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LLM08: Vector &amp; Embedding Weaknesses</w:t>
            </w:r>
          </w:p>
        </w:tc>
        <w:tc>
          <w:tcPr>
            <w:tcW w:type="dxa" w:w="5328"/>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Self-hosted local vector DB; access partitioning enforced at the vector-store layer for this system's multi-tenant department/course design</w:t>
            </w:r>
          </w:p>
        </w:tc>
        <w:tc>
          <w:tcPr>
            <w:tcW w:type="dxa" w:w="1727"/>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3, 19</w:t>
            </w:r>
          </w:p>
        </w:tc>
      </w:tr>
      <w:tr>
        <w:tc>
          <w:tcPr>
            <w:tcW w:type="dxa" w:w="2735"/>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LLM09: Misinformation</w:t>
            </w:r>
          </w:p>
        </w:tc>
        <w:tc>
          <w:tcPr>
            <w:tcW w:type="dxa" w:w="5328"/>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RAGAS evaluation loop (faithfulness, relevancy, context precision); thumbs-up/down feedback queue surfaces bad answers for review</w:t>
            </w:r>
          </w:p>
        </w:tc>
        <w:tc>
          <w:tcPr>
            <w:tcW w:type="dxa" w:w="1727"/>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14</w:t>
            </w:r>
          </w:p>
        </w:tc>
      </w:tr>
      <w:tr>
        <w:tc>
          <w:tcPr>
            <w:tcW w:type="dxa" w:w="2735"/>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LLM10: Unbounded Consumption</w:t>
            </w:r>
          </w:p>
        </w:tc>
        <w:tc>
          <w:tcPr>
            <w:tcW w:type="dxa" w:w="5328"/>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Per-student and per-IP rate limiting; load shedding under aggregate overload; per-department GPU quotas; question-length caps</w:t>
            </w:r>
          </w:p>
        </w:tc>
        <w:tc>
          <w:tcPr>
            <w:tcW w:type="dxa" w:w="1727"/>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6, 7, 17, 19</w:t>
            </w:r>
          </w:p>
        </w:tc>
      </w:tr>
    </w:tbl>
    <w:p>
      <w:pPr>
        <w:spacing w:after="100"/>
      </w:pPr>
    </w:p>
    <w:p>
      <w:pPr>
        <w:spacing w:after="100" w:before="40"/>
      </w:pPr>
      <w:r>
        <w:rPr>
          <w:rFonts w:ascii="Calibri" w:cs="Calibri" w:eastAsia="Calibri" w:hAnsi="Calibri"/>
          <w:i/>
          <w:iCs/>
          <w:color w:val="7A7A7A"/>
          <w:sz w:val="17"/>
          <w:szCs w:val="17"/>
        </w:rPr>
        <w:t xml:space="preserve">Mapped to the OWASP LLM Top 10 edition current as of this document's writing — re-check for renumbering or new entries at your next security review, the same way Phase 5 flags for model names.</w:t>
      </w: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Walk this table with your security reviewer before go-live — every row points to exactly which phase to inspect.</w:t>
      </w:r>
    </w:p>
    <w:p>
      <w:pPr>
        <w:spacing w:after="100"/>
      </w:pPr>
      <w:r>
        <w:br w:type="page"/>
      </w:r>
    </w:p>
    <w:p>
      <w:pPr>
        <w:pStyle w:val="Heading1"/>
        <w:pBdr>
          <w:bottom w:val="single" w:color="2E6DA4" w:sz="8" w:space="4"/>
        </w:pBdr>
        <w:spacing w:after="100" w:before="120"/>
      </w:pPr>
      <w:r>
        <w:rPr>
          <w:rFonts w:ascii="Calibri" w:cs="Calibri" w:eastAsia="Calibri" w:hAnsi="Calibri"/>
          <w:b/>
          <w:bCs/>
          <w:color w:val="152A47"/>
          <w:sz w:val="32"/>
          <w:szCs w:val="32"/>
        </w:rPr>
        <w:t xml:space="preserve">33. Appendix E: Definition of Done — Phase Acceptance Checklist</w:t>
      </w:r>
    </w:p>
    <w:p>
      <w:pPr>
        <w:spacing w:after="100"/>
      </w:pPr>
      <w:r>
        <w:rPr>
          <w:rFonts w:ascii="Calibri" w:cs="Calibri" w:eastAsia="Calibri" w:hAnsi="Calibri"/>
          <w:color w:val="4A4A4A"/>
          <w:sz w:val="20"/>
          <w:szCs w:val="20"/>
        </w:rPr>
        <w:t xml:space="preserve">A prose goal like "folder watching works" is easy to satisfy on the surface while missing the point. Treat a phase as complete only when every item below is actually true and checkable — not when the code merely runs once on a happy path.</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1872"/>
        <w:gridCol w:w="7920"/>
      </w:tblGrid>
      <w:tr>
        <w:trPr>
          <w:tblHeader/>
        </w:trPr>
        <w:tc>
          <w:tcPr>
            <w:tcW w:type="dxa" w:w="1872"/>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Phase</w:t>
            </w:r>
          </w:p>
        </w:tc>
        <w:tc>
          <w:tcPr>
            <w:tcW w:type="dxa" w:w="7920"/>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Done when...</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0</w:t>
            </w:r>
          </w:p>
        </w:tc>
        <w:tc>
          <w:tcPr>
            <w:tcW w:type="dxa" w:w="7920"/>
            <w:shd w:fill="FFFFFF" w:val="clear"/>
            <w:tcMar>
              <w:top w:type="dxa" w:w="60"/>
              <w:left w:type="dxa" w:w="100"/>
              <w:bottom w:type="dxa" w:w="60"/>
              <w:right w:type="dxa" w:w="100"/>
            </w:tcMar>
            <w:vAlign w:val="center"/>
          </w:tcPr>
          <w:p>
            <w:pPr>
              <w:spacing w:after="40"/>
            </w:pPr>
            <w:r>
              <w:rPr>
                <w:rFonts w:ascii="Aptos" w:cs="Calibri" w:eastAsia="Calibri" w:hAnsi="Aptos"/>
                <w:color w:val="4A4A4A"/>
                <w:sz w:val="18"/>
                <w:szCs w:val="17"/>
              </w:rPr>
              <w:t xml:space="preserve">• Document catalog complete: counts by type (handwritten / printed / born-digital)</w:t>
            </w:r>
          </w:p>
          <w:p>
            <w:pPr>
              <w:spacing w:after="40"/>
            </w:pPr>
            <w:r>
              <w:rPr>
                <w:rFonts w:ascii="Aptos" w:cs="Calibri" w:eastAsia="Calibri" w:hAnsi="Aptos"/>
                <w:color w:val="4A4A4A"/>
                <w:sz w:val="18"/>
                <w:szCs w:val="17"/>
              </w:rPr>
              <w:t xml:space="preserve">• Retrieval scope decision recorded (course-scoped vs. university-wide)</w:t>
            </w:r>
          </w:p>
          <w:p>
            <w:pPr>
              <w:spacing w:after="40"/>
            </w:pPr>
            <w:r>
              <w:rPr>
                <w:rFonts w:ascii="Aptos" w:cs="Calibri" w:eastAsia="Calibri" w:hAnsi="Aptos"/>
                <w:color w:val="4A4A4A"/>
                <w:sz w:val="18"/>
                <w:szCs w:val="17"/>
              </w:rPr>
              <w:t xml:space="preserve">• Department rollout order agreed and written down</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1</w:t>
            </w:r>
          </w:p>
        </w:tc>
        <w:tc>
          <w:tcPr>
            <w:tcW w:type="dxa" w:w="7920"/>
            <w:shd w:fill="F7FAFC" w:val="clear"/>
            <w:tcMar>
              <w:top w:type="dxa" w:w="60"/>
              <w:left w:type="dxa" w:w="100"/>
              <w:bottom w:type="dxa" w:w="60"/>
              <w:right w:type="dxa" w:w="100"/>
            </w:tcMar>
            <w:vAlign w:val="center"/>
          </w:tcPr>
          <w:p>
            <w:pPr>
              <w:spacing w:after="40"/>
            </w:pPr>
            <w:r>
              <w:rPr>
                <w:rFonts w:ascii="Aptos" w:cs="Calibri" w:eastAsia="Calibri" w:hAnsi="Aptos"/>
                <w:color w:val="4A4A4A"/>
                <w:sz w:val="18"/>
                <w:szCs w:val="17"/>
              </w:rPr>
              <w:t xml:space="preserve">• Watcher detects a manually-dropped test file within the rescan interval</w:t>
            </w:r>
          </w:p>
          <w:p>
            <w:pPr>
              <w:spacing w:after="40"/>
            </w:pPr>
            <w:r>
              <w:rPr>
                <w:rFonts w:ascii="Aptos" w:cs="Calibri" w:eastAsia="Calibri" w:hAnsi="Aptos"/>
                <w:color w:val="4A4A4A"/>
                <w:sz w:val="18"/>
                <w:szCs w:val="17"/>
              </w:rPr>
              <w:t xml:space="preserve">• Manifest correctly skips an unchanged file on the next rescan</w:t>
            </w:r>
          </w:p>
          <w:p>
            <w:pPr>
              <w:spacing w:after="40"/>
            </w:pPr>
            <w:r>
              <w:rPr>
                <w:rFonts w:ascii="Aptos" w:cs="Calibri" w:eastAsia="Calibri" w:hAnsi="Aptos"/>
                <w:color w:val="4A4A4A"/>
                <w:sz w:val="18"/>
                <w:szCs w:val="17"/>
              </w:rPr>
              <w:t xml:space="preserve">• A test file with hidden white-text has that text stripped before chunking</w:t>
            </w:r>
          </w:p>
          <w:p>
            <w:pPr>
              <w:spacing w:after="40"/>
            </w:pPr>
            <w:r>
              <w:rPr>
                <w:rFonts w:ascii="Aptos" w:cs="Calibri" w:eastAsia="Calibri" w:hAnsi="Aptos"/>
                <w:color w:val="4A4A4A"/>
                <w:sz w:val="18"/>
                <w:szCs w:val="17"/>
              </w:rPr>
              <w:t xml:space="preserve">• A nested test path correctly auto-tags department/semester/course</w:t>
            </w:r>
          </w:p>
          <w:p>
            <w:pPr>
              <w:spacing w:after="40"/>
            </w:pPr>
            <w:r>
              <w:rPr>
                <w:rFonts w:ascii="Aptos" w:cs="Calibri" w:eastAsia="Calibri" w:hAnsi="Aptos"/>
                <w:color w:val="4A4A4A"/>
                <w:sz w:val="18"/>
                <w:szCs w:val="17"/>
              </w:rPr>
              <w:t xml:space="preserve">• Deleting a watched file removes its chunks from the vector index</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2</w:t>
            </w:r>
          </w:p>
        </w:tc>
        <w:tc>
          <w:tcPr>
            <w:tcW w:type="dxa" w:w="7920"/>
            <w:shd w:fill="FFFFFF" w:val="clear"/>
            <w:tcMar>
              <w:top w:type="dxa" w:w="60"/>
              <w:left w:type="dxa" w:w="100"/>
              <w:bottom w:type="dxa" w:w="60"/>
              <w:right w:type="dxa" w:w="100"/>
            </w:tcMar>
            <w:vAlign w:val="center"/>
          </w:tcPr>
          <w:p>
            <w:pPr>
              <w:spacing w:after="40"/>
            </w:pPr>
            <w:r>
              <w:rPr>
                <w:rFonts w:ascii="Aptos" w:cs="Calibri" w:eastAsia="Calibri" w:hAnsi="Aptos"/>
                <w:color w:val="4A4A4A"/>
                <w:sz w:val="18"/>
                <w:szCs w:val="17"/>
              </w:rPr>
              <w:t xml:space="preserve">• Chunk sizes stay within the defined band on a real sample document</w:t>
            </w:r>
          </w:p>
          <w:p>
            <w:pPr>
              <w:spacing w:after="40"/>
            </w:pPr>
            <w:r>
              <w:rPr>
                <w:rFonts w:ascii="Aptos" w:cs="Calibri" w:eastAsia="Calibri" w:hAnsi="Aptos"/>
                <w:color w:val="4A4A4A"/>
                <w:sz w:val="18"/>
                <w:szCs w:val="17"/>
              </w:rPr>
              <w:t xml:space="preserve">• Duplicate content across two test documents is deduplicated by content hash</w:t>
            </w:r>
          </w:p>
          <w:p>
            <w:pPr>
              <w:spacing w:after="40"/>
            </w:pPr>
            <w:r>
              <w:rPr>
                <w:rFonts w:ascii="Aptos" w:cs="Calibri" w:eastAsia="Calibri" w:hAnsi="Aptos"/>
                <w:color w:val="4A4A4A"/>
                <w:sz w:val="18"/>
                <w:szCs w:val="17"/>
              </w:rPr>
              <w:t xml:space="preserve">• Document -&gt; section -&gt; chunk hierarchy is queryable end to end</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3</w:t>
            </w:r>
          </w:p>
        </w:tc>
        <w:tc>
          <w:tcPr>
            <w:tcW w:type="dxa" w:w="7920"/>
            <w:shd w:fill="F7FAFC" w:val="clear"/>
            <w:tcMar>
              <w:top w:type="dxa" w:w="60"/>
              <w:left w:type="dxa" w:w="100"/>
              <w:bottom w:type="dxa" w:w="60"/>
              <w:right w:type="dxa" w:w="100"/>
            </w:tcMar>
            <w:vAlign w:val="center"/>
          </w:tcPr>
          <w:p>
            <w:pPr>
              <w:spacing w:after="40"/>
            </w:pPr>
            <w:r>
              <w:rPr>
                <w:rFonts w:ascii="Aptos" w:cs="Calibri" w:eastAsia="Calibri" w:hAnsi="Aptos"/>
                <w:color w:val="4A4A4A"/>
                <w:sz w:val="18"/>
                <w:szCs w:val="17"/>
              </w:rPr>
              <w:t xml:space="preserve">• No embedding call happens on the query path (verified by code review or latency profiling)</w:t>
            </w:r>
          </w:p>
          <w:p>
            <w:pPr>
              <w:spacing w:after="40"/>
            </w:pPr>
            <w:r>
              <w:rPr>
                <w:rFonts w:ascii="Aptos" w:cs="Calibri" w:eastAsia="Calibri" w:hAnsi="Aptos"/>
                <w:color w:val="4A4A4A"/>
                <w:sz w:val="18"/>
                <w:szCs w:val="17"/>
              </w:rPr>
              <w:t xml:space="preserve">• Vector search correctly filters by department/course on a two-department test corpus</w:t>
            </w:r>
          </w:p>
          <w:p>
            <w:pPr>
              <w:spacing w:after="40"/>
            </w:pPr>
            <w:r>
              <w:rPr>
                <w:rFonts w:ascii="Aptos" w:cs="Calibri" w:eastAsia="Calibri" w:hAnsi="Aptos"/>
                <w:color w:val="4A4A4A"/>
                <w:sz w:val="18"/>
                <w:szCs w:val="17"/>
              </w:rPr>
              <w:t xml:space="preserve">• Postgres chunk count matches vector-store chunk count after a full ingestion run</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4</w:t>
            </w:r>
          </w:p>
        </w:tc>
        <w:tc>
          <w:tcPr>
            <w:tcW w:type="dxa" w:w="7920"/>
            <w:shd w:fill="FFFFFF" w:val="clear"/>
            <w:tcMar>
              <w:top w:type="dxa" w:w="60"/>
              <w:left w:type="dxa" w:w="100"/>
              <w:bottom w:type="dxa" w:w="60"/>
              <w:right w:type="dxa" w:w="100"/>
            </w:tcMar>
            <w:vAlign w:val="center"/>
          </w:tcPr>
          <w:p>
            <w:pPr>
              <w:spacing w:after="40"/>
            </w:pPr>
            <w:r>
              <w:rPr>
                <w:rFonts w:ascii="Aptos" w:cs="Calibri" w:eastAsia="Calibri" w:hAnsi="Aptos"/>
                <w:color w:val="4A4A4A"/>
                <w:sz w:val="18"/>
                <w:szCs w:val="17"/>
              </w:rPr>
              <w:t xml:space="preserve">• A query still returns results with the vector store forced offline (BM25-only path)</w:t>
            </w:r>
          </w:p>
          <w:p>
            <w:pPr>
              <w:spacing w:after="40"/>
            </w:pPr>
            <w:r>
              <w:rPr>
                <w:rFonts w:ascii="Aptos" w:cs="Calibri" w:eastAsia="Calibri" w:hAnsi="Aptos"/>
                <w:color w:val="4A4A4A"/>
                <w:sz w:val="18"/>
                <w:szCs w:val="17"/>
              </w:rPr>
              <w:t xml:space="preserve">• RRF fusion produces a stable top-k ordering on a fixed test query set</w:t>
            </w:r>
          </w:p>
          <w:p>
            <w:pPr>
              <w:spacing w:after="40"/>
            </w:pPr>
            <w:r>
              <w:rPr>
                <w:rFonts w:ascii="Aptos" w:cs="Calibri" w:eastAsia="Calibri" w:hAnsi="Aptos"/>
                <w:color w:val="4A4A4A"/>
                <w:sz w:val="18"/>
                <w:szCs w:val="17"/>
              </w:rPr>
              <w:t xml:space="preserve">• Reranking measurably improves at least one known-bad top-1 result in a curated test case</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5</w:t>
            </w:r>
          </w:p>
        </w:tc>
        <w:tc>
          <w:tcPr>
            <w:tcW w:type="dxa" w:w="7920"/>
            <w:shd w:fill="F7FAFC" w:val="clear"/>
            <w:tcMar>
              <w:top w:type="dxa" w:w="60"/>
              <w:left w:type="dxa" w:w="100"/>
              <w:bottom w:type="dxa" w:w="60"/>
              <w:right w:type="dxa" w:w="100"/>
            </w:tcMar>
            <w:vAlign w:val="center"/>
          </w:tcPr>
          <w:p>
            <w:pPr>
              <w:spacing w:after="40"/>
            </w:pPr>
            <w:r>
              <w:rPr>
                <w:rFonts w:ascii="Aptos" w:cs="Calibri" w:eastAsia="Calibri" w:hAnsi="Aptos"/>
                <w:color w:val="4A4A4A"/>
                <w:sz w:val="18"/>
                <w:szCs w:val="17"/>
              </w:rPr>
              <w:t xml:space="preserve">• /v1/chat/completions returns a real answer with zero hosted credentials configured</w:t>
            </w:r>
          </w:p>
          <w:p>
            <w:pPr>
              <w:spacing w:after="40"/>
            </w:pPr>
            <w:r>
              <w:rPr>
                <w:rFonts w:ascii="Aptos" w:cs="Calibri" w:eastAsia="Calibri" w:hAnsi="Aptos"/>
                <w:color w:val="4A4A4A"/>
                <w:sz w:val="18"/>
                <w:szCs w:val="17"/>
              </w:rPr>
              <w:t xml:space="preserve">• No outbound call to a hosted provider occurs while ENABLE_HOSTED_FALLBACK=false (network audit)</w:t>
            </w:r>
          </w:p>
          <w:p>
            <w:pPr>
              <w:spacing w:after="40"/>
            </w:pPr>
            <w:r>
              <w:rPr>
                <w:rFonts w:ascii="Aptos" w:cs="Calibri" w:eastAsia="Calibri" w:hAnsi="Aptos"/>
                <w:color w:val="4A4A4A"/>
                <w:sz w:val="18"/>
                <w:szCs w:val="17"/>
              </w:rPr>
              <w:t xml:space="preserve">• GPU auto-detect correctly branches to CPU-mode on a GPU-less test machine</w:t>
            </w:r>
          </w:p>
          <w:p>
            <w:pPr>
              <w:spacing w:after="40"/>
            </w:pPr>
            <w:r>
              <w:rPr>
                <w:rFonts w:ascii="Aptos" w:cs="Calibri" w:eastAsia="Calibri" w:hAnsi="Aptos"/>
                <w:color w:val="4A4A4A"/>
                <w:sz w:val="18"/>
                <w:szCs w:val="17"/>
              </w:rPr>
              <w:t xml:space="preserve">• Killing the LLM backend mid-test still returns a citation-backed extractive fallback, not an error</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6</w:t>
            </w:r>
          </w:p>
        </w:tc>
        <w:tc>
          <w:tcPr>
            <w:tcW w:type="dxa" w:w="7920"/>
            <w:shd w:fill="FFFFFF" w:val="clear"/>
            <w:tcMar>
              <w:top w:type="dxa" w:w="60"/>
              <w:left w:type="dxa" w:w="100"/>
              <w:bottom w:type="dxa" w:w="60"/>
              <w:right w:type="dxa" w:w="100"/>
            </w:tcMar>
            <w:vAlign w:val="center"/>
          </w:tcPr>
          <w:p>
            <w:pPr>
              <w:spacing w:after="40"/>
            </w:pPr>
            <w:r>
              <w:rPr>
                <w:rFonts w:ascii="Aptos" w:cs="Calibri" w:eastAsia="Calibri" w:hAnsi="Aptos"/>
                <w:color w:val="4A4A4A"/>
                <w:sz w:val="18"/>
                <w:szCs w:val="17"/>
              </w:rPr>
              <w:t xml:space="preserve">• Every route rejects a request with a missing or invalid API key/JWT</w:t>
            </w:r>
          </w:p>
          <w:p>
            <w:pPr>
              <w:spacing w:after="40"/>
            </w:pPr>
            <w:r>
              <w:rPr>
                <w:rFonts w:ascii="Aptos" w:cs="Calibri" w:eastAsia="Calibri" w:hAnsi="Aptos"/>
                <w:color w:val="4A4A4A"/>
                <w:sz w:val="18"/>
                <w:szCs w:val="17"/>
              </w:rPr>
              <w:t xml:space="preserve">• /ask always returns a citation when matching content exists, or an explicit no-match message when it doesn't</w:t>
            </w:r>
          </w:p>
          <w:p>
            <w:pPr>
              <w:spacing w:after="40"/>
            </w:pPr>
            <w:r>
              <w:rPr>
                <w:rFonts w:ascii="Aptos" w:cs="Calibri" w:eastAsia="Calibri" w:hAnsi="Aptos"/>
                <w:color w:val="4A4A4A"/>
                <w:sz w:val="18"/>
                <w:szCs w:val="17"/>
              </w:rPr>
              <w:t xml:space="preserve">• stream:true delivers incremental chunks, not one blob at the end</w:t>
            </w:r>
          </w:p>
          <w:p>
            <w:pPr>
              <w:spacing w:after="40"/>
            </w:pPr>
            <w:r>
              <w:rPr>
                <w:rFonts w:ascii="Aptos" w:cs="Calibri" w:eastAsia="Calibri" w:hAnsi="Aptos"/>
                <w:color w:val="4A4A4A"/>
                <w:sz w:val="18"/>
                <w:szCs w:val="17"/>
              </w:rPr>
              <w:t xml:space="preserve">• A request from a non-allowlisted origin is rejected by CORS in a test</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7</w:t>
            </w:r>
          </w:p>
        </w:tc>
        <w:tc>
          <w:tcPr>
            <w:tcW w:type="dxa" w:w="7920"/>
            <w:shd w:fill="F7FAFC" w:val="clear"/>
            <w:tcMar>
              <w:top w:type="dxa" w:w="60"/>
              <w:left w:type="dxa" w:w="100"/>
              <w:bottom w:type="dxa" w:w="60"/>
              <w:right w:type="dxa" w:w="100"/>
            </w:tcMar>
            <w:vAlign w:val="center"/>
          </w:tcPr>
          <w:p>
            <w:pPr>
              <w:spacing w:after="40"/>
            </w:pPr>
            <w:r>
              <w:rPr>
                <w:rFonts w:ascii="Aptos" w:cs="Calibri" w:eastAsia="Calibri" w:hAnsi="Aptos"/>
                <w:color w:val="4A4A4A"/>
                <w:sz w:val="18"/>
                <w:szCs w:val="17"/>
              </w:rPr>
              <w:t xml:space="preserve">• A repeated identical question hits cache on the second call (served_by = "cache")</w:t>
            </w:r>
          </w:p>
          <w:p>
            <w:pPr>
              <w:spacing w:after="40"/>
            </w:pPr>
            <w:r>
              <w:rPr>
                <w:rFonts w:ascii="Aptos" w:cs="Calibri" w:eastAsia="Calibri" w:hAnsi="Aptos"/>
                <w:color w:val="4A4A4A"/>
                <w:sz w:val="18"/>
                <w:szCs w:val="17"/>
              </w:rPr>
              <w:t xml:space="preserve">• A burst past the configured per-student rate limit returns 429, not a queued delay</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8</w:t>
            </w:r>
          </w:p>
        </w:tc>
        <w:tc>
          <w:tcPr>
            <w:tcW w:type="dxa" w:w="7920"/>
            <w:shd w:fill="FFFFFF" w:val="clear"/>
            <w:tcMar>
              <w:top w:type="dxa" w:w="60"/>
              <w:left w:type="dxa" w:w="100"/>
              <w:bottom w:type="dxa" w:w="60"/>
              <w:right w:type="dxa" w:w="100"/>
            </w:tcMar>
            <w:vAlign w:val="center"/>
          </w:tcPr>
          <w:p>
            <w:pPr>
              <w:spacing w:after="40"/>
            </w:pPr>
            <w:r>
              <w:rPr>
                <w:rFonts w:ascii="Aptos" w:cs="Calibri" w:eastAsia="Calibri" w:hAnsi="Aptos"/>
                <w:color w:val="4A4A4A"/>
                <w:sz w:val="18"/>
                <w:szCs w:val="17"/>
              </w:rPr>
              <w:t xml:space="preserve">• A bulk drop of 500+ files does not measurably raise /ask latency during the drop</w:t>
            </w:r>
          </w:p>
          <w:p>
            <w:pPr>
              <w:spacing w:after="40"/>
            </w:pPr>
            <w:r>
              <w:rPr>
                <w:rFonts w:ascii="Aptos" w:cs="Calibri" w:eastAsia="Calibri" w:hAnsi="Aptos"/>
                <w:color w:val="4A4A4A"/>
                <w:sz w:val="18"/>
                <w:szCs w:val="17"/>
              </w:rPr>
              <w:t xml:space="preserve">• A worker crash mid-job results in a clean retry with no duplicate chunks created</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9</w:t>
            </w:r>
          </w:p>
        </w:tc>
        <w:tc>
          <w:tcPr>
            <w:tcW w:type="dxa" w:w="7920"/>
            <w:shd w:fill="F7FAFC" w:val="clear"/>
            <w:tcMar>
              <w:top w:type="dxa" w:w="60"/>
              <w:left w:type="dxa" w:w="100"/>
              <w:bottom w:type="dxa" w:w="60"/>
              <w:right w:type="dxa" w:w="100"/>
            </w:tcMar>
            <w:vAlign w:val="center"/>
          </w:tcPr>
          <w:p>
            <w:pPr>
              <w:spacing w:after="40"/>
            </w:pPr>
            <w:r>
              <w:rPr>
                <w:rFonts w:ascii="Aptos" w:cs="Calibri" w:eastAsia="Calibri" w:hAnsi="Aptos"/>
                <w:color w:val="4A4A4A"/>
                <w:sz w:val="18"/>
                <w:szCs w:val="17"/>
              </w:rPr>
              <w:t xml:space="preserve">• Killing one API pod drops zero in-flight sessions</w:t>
            </w:r>
          </w:p>
          <w:p>
            <w:pPr>
              <w:spacing w:after="40"/>
            </w:pPr>
            <w:r>
              <w:rPr>
                <w:rFonts w:ascii="Aptos" w:cs="Calibri" w:eastAsia="Calibri" w:hAnsi="Aptos"/>
                <w:color w:val="4A4A4A"/>
                <w:sz w:val="18"/>
                <w:szCs w:val="17"/>
              </w:rPr>
              <w:t xml:space="preserve">• KEDA scales GPU replicas up under a synthetic queue-depth spike in staging</w:t>
            </w:r>
          </w:p>
          <w:p>
            <w:pPr>
              <w:spacing w:after="40"/>
            </w:pPr>
            <w:r>
              <w:rPr>
                <w:rFonts w:ascii="Aptos" w:cs="Calibri" w:eastAsia="Calibri" w:hAnsi="Aptos"/>
                <w:color w:val="4A4A4A"/>
                <w:sz w:val="18"/>
                <w:szCs w:val="17"/>
              </w:rPr>
              <w:t xml:space="preserve">• The WAF blocks a known bad request pattern in a test</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10</w:t>
            </w:r>
          </w:p>
        </w:tc>
        <w:tc>
          <w:tcPr>
            <w:tcW w:type="dxa" w:w="7920"/>
            <w:shd w:fill="FFFFFF" w:val="clear"/>
            <w:tcMar>
              <w:top w:type="dxa" w:w="60"/>
              <w:left w:type="dxa" w:w="100"/>
              <w:bottom w:type="dxa" w:w="60"/>
              <w:right w:type="dxa" w:w="100"/>
            </w:tcMar>
            <w:vAlign w:val="center"/>
          </w:tcPr>
          <w:p>
            <w:pPr>
              <w:spacing w:after="40"/>
            </w:pPr>
            <w:r>
              <w:rPr>
                <w:rFonts w:ascii="Aptos" w:cs="Calibri" w:eastAsia="Calibri" w:hAnsi="Aptos"/>
                <w:color w:val="4A4A4A"/>
                <w:sz w:val="18"/>
                <w:szCs w:val="17"/>
              </w:rPr>
              <w:t xml:space="preserve">• Admin registers a folder and sees live ingestion status without calling the API directly</w:t>
            </w:r>
          </w:p>
          <w:p>
            <w:pPr>
              <w:spacing w:after="40"/>
            </w:pPr>
            <w:r>
              <w:rPr>
                <w:rFonts w:ascii="Aptos" w:cs="Calibri" w:eastAsia="Calibri" w:hAnsi="Aptos"/>
                <w:color w:val="4A4A4A"/>
                <w:sz w:val="18"/>
                <w:szCs w:val="17"/>
              </w:rPr>
              <w:t xml:space="preserve">• The embedded widget completes a full ask-answer cycle inside a test host page</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11</w:t>
            </w:r>
          </w:p>
        </w:tc>
        <w:tc>
          <w:tcPr>
            <w:tcW w:type="dxa" w:w="7920"/>
            <w:shd w:fill="F7FAFC" w:val="clear"/>
            <w:tcMar>
              <w:top w:type="dxa" w:w="60"/>
              <w:left w:type="dxa" w:w="100"/>
              <w:bottom w:type="dxa" w:w="60"/>
              <w:right w:type="dxa" w:w="100"/>
            </w:tcMar>
            <w:vAlign w:val="center"/>
          </w:tcPr>
          <w:p>
            <w:pPr>
              <w:spacing w:after="40"/>
            </w:pPr>
            <w:r>
              <w:rPr>
                <w:rFonts w:ascii="Aptos" w:cs="Calibri" w:eastAsia="Calibri" w:hAnsi="Aptos"/>
                <w:color w:val="4A4A4A"/>
                <w:sz w:val="18"/>
                <w:szCs w:val="17"/>
              </w:rPr>
              <w:t xml:space="preserve">• SSO login issues a correctly-scoped JWT; a student token is rejected on an admin-only route</w:t>
            </w:r>
          </w:p>
          <w:p>
            <w:pPr>
              <w:spacing w:after="40"/>
            </w:pPr>
            <w:r>
              <w:rPr>
                <w:rFonts w:ascii="Aptos" w:cs="Calibri" w:eastAsia="Calibri" w:hAnsi="Aptos"/>
                <w:color w:val="4A4A4A"/>
                <w:sz w:val="18"/>
                <w:szCs w:val="17"/>
              </w:rPr>
              <w:t xml:space="preserve">• A revoked token is rejected on its very next use</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12</w:t>
            </w:r>
          </w:p>
        </w:tc>
        <w:tc>
          <w:tcPr>
            <w:tcW w:type="dxa" w:w="7920"/>
            <w:shd w:fill="FFFFFF" w:val="clear"/>
            <w:tcMar>
              <w:top w:type="dxa" w:w="60"/>
              <w:left w:type="dxa" w:w="100"/>
              <w:bottom w:type="dxa" w:w="60"/>
              <w:right w:type="dxa" w:w="100"/>
            </w:tcMar>
            <w:vAlign w:val="center"/>
          </w:tcPr>
          <w:p>
            <w:pPr>
              <w:spacing w:after="40"/>
            </w:pPr>
            <w:r>
              <w:rPr>
                <w:rFonts w:ascii="Aptos" w:cs="Calibri" w:eastAsia="Calibri" w:hAnsi="Aptos"/>
                <w:color w:val="4A4A4A"/>
                <w:sz w:val="18"/>
                <w:szCs w:val="17"/>
              </w:rPr>
              <w:t xml:space="preserve">• Grafana shows live QPS, GPU utilization, and queue depth during a load test</w:t>
            </w:r>
          </w:p>
          <w:p>
            <w:pPr>
              <w:spacing w:after="40"/>
            </w:pPr>
            <w:r>
              <w:rPr>
                <w:rFonts w:ascii="Aptos" w:cs="Calibri" w:eastAsia="Calibri" w:hAnsi="Aptos"/>
                <w:color w:val="4A4A4A"/>
                <w:sz w:val="18"/>
                <w:szCs w:val="17"/>
              </w:rPr>
              <w:t xml:space="preserve">• An intentionally-triggered error spike fires the configured alert</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13</w:t>
            </w:r>
          </w:p>
        </w:tc>
        <w:tc>
          <w:tcPr>
            <w:tcW w:type="dxa" w:w="7920"/>
            <w:shd w:fill="F7FAFC" w:val="clear"/>
            <w:tcMar>
              <w:top w:type="dxa" w:w="60"/>
              <w:left w:type="dxa" w:w="100"/>
              <w:bottom w:type="dxa" w:w="60"/>
              <w:right w:type="dxa" w:w="100"/>
            </w:tcMar>
            <w:vAlign w:val="center"/>
          </w:tcPr>
          <w:p>
            <w:pPr>
              <w:spacing w:after="40"/>
            </w:pPr>
            <w:r>
              <w:rPr>
                <w:rFonts w:ascii="Aptos" w:cs="Calibri" w:eastAsia="Calibri" w:hAnsi="Aptos"/>
                <w:color w:val="4A4A4A"/>
                <w:sz w:val="18"/>
                <w:szCs w:val="17"/>
              </w:rPr>
              <w:t xml:space="preserve">• TLS certificates renew automatically in a staging test cycle, with no manual step</w:t>
            </w:r>
          </w:p>
          <w:p>
            <w:pPr>
              <w:spacing w:after="40"/>
            </w:pPr>
            <w:r>
              <w:rPr>
                <w:rFonts w:ascii="Aptos" w:cs="Calibri" w:eastAsia="Calibri" w:hAnsi="Aptos"/>
                <w:color w:val="4A4A4A"/>
                <w:sz w:val="18"/>
                <w:szCs w:val="17"/>
              </w:rPr>
              <w:t xml:space="preserve">• The audit log captures a query event without storing raw question text or chunk content</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14</w:t>
            </w:r>
          </w:p>
        </w:tc>
        <w:tc>
          <w:tcPr>
            <w:tcW w:type="dxa" w:w="7920"/>
            <w:shd w:fill="FFFFFF" w:val="clear"/>
            <w:tcMar>
              <w:top w:type="dxa" w:w="60"/>
              <w:left w:type="dxa" w:w="100"/>
              <w:bottom w:type="dxa" w:w="60"/>
              <w:right w:type="dxa" w:w="100"/>
            </w:tcMar>
            <w:vAlign w:val="center"/>
          </w:tcPr>
          <w:p>
            <w:pPr>
              <w:spacing w:after="40"/>
            </w:pPr>
            <w:r>
              <w:rPr>
                <w:rFonts w:ascii="Aptos" w:cs="Calibri" w:eastAsia="Calibri" w:hAnsi="Aptos"/>
                <w:color w:val="4A4A4A"/>
                <w:sz w:val="18"/>
                <w:szCs w:val="17"/>
              </w:rPr>
              <w:t xml:space="preserve">• RAGAS faithfulness score is tracked over time on a fixed evaluation set, not computed once and forgotten</w:t>
            </w:r>
          </w:p>
          <w:p>
            <w:pPr>
              <w:spacing w:after="40"/>
            </w:pPr>
            <w:r>
              <w:rPr>
                <w:rFonts w:ascii="Aptos" w:cs="Calibri" w:eastAsia="Calibri" w:hAnsi="Aptos"/>
                <w:color w:val="4A4A4A"/>
                <w:sz w:val="18"/>
                <w:szCs w:val="17"/>
              </w:rPr>
              <w:t xml:space="preserve">• A thumbs-down click creates a reviewable queue entry</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15</w:t>
            </w:r>
          </w:p>
        </w:tc>
        <w:tc>
          <w:tcPr>
            <w:tcW w:type="dxa" w:w="7920"/>
            <w:shd w:fill="F7FAFC" w:val="clear"/>
            <w:tcMar>
              <w:top w:type="dxa" w:w="60"/>
              <w:left w:type="dxa" w:w="100"/>
              <w:bottom w:type="dxa" w:w="60"/>
              <w:right w:type="dxa" w:w="100"/>
            </w:tcMar>
            <w:vAlign w:val="center"/>
          </w:tcPr>
          <w:p>
            <w:pPr>
              <w:spacing w:after="40"/>
            </w:pPr>
            <w:r>
              <w:rPr>
                <w:rFonts w:ascii="Aptos" w:cs="Calibri" w:eastAsia="Calibri" w:hAnsi="Aptos"/>
                <w:color w:val="4A4A4A"/>
                <w:sz w:val="18"/>
                <w:szCs w:val="17"/>
              </w:rPr>
              <w:t xml:space="preserve">• CI blocks a merge on a failing test</w:t>
            </w:r>
          </w:p>
          <w:p>
            <w:pPr>
              <w:spacing w:after="40"/>
            </w:pPr>
            <w:r>
              <w:rPr>
                <w:rFonts w:ascii="Aptos" w:cs="Calibri" w:eastAsia="Calibri" w:hAnsi="Aptos"/>
                <w:color w:val="4A4A4A"/>
                <w:sz w:val="18"/>
                <w:szCs w:val="17"/>
              </w:rPr>
              <w:t xml:space="preserve">• A canary deploy can be rolled back within the Phase 17 RTO target</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16 (optional)</w:t>
            </w:r>
          </w:p>
        </w:tc>
        <w:tc>
          <w:tcPr>
            <w:tcW w:type="dxa" w:w="7920"/>
            <w:shd w:fill="FFFFFF" w:val="clear"/>
            <w:tcMar>
              <w:top w:type="dxa" w:w="60"/>
              <w:left w:type="dxa" w:w="100"/>
              <w:bottom w:type="dxa" w:w="60"/>
              <w:right w:type="dxa" w:w="100"/>
            </w:tcMar>
            <w:vAlign w:val="center"/>
          </w:tcPr>
          <w:p>
            <w:pPr>
              <w:spacing w:after="40"/>
            </w:pPr>
            <w:r>
              <w:rPr>
                <w:rFonts w:ascii="Aptos" w:cs="Calibri" w:eastAsia="Calibri" w:hAnsi="Aptos"/>
                <w:color w:val="4A4A4A"/>
                <w:sz w:val="18"/>
                <w:szCs w:val="17"/>
              </w:rPr>
              <w:t xml:space="preserve">• VLM ingestion triggers only on documents below the OCR confidence threshold</w:t>
            </w:r>
          </w:p>
          <w:p>
            <w:pPr>
              <w:spacing w:after="40"/>
            </w:pPr>
            <w:r>
              <w:rPr>
                <w:rFonts w:ascii="Aptos" w:cs="Calibri" w:eastAsia="Calibri" w:hAnsi="Aptos"/>
                <w:color w:val="4A4A4A"/>
                <w:sz w:val="18"/>
                <w:szCs w:val="17"/>
              </w:rPr>
              <w:t xml:space="preserve">• Answer quality is compared, classic-OCR vs. VLM path, on at least one real low-confidence document</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17</w:t>
            </w:r>
          </w:p>
        </w:tc>
        <w:tc>
          <w:tcPr>
            <w:tcW w:type="dxa" w:w="7920"/>
            <w:shd w:fill="F7FAFC" w:val="clear"/>
            <w:tcMar>
              <w:top w:type="dxa" w:w="60"/>
              <w:left w:type="dxa" w:w="100"/>
              <w:bottom w:type="dxa" w:w="60"/>
              <w:right w:type="dxa" w:w="100"/>
            </w:tcMar>
            <w:vAlign w:val="center"/>
          </w:tcPr>
          <w:p>
            <w:pPr>
              <w:spacing w:after="40"/>
            </w:pPr>
            <w:r>
              <w:rPr>
                <w:rFonts w:ascii="Aptos" w:cs="Calibri" w:eastAsia="Calibri" w:hAnsi="Aptos"/>
                <w:color w:val="4A4A4A"/>
                <w:sz w:val="18"/>
                <w:szCs w:val="17"/>
              </w:rPr>
              <w:t xml:space="preserve">• A quarterly restore drill completes and serves a real query from the restored environment</w:t>
            </w:r>
          </w:p>
          <w:p>
            <w:pPr>
              <w:spacing w:after="40"/>
            </w:pPr>
            <w:r>
              <w:rPr>
                <w:rFonts w:ascii="Aptos" w:cs="Calibri" w:eastAsia="Calibri" w:hAnsi="Aptos"/>
                <w:color w:val="4A4A4A"/>
                <w:sz w:val="18"/>
                <w:szCs w:val="17"/>
              </w:rPr>
              <w:t xml:space="preserve">• A chaos test (killing Redis) degrades per the Phase 19 table, not with a bare 500</w:t>
            </w:r>
          </w:p>
          <w:p>
            <w:pPr>
              <w:spacing w:after="40"/>
            </w:pPr>
            <w:r>
              <w:rPr>
                <w:rFonts w:ascii="Aptos" w:cs="Calibri" w:eastAsia="Calibri" w:hAnsi="Aptos"/>
                <w:color w:val="4A4A4A"/>
                <w:sz w:val="18"/>
                <w:szCs w:val="17"/>
              </w:rPr>
              <w:t xml:space="preserve">• SBOM generates automatically in CI, not by hand</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18 (optional)</w:t>
            </w:r>
          </w:p>
        </w:tc>
        <w:tc>
          <w:tcPr>
            <w:tcW w:type="dxa" w:w="792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Not required for MVP sign-off — tracked as a post-launch backlog, revisited each quarter</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Phase 19</w:t>
            </w:r>
          </w:p>
        </w:tc>
        <w:tc>
          <w:tcPr>
            <w:tcW w:type="dxa" w:w="7920"/>
            <w:shd w:fill="F7FAFC" w:val="clear"/>
            <w:tcMar>
              <w:top w:type="dxa" w:w="60"/>
              <w:left w:type="dxa" w:w="100"/>
              <w:bottom w:type="dxa" w:w="60"/>
              <w:right w:type="dxa" w:w="100"/>
            </w:tcMar>
            <w:vAlign w:val="center"/>
          </w:tcPr>
          <w:p>
            <w:pPr>
              <w:spacing w:after="40"/>
            </w:pPr>
            <w:r>
              <w:rPr>
                <w:rFonts w:ascii="Aptos" w:cs="Calibri" w:eastAsia="Calibri" w:hAnsi="Aptos"/>
                <w:color w:val="4A4A4A"/>
                <w:sz w:val="18"/>
                <w:szCs w:val="17"/>
              </w:rPr>
              <w:t xml:space="preserve">• The system prompt/context boundary is tested against an adversarial document with hidden instructions</w:t>
            </w:r>
          </w:p>
          <w:p>
            <w:pPr>
              <w:spacing w:after="40"/>
            </w:pPr>
            <w:r>
              <w:rPr>
                <w:rFonts w:ascii="Aptos" w:cs="Calibri" w:eastAsia="Calibri" w:hAnsi="Aptos"/>
                <w:color w:val="4A4A4A"/>
                <w:sz w:val="18"/>
                <w:szCs w:val="17"/>
              </w:rPr>
              <w:t xml:space="preserve">• Load shedding returns a clean rejection under synthetic overload, not a timeout</w:t>
            </w:r>
          </w:p>
        </w:tc>
      </w:tr>
    </w:tbl>
    <w:p>
      <w:pPr>
        <w:spacing w:after="100"/>
      </w:pPr>
    </w:p>
    <w:p>
      <w:pPr>
        <w:spacing w:after="100" w:before="80"/>
      </w:pPr>
      <w:r>
        <w:rPr>
          <w:rFonts w:ascii="Calibri" w:cs="Calibri" w:eastAsia="Calibri" w:hAnsi="Calibri"/>
          <w:b/>
          <w:bCs/>
          <w:color w:val="1E7A46"/>
          <w:sz w:val="20"/>
          <w:szCs w:val="20"/>
        </w:rPr>
        <w:t xml:space="preserve">✓ </w:t>
      </w:r>
      <w:r>
        <w:rPr>
          <w:rFonts w:ascii="Calibri" w:cs="Calibri" w:eastAsia="Calibri" w:hAnsi="Calibri"/>
          <w:b/>
          <w:bCs/>
          <w:color w:val="1E7A46"/>
          <w:sz w:val="20"/>
          <w:szCs w:val="20"/>
        </w:rPr>
        <w:t xml:space="preserve">A phase that passes every row in its checklist is genuinely done — for a human reviewer or an AI agent grading its own work.</w:t>
      </w:r>
    </w:p>
    <w:p>
      <w:pPr>
        <w:spacing w:after="100"/>
      </w:pPr>
      <w:r>
        <w:br w:type="page"/>
      </w:r>
    </w:p>
    <w:p>
      <w:pPr>
        <w:pStyle w:val="Heading1"/>
        <w:pBdr>
          <w:bottom w:val="single" w:color="2E6DA4" w:sz="8" w:space="4"/>
        </w:pBdr>
        <w:spacing w:after="100" w:before="120"/>
      </w:pPr>
      <w:r>
        <w:rPr>
          <w:rFonts w:ascii="Calibri" w:cs="Calibri" w:eastAsia="Calibri" w:hAnsi="Calibri"/>
          <w:b/>
          <w:bCs/>
          <w:color w:val="152A47"/>
          <w:sz w:val="32"/>
          <w:szCs w:val="32"/>
        </w:rPr>
        <w:t xml:space="preserve">Glossary of Terms</w:t>
      </w:r>
    </w:p>
    <w:p>
      <w:pPr>
        <w:spacing w:after="100"/>
      </w:pPr>
      <w:r>
        <w:rPr>
          <w:rFonts w:ascii="Calibri" w:cs="Calibri" w:eastAsia="Calibri" w:hAnsi="Calibri"/>
          <w:color w:val="4A4A4A"/>
          <w:sz w:val="20"/>
          <w:szCs w:val="20"/>
        </w:rPr>
        <w:t xml:space="preserve">Plain-language definitions for the acronyms and technical terms used throughout this plan — useful for anyone reviewing this who isn't building it day to day.</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1872"/>
        <w:gridCol w:w="7920"/>
      </w:tblGrid>
      <w:tr>
        <w:trPr>
          <w:tblHeader/>
        </w:trPr>
        <w:tc>
          <w:tcPr>
            <w:tcW w:type="dxa" w:w="1872"/>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Term</w:t>
            </w:r>
          </w:p>
        </w:tc>
        <w:tc>
          <w:tcPr>
            <w:tcW w:type="dxa" w:w="7920"/>
            <w:shd w:fill="152A47" w:val="clear"/>
            <w:tcMar>
              <w:top w:type="dxa" w:w="80"/>
              <w:left w:type="dxa" w:w="100"/>
              <w:bottom w:type="dxa" w:w="80"/>
              <w:right w:type="dxa" w:w="100"/>
            </w:tcMar>
            <w:vAlign w:val="center"/>
          </w:tcPr>
          <w:p>
            <w:r>
              <w:rPr>
                <w:rFonts w:ascii="Aptos" w:cs="Calibri" w:eastAsia="Calibri" w:hAnsi="Aptos"/>
                <w:b/>
                <w:bCs/>
                <w:color w:val="FFFFFF"/>
                <w:sz w:val="18"/>
                <w:szCs w:val="18"/>
              </w:rPr>
              <w:t xml:space="preserve">Definition</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RAG</w:t>
            </w:r>
          </w:p>
        </w:tc>
        <w:tc>
          <w:tcPr>
            <w:tcW w:type="dxa" w:w="792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Retrieval-Augmented Generation — answering a question by first retrieving relevant text, then having an LLM write the answer from it.</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LLM</w:t>
            </w:r>
          </w:p>
        </w:tc>
        <w:tc>
          <w:tcPr>
            <w:tcW w:type="dxa" w:w="792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Large Language Model — the AI model that generates the actual answer text.</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OCR</w:t>
            </w:r>
          </w:p>
        </w:tc>
        <w:tc>
          <w:tcPr>
            <w:tcW w:type="dxa" w:w="792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Optical Character Recognition — converting an image of text into machine-readable text.</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VLM</w:t>
            </w:r>
          </w:p>
        </w:tc>
        <w:tc>
          <w:tcPr>
            <w:tcW w:type="dxa" w:w="792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Vision-Language Model — an AI model that reads images and text together; used here for handwriting (Phase 1) and next-gen document understanding (Phase 16).</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Embedding</w:t>
            </w:r>
          </w:p>
        </w:tc>
        <w:tc>
          <w:tcPr>
            <w:tcW w:type="dxa" w:w="792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A numeric vector representing a piece of text's meaning, used to find similar text via math instead of exact keyword matching.</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Vector database</w:t>
            </w:r>
          </w:p>
        </w:tc>
        <w:tc>
          <w:tcPr>
            <w:tcW w:type="dxa" w:w="792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A database built to search embeddings efficiently at scale (Qdrant, Milvus).</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BM25</w:t>
            </w:r>
          </w:p>
        </w:tc>
        <w:tc>
          <w:tcPr>
            <w:tcW w:type="dxa" w:w="792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A classic keyword-ranking search algorithm — the "sparse" half of hybrid retrieval (Phase 4).</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ANN</w:t>
            </w:r>
          </w:p>
        </w:tc>
        <w:tc>
          <w:tcPr>
            <w:tcW w:type="dxa" w:w="792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Approximate Nearest Neighbor — the fast, "close enough" search algorithm vector databases use instead of comparing against every embedding.</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RRF</w:t>
            </w:r>
          </w:p>
        </w:tc>
        <w:tc>
          <w:tcPr>
            <w:tcW w:type="dxa" w:w="792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Reciprocal Rank Fusion — the method used to merge BM25 and vector search results into one ranked list (Phase 4).</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Reranking</w:t>
            </w:r>
          </w:p>
        </w:tc>
        <w:tc>
          <w:tcPr>
            <w:tcW w:type="dxa" w:w="792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A second, more precise relevance-scoring pass over the top search results before they reach the LLM (Phase 4).</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Quantization</w:t>
            </w:r>
          </w:p>
        </w:tc>
        <w:tc>
          <w:tcPr>
            <w:tcW w:type="dxa" w:w="792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Compressing a model's weights to lower precision so it runs faster and fits more concurrent load per GPU, at a small quality cost.</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Continuous batching</w:t>
            </w:r>
          </w:p>
        </w:tc>
        <w:tc>
          <w:tcPr>
            <w:tcW w:type="dxa" w:w="792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An LLM-serving technique (used by vLLM) that groups many concurrent requests together for much better GPU throughput.</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Disaggregated serving</w:t>
            </w:r>
          </w:p>
        </w:tc>
        <w:tc>
          <w:tcPr>
            <w:tcW w:type="dxa" w:w="792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Splitting an LLM's prompt-processing and answer-generation stages across separate GPU pools for higher throughput at scale (Phase 5).</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KEDA</w:t>
            </w:r>
          </w:p>
        </w:tc>
        <w:tc>
          <w:tcPr>
            <w:tcW w:type="dxa" w:w="792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Kubernetes Event-Driven Autoscaling — scales pods based on custom signals like GPU queue depth, not just CPU (Phase 9).</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HPA</w:t>
            </w:r>
          </w:p>
        </w:tc>
        <w:tc>
          <w:tcPr>
            <w:tcW w:type="dxa" w:w="792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Horizontal Pod Autoscaler — Kubernetes' built-in, CPU/memory-based autoscaler; used for the API tier (Phase 9).</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DCGM</w:t>
            </w:r>
          </w:p>
        </w:tc>
        <w:tc>
          <w:tcPr>
            <w:tcW w:type="dxa" w:w="792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NVIDIA Data Center GPU Manager — provides GPU utilization metrics for autoscaling and monitoring (Phase 9, 12).</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Circuit breaker</w:t>
            </w:r>
          </w:p>
        </w:tc>
        <w:tc>
          <w:tcPr>
            <w:tcW w:type="dxa" w:w="792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A resilience pattern that stops calling a failing dependency for a while instead of retrying it into the ground (Phase 19).</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Idempotent</w:t>
            </w:r>
          </w:p>
        </w:tc>
        <w:tc>
          <w:tcPr>
            <w:tcW w:type="dxa" w:w="792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An operation safe to retry any number of times without side effects — important for ingestion jobs that might get re-run after a crash (Phase 19).</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SLO / SLA</w:t>
            </w:r>
          </w:p>
        </w:tc>
        <w:tc>
          <w:tcPr>
            <w:tcW w:type="dxa" w:w="792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Service Level Objective / Agreement — a target (SLO, internal) or promise (SLA, often contractual) for uptime and latency (Phase 17).</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RPO / RTO</w:t>
            </w:r>
          </w:p>
        </w:tc>
        <w:tc>
          <w:tcPr>
            <w:tcW w:type="dxa" w:w="792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Recovery Point / Time Objective — how much data you can afford to lose, and how fast you must be back up, after an outage (Phase 17).</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WAF</w:t>
            </w:r>
          </w:p>
        </w:tc>
        <w:tc>
          <w:tcPr>
            <w:tcW w:type="dxa" w:w="792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Web Application Firewall — filters malicious traffic at the network edge, before it reaches the load balancer (Phase 9).</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mTLS</w:t>
            </w:r>
          </w:p>
        </w:tc>
        <w:tc>
          <w:tcPr>
            <w:tcW w:type="dxa" w:w="792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Mutual TLS — both sides of a connection prove their identity with certificates, used between internal services (Phase 17).</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JWT</w:t>
            </w:r>
          </w:p>
        </w:tc>
        <w:tc>
          <w:tcPr>
            <w:tcW w:type="dxa" w:w="792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JSON Web Token — a signed token used to prove a logged-in user's identity on each API request (Phase 11).</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SSO / RBAC</w:t>
            </w:r>
          </w:p>
        </w:tc>
        <w:tc>
          <w:tcPr>
            <w:tcW w:type="dxa" w:w="792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Single Sign-On (one login across systems) and Role-Based Access Control (permissions tied to a role like student/faculty/admin) (Phase 11).</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SBOM</w:t>
            </w:r>
          </w:p>
        </w:tc>
        <w:tc>
          <w:tcPr>
            <w:tcW w:type="dxa" w:w="792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Software Bill of Materials — a full inventory of every dependency in the system, so a new vulnerability can be checked against it in minutes (Phase 17).</w:t>
            </w:r>
          </w:p>
        </w:tc>
      </w:tr>
      <w:tr>
        <w:tc>
          <w:tcPr>
            <w:tcW w:type="dxa" w:w="1872"/>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OWASP</w:t>
            </w:r>
          </w:p>
        </w:tc>
        <w:tc>
          <w:tcPr>
            <w:tcW w:type="dxa" w:w="7920"/>
            <w:shd w:fill="F7FAFC"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Open Web Application Security Project — publishes the standard vulnerability checklists this plan is measured against, including one specific to LLM applications (Phase 19).</w:t>
            </w:r>
          </w:p>
        </w:tc>
      </w:tr>
      <w:tr>
        <w:tc>
          <w:tcPr>
            <w:tcW w:type="dxa" w:w="1872"/>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DPDP Act</w:t>
            </w:r>
          </w:p>
        </w:tc>
        <w:tc>
          <w:tcPr>
            <w:tcW w:type="dxa" w:w="7920"/>
            <w:shd w:fill="FFFFFF" w:val="clear"/>
            <w:tcMar>
              <w:top w:type="dxa" w:w="60"/>
              <w:left w:type="dxa" w:w="100"/>
              <w:bottom w:type="dxa" w:w="60"/>
              <w:right w:type="dxa" w:w="100"/>
            </w:tcMar>
            <w:vAlign w:val="center"/>
          </w:tcPr>
          <w:p>
            <w:pPr>
              <w:spacing w:after="0"/>
            </w:pPr>
            <w:r>
              <w:rPr>
                <w:rFonts w:ascii="Aptos" w:cs="Calibri" w:eastAsia="Calibri" w:hAnsi="Aptos"/>
                <w:color w:val="4A4A4A"/>
                <w:sz w:val="18"/>
                <w:szCs w:val="17"/>
              </w:rPr>
              <w:t xml:space="preserve">India's Digital Personal Data Protection Act, 2023 — the primary data-protection law this system's student data handling is designed against (Phase 13).</w:t>
            </w:r>
          </w:p>
        </w:tc>
      </w:tr>
    </w:tbl>
    <w:p>
      <w:pPr>
        <w:spacing w:after="100"/>
      </w:pPr>
    </w:p>
    <w:p>
      <w:pPr>
        <w:spacing w:after="100" w:before="40"/>
      </w:pPr>
      <w:r>
        <w:rPr>
          <w:rFonts w:ascii="Calibri" w:cs="Calibri" w:eastAsia="Calibri" w:hAnsi="Calibri"/>
          <w:i/>
          <w:iCs/>
          <w:color w:val="7A7A7A"/>
          <w:sz w:val="17"/>
          <w:szCs w:val="17"/>
        </w:rPr>
        <w:t xml:space="preserve">End of document.</w:t>
      </w:r>
    </w:p>
    <w:sectPr>
      <w:footerReference w:type="default" r:id="rId8"/>
      <w:pgSz w:w="11906" w:h="16838" w:orient="portrait"/>
      <w:pgMar w:top="1080"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Enterprise RAG System for University Students | September 2026 Updated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2026-08-31T10:21:10.265Z</dcterms:created>
  <dcterms:modified xsi:type="dcterms:W3CDTF">2026-08-31T10:21:10.280Z</dcterms:modified>
  <dc:title>Enterprise RAG System for University Students - September 2026 Updated Architecture &amp; Implementation Plan</dc:title>
  <dc:subject>Local-first enterprise RAG architecture and implementation plan updated for September 2026</dc:subject>
  <cp:keywords>RAG, University, Qdrant, Qwen3, vLLM, PaddleOCR, Docling, OpenTelemetry, Phoenix, Kubernetes</cp:keywords>
</cp:coreProperties>
</file>

<file path=docProps/custom.xml><?xml version="1.0" encoding="utf-8"?>
<Properties xmlns="http://schemas.openxmlformats.org/officeDocument/2006/custom-properties" xmlns:vt="http://schemas.openxmlformats.org/officeDocument/2006/docPropsVTypes"/>
</file>