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Smart Oila Parent + Child 6-Week Release Plan</w:t>
      </w:r>
    </w:p>
    <w:p>
      <w:pPr>
        <w:spacing w:after="200"/>
        <w:jc w:val="center"/>
      </w:pPr>
      <w:r>
        <w:rPr>
          <w:b/>
        </w:rPr>
        <w:t>Date: 2026-04-08</w:t>
        <w:br/>
      </w:r>
      <w:r>
        <w:t>Scope: Parent app finish pass + child app release completion + shared integration hardening</w:t>
      </w:r>
    </w:p>
    <w:p>
      <w:pPr>
        <w:spacing w:after="160"/>
      </w:pPr>
      <w:r>
        <w:rPr>
          <w:sz w:val="20"/>
        </w:rPr>
        <w:t>This roadmap is based on the current repo state in /Users/jakhongirnematov/Desktop/Smart Oila Parent and /Users/jakhongirnematov/Desktop/Smart Oila Kids, plus the checked-in release docs and project structure. It assumes execution starts immediately on 2026-04-08.</w:t>
      </w:r>
    </w:p>
    <w:p>
      <w:pPr>
        <w:pStyle w:val="Heading1"/>
      </w:pPr>
      <w:r>
        <w:t>Current Starting Point</w:t>
      </w:r>
    </w:p>
    <w:p>
      <w:pPr>
        <w:pStyle w:val="ListBullet"/>
        <w:spacing w:after="60"/>
      </w:pPr>
      <w:r>
        <w:rPr>
          <w:sz w:val="20"/>
        </w:rPr>
        <w:t>Child app: repo status is near-RC. The child-owned feature set is already implemented for auth/session, chat, tasks, geo, lock, app lock, usage-based limits, SOS, push, diagnostics, and media transport. Contract, localization, script, and XCTest gates are green in the checked-in release docs; remaining blockers are backend signoff and real-device validation.</w:t>
      </w:r>
    </w:p>
    <w:p>
      <w:pPr>
        <w:pStyle w:val="ListBullet"/>
        <w:spacing w:after="60"/>
      </w:pPr>
      <w:r>
        <w:rPr>
          <w:sz w:val="20"/>
        </w:rPr>
        <w:t>Parent app: repo is buildable and already contains typed APIs and product-facing screens for applications, device lock, geofence, chat, recordings, profile, support, and push routing. The main remaining work is test coverage, legacy cleanup, release configuration hardening, and end-to-end validation with the child app.</w:t>
      </w:r>
    </w:p>
    <w:p>
      <w:pPr>
        <w:pStyle w:val="ListBullet"/>
        <w:spacing w:after="60"/>
      </w:pPr>
      <w:r>
        <w:rPr>
          <w:sz w:val="20"/>
        </w:rPr>
        <w:t>Shared release path: both apps are expected to be tested together through SmartOilaSuite.xcworkspace while keeping SmartOilaKids.xcodeproj and SmartOilaParent.xcodeproj as the canonical checked-in projects.</w:t>
      </w:r>
    </w:p>
    <w:p>
      <w:pPr>
        <w:pStyle w:val="Heading1"/>
      </w:pPr>
      <w:r>
        <w:t>Architecture Constraints From The Repos</w:t>
      </w:r>
    </w:p>
    <w:p>
      <w:pPr>
        <w:pStyle w:val="ListBullet"/>
        <w:spacing w:after="60"/>
      </w:pPr>
      <w:r>
        <w:rPr>
          <w:sz w:val="20"/>
        </w:rPr>
        <w:t>Child behavior depends on Screen Time extensions, Family Controls entitlements, and shared App Group state. Those paths cannot be fully validated in simulator-only testing.</w:t>
      </w:r>
    </w:p>
    <w:p>
      <w:pPr>
        <w:pStyle w:val="ListBullet"/>
        <w:spacing w:after="60"/>
      </w:pPr>
      <w:r>
        <w:rPr>
          <w:sz w:val="20"/>
        </w:rPr>
        <w:t>Parent still carries Source/Legacy slices and active NetworkServiceLegacy usage in task flows. Refactoring without a real test lane is the highest regression risk in the parent repo.</w:t>
      </w:r>
    </w:p>
    <w:p>
      <w:pPr>
        <w:pStyle w:val="ListBullet"/>
        <w:spacing w:after="60"/>
      </w:pPr>
      <w:r>
        <w:rPr>
          <w:sz w:val="20"/>
        </w:rPr>
        <w:t>Parent release configuration still shows external-release debt: NSAllowsArbitraryLoads is enabled, aps-environment is set to development, and secrets are still embedded in source/resources.</w:t>
      </w:r>
    </w:p>
    <w:p>
      <w:pPr>
        <w:pStyle w:val="ListBullet"/>
        <w:spacing w:after="60"/>
      </w:pPr>
      <w:r>
        <w:rPr>
          <w:sz w:val="20"/>
        </w:rPr>
        <w:t>Cross-app features depend on backend decisions that are not purely client-owned: QR bind fallback policy, websocket v2 preference, push payload schema, APNs token semantics, and media task lifecycle behavior.</w:t>
      </w:r>
    </w:p>
    <w:p>
      <w:pPr>
        <w:pStyle w:val="Heading1"/>
      </w:pPr>
      <w:r>
        <w:t>Week-By-Week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shd w:fill="D9EAF7"/>
          </w:tcPr>
          <w:p>
            <w:pPr>
              <w:spacing w:after="40" w:before="0"/>
            </w:pPr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1584"/>
            <w:shd w:fill="D9EAF7"/>
          </w:tcPr>
          <w:p>
            <w:pPr>
              <w:spacing w:after="40" w:before="0"/>
            </w:pPr>
            <w:r/>
            <w:r>
              <w:rPr>
                <w:b/>
                <w:sz w:val="18"/>
              </w:rPr>
              <w:t>Dates</w:t>
            </w:r>
          </w:p>
        </w:tc>
        <w:tc>
          <w:tcPr>
            <w:tcW w:type="dxa" w:w="4176"/>
            <w:shd w:fill="D9EAF7"/>
          </w:tcPr>
          <w:p>
            <w:pPr>
              <w:spacing w:after="40" w:before="0"/>
            </w:pPr>
            <w:r/>
            <w:r>
              <w:rPr>
                <w:b/>
                <w:sz w:val="18"/>
              </w:rPr>
              <w:t>Weekly Goal / Milestone</w:t>
            </w:r>
          </w:p>
        </w:tc>
        <w:tc>
          <w:tcPr>
            <w:tcW w:type="dxa" w:w="4032"/>
            <w:shd w:fill="D9EAF7"/>
          </w:tcPr>
          <w:p>
            <w:pPr>
              <w:spacing w:after="40" w:before="0"/>
            </w:pPr>
            <w:r/>
            <w:r>
              <w:rPr>
                <w:b/>
                <w:sz w:val="18"/>
              </w:rPr>
              <w:t>Clear Deliverables</w:t>
            </w:r>
          </w:p>
        </w:tc>
      </w:tr>
      <w:tr>
        <w:tc>
          <w:tcPr>
            <w:tcW w:type="dxa" w:w="1008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Week 1</w:t>
            </w:r>
          </w:p>
        </w:tc>
        <w:tc>
          <w:tcPr>
            <w:tcW w:type="dxa" w:w="1584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Apr 8-14</w:t>
            </w:r>
          </w:p>
        </w:tc>
        <w:tc>
          <w:tcPr>
            <w:tcW w:type="dxa" w:w="4176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Milestone 1: freeze the shared release baseline. Lock backend decisions for bind fallback, websocket v2, push payloads, and APNs semantics. Stand up the parent test lane before deeper refactors.</w:t>
            </w:r>
          </w:p>
        </w:tc>
        <w:tc>
          <w:tcPr>
            <w:tcW w:type="dxa" w:w="4032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Published contract matrix; parent test target or equivalent automated smoke lane; named owners for parent, child, backend, QA, and release; updated parent-child real-device checklist.</w:t>
            </w:r>
          </w:p>
        </w:tc>
      </w:tr>
      <w:tr>
        <w:tc>
          <w:tcPr>
            <w:tcW w:type="dxa" w:w="1008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Week 2</w:t>
            </w:r>
          </w:p>
        </w:tc>
        <w:tc>
          <w:tcPr>
            <w:tcW w:type="dxa" w:w="1584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Apr 15-21</w:t>
            </w:r>
          </w:p>
        </w:tc>
        <w:tc>
          <w:tcPr>
            <w:tcW w:type="dxa" w:w="4176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Milestone 2: finish parent hardening foundation. Move remaining must-ship parent flows away from workbench and legacy paths, close top-level UX gaps, and keep child readiness gates green.</w:t>
            </w:r>
          </w:p>
        </w:tc>
        <w:tc>
          <w:tcPr>
            <w:tcW w:type="dxa" w:w="4032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Parent service hub and product navigation finalized for applications, lock, geofence, chat, recordings, profile, and support; active NetworkServiceLegacy dependency list reduced or explicitly deferred; child script/readiness checks still green.</w:t>
            </w:r>
          </w:p>
        </w:tc>
      </w:tr>
      <w:tr>
        <w:tc>
          <w:tcPr>
            <w:tcW w:type="dxa" w:w="1008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Week 3</w:t>
            </w:r>
          </w:p>
        </w:tc>
        <w:tc>
          <w:tcPr>
            <w:tcW w:type="dxa" w:w="1584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Apr 22-28</w:t>
            </w:r>
          </w:p>
        </w:tc>
        <w:tc>
          <w:tcPr>
            <w:tcW w:type="dxa" w:w="4176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Milestone 3: complete parent-to-child control validation. Exercise applications, daily limits, manual lock, full-device lock schedule, geofence, and QR bind/session flows on paired real devices.</w:t>
            </w:r>
          </w:p>
        </w:tc>
        <w:tc>
          <w:tcPr>
            <w:tcW w:type="dxa" w:w="4032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Signed-off real-device evidence for core control flows; defect list triaged and burned down; parent and child state stay consistent after retries, reconnects, and app relaunches.</w:t>
            </w:r>
          </w:p>
        </w:tc>
      </w:tr>
      <w:tr>
        <w:tc>
          <w:tcPr>
            <w:tcW w:type="dxa" w:w="1008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Week 4</w:t>
            </w:r>
          </w:p>
        </w:tc>
        <w:tc>
          <w:tcPr>
            <w:tcW w:type="dxa" w:w="1584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Apr 29-May 5</w:t>
            </w:r>
          </w:p>
        </w:tc>
        <w:tc>
          <w:tcPr>
            <w:tcW w:type="dxa" w:w="4176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Milestone 4: stabilize realtime, push, and media. Harden push routing, chat refresh, SOS/removal/lock events, recordings, live stream states, and reconnect/background behavior.</w:t>
            </w:r>
          </w:p>
        </w:tc>
        <w:tc>
          <w:tcPr>
            <w:tcW w:type="dxa" w:w="4032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Route-aware parent push UX for SOS, removal attempts, lock, task, and media events; shared realtime regression report; child diagnostics exported for push and media soak runs.</w:t>
            </w:r>
          </w:p>
        </w:tc>
      </w:tr>
      <w:tr>
        <w:tc>
          <w:tcPr>
            <w:tcW w:type="dxa" w:w="1008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Week 5</w:t>
            </w:r>
          </w:p>
        </w:tc>
        <w:tc>
          <w:tcPr>
            <w:tcW w:type="dxa" w:w="1584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May 6-12</w:t>
            </w:r>
          </w:p>
        </w:tc>
        <w:tc>
          <w:tcPr>
            <w:tcW w:type="dxa" w:w="4176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Milestone 5: close release configuration and security debt. Externalize secrets, switch parent push config to production-ready settings, resolve or justify ATS exceptions, and run archive/distribution checks for both apps.</w:t>
            </w:r>
          </w:p>
        </w:tc>
        <w:tc>
          <w:tcPr>
            <w:tcW w:type="dxa" w:w="4032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Release-config checklist completed; production entitlement review completed; archive evidence for parent and child; localization and release-build smoke results attached.</w:t>
            </w:r>
          </w:p>
        </w:tc>
      </w:tr>
      <w:tr>
        <w:tc>
          <w:tcPr>
            <w:tcW w:type="dxa" w:w="1008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Week 6</w:t>
            </w:r>
          </w:p>
        </w:tc>
        <w:tc>
          <w:tcPr>
            <w:tcW w:type="dxa" w:w="1584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May 13-19</w:t>
            </w:r>
          </w:p>
        </w:tc>
        <w:tc>
          <w:tcPr>
            <w:tcW w:type="dxa" w:w="4176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Milestone 6: make the RC decision. Run full regression, complete rollback rehearsal, gather PM/backend/QA sign-off, and decide whether to cut release candidates or hold.</w:t>
            </w:r>
          </w:p>
        </w:tc>
        <w:tc>
          <w:tcPr>
            <w:tcW w:type="dxa" w:w="4032"/>
          </w:tcPr>
          <w:p>
            <w:pPr>
              <w:spacing w:after="40" w:before="0"/>
            </w:pPr>
            <w:r/>
            <w:r>
              <w:rPr>
                <w:b w:val="0"/>
                <w:sz w:val="18"/>
              </w:rPr>
              <w:t>RC builds for both apps; final go/no-go sheet; rollback and support playbook; launch-day checklist and open-issues list with explicit owners.</w:t>
            </w:r>
          </w:p>
        </w:tc>
      </w:tr>
    </w:tbl>
    <w:p/>
    <w:p>
      <w:pPr>
        <w:pStyle w:val="Heading1"/>
      </w:pPr>
      <w:r>
        <w:t>Milestones</w:t>
      </w:r>
    </w:p>
    <w:p>
      <w:pPr>
        <w:pStyle w:val="ListBullet"/>
        <w:spacing w:after="60"/>
      </w:pPr>
      <w:r>
        <w:rPr>
          <w:sz w:val="20"/>
        </w:rPr>
        <w:t>By 2026-04-14: shared contract choices, ownership, and test baseline are frozen.</w:t>
      </w:r>
    </w:p>
    <w:p>
      <w:pPr>
        <w:pStyle w:val="ListBullet"/>
        <w:spacing w:after="60"/>
      </w:pPr>
      <w:r>
        <w:rPr>
          <w:sz w:val="20"/>
        </w:rPr>
        <w:t>By 2026-04-21: parent must-ship flows are on stable product paths instead of workbench-first or legacy-only paths.</w:t>
      </w:r>
    </w:p>
    <w:p>
      <w:pPr>
        <w:pStyle w:val="ListBullet"/>
        <w:spacing w:after="60"/>
      </w:pPr>
      <w:r>
        <w:rPr>
          <w:sz w:val="20"/>
        </w:rPr>
        <w:t>By 2026-04-28: parent can control the child app end to end on real devices for the core safety/control feature set.</w:t>
      </w:r>
    </w:p>
    <w:p>
      <w:pPr>
        <w:pStyle w:val="ListBullet"/>
        <w:spacing w:after="60"/>
      </w:pPr>
      <w:r>
        <w:rPr>
          <w:sz w:val="20"/>
        </w:rPr>
        <w:t>By 2026-05-05: realtime, push, chat, and media flows are stable under reconnect and background scenarios.</w:t>
      </w:r>
    </w:p>
    <w:p>
      <w:pPr>
        <w:pStyle w:val="ListBullet"/>
        <w:spacing w:after="60"/>
      </w:pPr>
      <w:r>
        <w:rPr>
          <w:sz w:val="20"/>
        </w:rPr>
        <w:t>By 2026-05-12: release configuration, archives, and security cleanup are ready for an external release decision.</w:t>
      </w:r>
    </w:p>
    <w:p>
      <w:pPr>
        <w:pStyle w:val="ListBullet"/>
        <w:spacing w:after="60"/>
      </w:pPr>
      <w:r>
        <w:rPr>
          <w:sz w:val="20"/>
        </w:rPr>
        <w:t>By 2026-05-19: release candidates are either approved or blocked with explicit ownership and recovery dates.</w:t>
      </w:r>
    </w:p>
    <w:p>
      <w:pPr>
        <w:pStyle w:val="Heading1"/>
      </w:pPr>
      <w:r>
        <w:t>Dependencies</w:t>
      </w:r>
    </w:p>
    <w:p>
      <w:pPr>
        <w:pStyle w:val="ListBullet"/>
        <w:spacing w:after="60"/>
      </w:pPr>
      <w:r>
        <w:rPr>
          <w:sz w:val="20"/>
        </w:rPr>
        <w:t>Backend owner availability for bind-policy signoff, websocket routing decisions, push payload schema, APNs token handling, and media task semantics.</w:t>
      </w:r>
    </w:p>
    <w:p>
      <w:pPr>
        <w:pStyle w:val="ListBullet"/>
        <w:spacing w:after="60"/>
      </w:pPr>
      <w:r>
        <w:rPr>
          <w:sz w:val="20"/>
        </w:rPr>
        <w:t>At least one paired parent-child real-device setup on an APNs-capable backend environment; simulator coverage is not enough for the final pass.</w:t>
      </w:r>
    </w:p>
    <w:p>
      <w:pPr>
        <w:pStyle w:val="ListBullet"/>
        <w:spacing w:after="60"/>
      </w:pPr>
      <w:r>
        <w:rPr>
          <w:sz w:val="20"/>
        </w:rPr>
        <w:t>Access to both canonical Xcode projects plus the shared workspace for paired validation and archive checks.</w:t>
      </w:r>
    </w:p>
    <w:p>
      <w:pPr>
        <w:pStyle w:val="ListBullet"/>
        <w:spacing w:after="60"/>
      </w:pPr>
      <w:r>
        <w:rPr>
          <w:sz w:val="20"/>
        </w:rPr>
        <w:t>Design/PM review for ambiguous Figma frames and for expectation alignment on iOS-only limitations.</w:t>
      </w:r>
    </w:p>
    <w:p>
      <w:pPr>
        <w:pStyle w:val="ListBullet"/>
        <w:spacing w:after="60"/>
      </w:pPr>
      <w:r>
        <w:rPr>
          <w:sz w:val="20"/>
        </w:rPr>
        <w:t>Release owner access for signing, archive export, entitlement review, and App Store / distribution steps.</w:t>
      </w:r>
    </w:p>
    <w:p>
      <w:pPr>
        <w:pStyle w:val="Heading1"/>
      </w:pPr>
      <w:r>
        <w:t>Risks</w:t>
      </w:r>
    </w:p>
    <w:p>
      <w:pPr>
        <w:pStyle w:val="ListBullet"/>
        <w:spacing w:after="60"/>
      </w:pPr>
      <w:r>
        <w:rPr>
          <w:sz w:val="20"/>
        </w:rPr>
        <w:t>Parent has no checked-in automated test target today. That raises the chance of regressions during legacy cleanup and service-hub refactors.</w:t>
      </w:r>
    </w:p>
    <w:p>
      <w:pPr>
        <w:pStyle w:val="ListBullet"/>
        <w:spacing w:after="60"/>
      </w:pPr>
      <w:r>
        <w:rPr>
          <w:sz w:val="20"/>
        </w:rPr>
        <w:t>Child remaining blockers are manual and contractual rather than implementation gaps. Schedule slip risk is mostly tied to backend response time and real-device availability.</w:t>
      </w:r>
    </w:p>
    <w:p>
      <w:pPr>
        <w:pStyle w:val="ListBullet"/>
        <w:spacing w:after="60"/>
      </w:pPr>
      <w:r>
        <w:rPr>
          <w:sz w:val="20"/>
        </w:rPr>
        <w:t>Screen Time, Family Controls, background geo cadence, APNs delivery, and lock enforcement cannot be fully proven in simulator-only runs.</w:t>
      </w:r>
    </w:p>
    <w:p>
      <w:pPr>
        <w:pStyle w:val="ListBullet"/>
        <w:spacing w:after="60"/>
      </w:pPr>
      <w:r>
        <w:rPr>
          <w:sz w:val="20"/>
        </w:rPr>
        <w:t>Parent release debt can block external shipment even if features are complete: NSAllowsArbitraryLoads, development aps-environment, and embedded secrets must be resolved or formally accepted.</w:t>
      </w:r>
    </w:p>
    <w:p>
      <w:pPr>
        <w:pStyle w:val="ListBullet"/>
        <w:spacing w:after="60"/>
      </w:pPr>
      <w:r>
        <w:rPr>
          <w:sz w:val="20"/>
        </w:rPr>
        <w:t>Shared push/location/lock/chat/media behavior can fail at integration boundaries even when each app looks healthy in isolation.</w:t>
      </w:r>
    </w:p>
    <w:p>
      <w:pPr>
        <w:pStyle w:val="ListBullet"/>
        <w:spacing w:after="60"/>
      </w:pPr>
      <w:r>
        <w:rPr>
          <w:sz w:val="20"/>
        </w:rPr>
        <w:t>The Android-style uninstall or admin-removal prevention model referenced in backend materials is not available on App Store iOS, so PM/client scope alignment must stay explicit.</w:t>
      </w:r>
    </w:p>
    <w:p>
      <w:pPr>
        <w:pStyle w:val="Heading1"/>
      </w:pPr>
      <w:r>
        <w:t>Recommended Success Criteria</w:t>
      </w:r>
    </w:p>
    <w:p>
      <w:pPr>
        <w:pStyle w:val="ListBullet"/>
        <w:spacing w:after="60"/>
      </w:pPr>
      <w:r>
        <w:rPr>
          <w:sz w:val="20"/>
        </w:rPr>
        <w:t>Parent and child both build, archive, and install from their canonical checked-in projects.</w:t>
      </w:r>
    </w:p>
    <w:p>
      <w:pPr>
        <w:pStyle w:val="ListBullet"/>
        <w:spacing w:after="60"/>
      </w:pPr>
      <w:r>
        <w:rPr>
          <w:sz w:val="20"/>
        </w:rPr>
        <w:t>Parent control actions visibly propagate to the child on real devices with predictable retry and error handling.</w:t>
      </w:r>
    </w:p>
    <w:p>
      <w:pPr>
        <w:pStyle w:val="ListBullet"/>
        <w:spacing w:after="60"/>
      </w:pPr>
      <w:r>
        <w:rPr>
          <w:sz w:val="20"/>
        </w:rPr>
        <w:t>Open critical issues at RC time are limited to documented release waivers, not unknown contract or environment behavior.</w:t>
      </w:r>
    </w:p>
    <w:p>
      <w:pPr>
        <w:spacing w:before="160" w:after="0"/>
      </w:pPr>
      <w:r>
        <w:rPr>
          <w:i/>
          <w:sz w:val="18"/>
        </w:rPr>
        <w:t>Repo inputs used: Smart Oila Kids README and release docs, Smart Oila Parent README and checked-in finish/execution docs, plus current project structure and resource files reviewed on 2026-04-08.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