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Post-Release Stabilization Plan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define the first monitoring windows, owner lanes, incident thresholds, and reporting cadence after a combined parent-child GO decision so the release can be stabilized with the current risk profile in mind</w:t>
      </w:r>
    </w:p>
    <w:p>
      <w:pPr>
        <w:jc w:val="left"/>
      </w:pPr>
      <w:r>
        <w:rPr>
          <w:rFonts w:ascii="Times New Roman" w:hAnsi="Times New Roman"/>
          <w:sz w:val="20"/>
        </w:rPr>
        <w:t>Current posture: the combined release is still HOLD before cutover, but the binder now covers GO, HOLD, rollback, waiver, and dependency management. This document defines what happens immediately after GO: what to watch, who owns first response, what forces a new HOLD or rollback decision, and what evidence must be preserved during the first operating windows.</w:t>
      </w:r>
    </w:p>
    <w:p>
      <w:pPr>
        <w:pStyle w:val="Heading1"/>
      </w:pPr>
      <w:r>
        <w:t>Stabilization Principles</w:t>
      </w:r>
    </w:p>
    <w:p>
      <w:pPr>
        <w:pStyle w:val="ListBullet"/>
      </w:pPr>
      <w:r>
        <w:rPr>
          <w:rFonts w:ascii="Times New Roman" w:hAnsi="Times New Roman"/>
          <w:sz w:val="20"/>
        </w:rPr>
        <w:t>Treat the first live operating window as a continuation of release validation, not as a separate phase with lower evidence standards.</w:t>
      </w:r>
    </w:p>
    <w:p>
      <w:pPr>
        <w:pStyle w:val="ListBullet"/>
      </w:pPr>
      <w:r>
        <w:rPr>
          <w:rFonts w:ascii="Times New Roman" w:hAnsi="Times New Roman"/>
          <w:sz w:val="20"/>
        </w:rPr>
        <w:t>The highest-risk watch areas remain the same as the pre-GO risks: bind and session integrity, push routing, background location and geofence behavior, app controls and lock enforcement, and critical event propagation.</w:t>
      </w:r>
    </w:p>
    <w:p>
      <w:pPr>
        <w:pStyle w:val="ListBullet"/>
      </w:pPr>
      <w:r>
        <w:rPr>
          <w:rFonts w:ascii="Times New Roman" w:hAnsi="Times New Roman"/>
          <w:sz w:val="20"/>
        </w:rPr>
        <w:t>Every issue found during stabilization must map to the blocker tracker, communications kit, and if needed the rollback decision matrix.</w:t>
      </w:r>
    </w:p>
    <w:p>
      <w:pPr>
        <w:pStyle w:val="ListBullet"/>
      </w:pPr>
      <w:r>
        <w:rPr>
          <w:rFonts w:ascii="Times New Roman" w:hAnsi="Times New Roman"/>
          <w:sz w:val="20"/>
        </w:rPr>
        <w:t>A clean dashboard or anecdotal confirmation is not enough. Preserve logs, screenshots, build identity, environment name, and the exact user-visible symptom.</w:t>
      </w:r>
    </w:p>
    <w:p>
      <w:pPr>
        <w:pStyle w:val="Heading1"/>
      </w:pPr>
      <w:r>
        <w:t>Hypercare Windows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Window</w:t>
            </w:r>
          </w:p>
        </w:tc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Primary Goal</w:t>
            </w:r>
          </w:p>
        </w:tc>
        <w:tc>
          <w:tcPr>
            <w:tcW w:type="dxa" w:w="460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Must Watch</w:t>
            </w:r>
          </w:p>
        </w:tc>
        <w:tc>
          <w:tcPr>
            <w:tcW w:type="dxa" w:w="309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Reporting Cadence</w:t>
            </w:r>
          </w:p>
        </w:tc>
        <w:tc>
          <w:tcPr>
            <w:tcW w:type="dxa" w:w="374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Primary Owners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T0 to T+2h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Confirm that the released builds behave like the final RC evidence on live devices and live backend state.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Bind or session state, push routing, app control acknowledgement, crash or launch failures, environment drift.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Every 30 minutes or immediately on failure.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QA owner + owning app leads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T+2h to T+8h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Watch for delayed or background-dependent failures that do not show up during the first smoke pass.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Background location, geofence updates, child enforcement persistence, delayed notifications, media or chat sync.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Hourly checkpoint plus event-driven escalation.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T+8h to T+24h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Confirm overnight or longer-running behavior remains within expected bounds.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Session persistence, background wake behavior, low-frequency event routing, support-reported anomalies.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 least one checkpoint before close of day and one at next start of day.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backend owner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T+24h to T+72h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Decide whether the release exits hypercare or remains under watch due to residual risk.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 blocker trend, waiver expiry conditions, repeat incidents, environment-specific drift.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Daily checkpoint and immediate escalation on new Sev1 or Sev2 patterns.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PM owner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Post T+72h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Transition remaining items into normal backlog or day-2 operations.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Approved waivers, support trend, patch need, unresolved low-severity watch items.</w:t>
            </w:r>
          </w:p>
        </w:tc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Normal operating cadence unless a live issue reopens release risk.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owning lanes</w:t>
            </w:r>
          </w:p>
        </w:tc>
      </w:tr>
    </w:tbl>
    <w:p>
      <w:pPr>
        <w:pStyle w:val="Heading1"/>
      </w:pPr>
      <w:r>
        <w:t>Priority Watch Areas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74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Watch Area</w:t>
            </w:r>
          </w:p>
        </w:tc>
        <w:tc>
          <w:tcPr>
            <w:tcW w:type="dxa" w:w="511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Watch For</w:t>
            </w:r>
          </w:p>
        </w:tc>
        <w:tc>
          <w:tcPr>
            <w:tcW w:type="dxa" w:w="50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First Response</w:t>
            </w:r>
          </w:p>
        </w:tc>
        <w:tc>
          <w:tcPr>
            <w:tcW w:type="dxa" w:w="35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 Lane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Parent-child bind and session integrity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sign that parent and child state diverge after release or recover differently after app restart.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 blocker immediately; compare to last known good RC evidence; escalate through release owner.</w:t>
            </w:r>
          </w:p>
        </w:tc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 delivery and routing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Delayed, missing, duplicate, or misrouted push behavior on live builds.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Capture push timestamps, environment, device state, and server-side acknowledgement if available.</w:t>
            </w:r>
          </w:p>
        </w:tc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 + QA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Background location and geofence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Live movement or background execution no longer converges with backend state as validated pre-release.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Preserve device timestamps, screenshots, logs, and backend observation; re-run if safe.</w:t>
            </w:r>
          </w:p>
        </w:tc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 controls and lock enforcement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restrictions do not apply, clear, or persist as expected from parent action.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Treat as critical; compare entitlement, extension, and runtime state to final RC evidence.</w:t>
            </w:r>
          </w:p>
        </w:tc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iOS owner + release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SOS, tasks, and critical event propagation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Critical event flows do not visibly complete or diverge across devices.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Escalate as at least HOLD for live review; preserve evidence and user impact immediately.</w:t>
            </w:r>
          </w:p>
        </w:tc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Chat, recordings, media, and support flows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Non-core flows regress in ways that may indicate broader backend or session instability.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Bound impact, preserve evidence, and decide whether the issue stays in watch or becomes blocker.</w:t>
            </w:r>
          </w:p>
        </w:tc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release hardening follow-through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release-config or security concern reappears after GO or a waiver condition is violated.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Reopen the issue through the waiver register and rollback matrix if impact widens.</w:t>
            </w:r>
          </w:p>
        </w:tc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 + PM owner</w:t>
            </w:r>
          </w:p>
        </w:tc>
      </w:tr>
    </w:tbl>
    <w:p>
      <w:pPr>
        <w:pStyle w:val="Heading1"/>
      </w:pPr>
      <w:r>
        <w:t>Incident Thresholds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37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Threshold</w:t>
            </w:r>
          </w:p>
        </w:tc>
        <w:tc>
          <w:tcPr>
            <w:tcW w:type="dxa" w:w="61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Trigger Example</w:t>
            </w:r>
          </w:p>
        </w:tc>
        <w:tc>
          <w:tcPr>
            <w:tcW w:type="dxa" w:w="61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Required Action</w:t>
            </w:r>
          </w:p>
        </w:tc>
        <w:tc>
          <w:tcPr>
            <w:tcW w:type="dxa" w:w="266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Decision Level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Monitor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Single-device flake that does not reproduce and does not touch a critical shared flow.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Log a watch item, preserve minimal evidence, and keep the next checkpoint time explicit.</w:t>
            </w:r>
          </w:p>
        </w:tc>
        <w:tc>
          <w:tcPr>
            <w:tcW w:type="dxa" w:w="2664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Monitor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Escalate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Repeatable non-critical defect, backend answer drift, or evidence mismatch that could widen risk.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 blocker, notify release owner, and schedule a named re-test or decision checkpoint.</w:t>
            </w:r>
          </w:p>
        </w:tc>
        <w:tc>
          <w:tcPr>
            <w:tcW w:type="dxa" w:w="266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Escalate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HOLD or Rollback Review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Critical shared flow regression, build identity problem, child lock failure, unbounded security issue, or widespread push or location failure.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Invoke the rollback decision matrix, send a new release-state message, and preserve full evidence immediately.</w:t>
            </w:r>
          </w:p>
        </w:tc>
        <w:tc>
          <w:tcPr>
            <w:tcW w:type="dxa" w:w="2664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HOLD or Rollback Review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Escalate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Support report suggests a pattern not seen in RC but still lacks engineering proof.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Collect identifiers, reproduce if possible, and compare against the dependency matrix before dismissing.</w:t>
            </w:r>
          </w:p>
        </w:tc>
        <w:tc>
          <w:tcPr>
            <w:tcW w:type="dxa" w:w="266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Escalate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Monitor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Approved waiver remains active but within its exact expiry and control conditions.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Track against its removal date and confirm the condition does not widen.</w:t>
            </w:r>
          </w:p>
        </w:tc>
        <w:tc>
          <w:tcPr>
            <w:tcW w:type="dxa" w:w="2664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Monitor</w:t>
            </w:r>
          </w:p>
        </w:tc>
      </w:tr>
    </w:tbl>
    <w:p>
      <w:pPr>
        <w:pStyle w:val="Heading1"/>
      </w:pPr>
      <w:r>
        <w:t>Required Artifacts During Hypercare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Artifact</w:t>
            </w:r>
          </w:p>
        </w:tc>
        <w:tc>
          <w:tcPr>
            <w:tcW w:type="dxa" w:w="86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Why It Matters</w:t>
            </w:r>
          </w:p>
        </w:tc>
        <w:tc>
          <w:tcPr>
            <w:tcW w:type="dxa" w:w="331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Current build identities and environment name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Every live observation must be tied to the exact shipped builds and backend environment.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Live logs and screenshots for any suspected regression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Stabilization decisions must remain evidence-based and comparable to RC proof.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Updated blocker or watch-item state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 issues must be traceable to an owner and next checkpoint time.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owning lane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Communications update for any escalated issue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Stakeholders need the current state, next action, and decision timing without relying on side channels.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Waiver and rollback references when applicable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active residual risk or rollback review must point back to its formal governing doc.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</w:tr>
    </w:tbl>
    <w:p>
      <w:pPr>
        <w:pStyle w:val="Heading1"/>
      </w:pPr>
      <w:r>
        <w:t>Usage Rules</w:t>
      </w:r>
    </w:p>
    <w:p>
      <w:pPr>
        <w:pStyle w:val="ListBullet"/>
      </w:pPr>
      <w:r>
        <w:rPr>
          <w:rFonts w:ascii="Times New Roman" w:hAnsi="Times New Roman"/>
          <w:sz w:val="20"/>
        </w:rPr>
        <w:t>Use this plan only after a GO decision. Before GO, the RC checklist, scorecard, dependency matrix, and rollback matrix remain the active control documents.</w:t>
      </w:r>
    </w:p>
    <w:p>
      <w:pPr>
        <w:pStyle w:val="ListBullet"/>
      </w:pPr>
      <w:r>
        <w:rPr>
          <w:rFonts w:ascii="Times New Roman" w:hAnsi="Times New Roman"/>
          <w:sz w:val="20"/>
        </w:rPr>
        <w:t>If any hypercare incident crosses the HOLD or rollback threshold, stop treating the issue as post-release monitoring and move immediately back into release-control mode.</w:t>
      </w:r>
    </w:p>
    <w:p>
      <w:pPr>
        <w:pStyle w:val="ListBullet"/>
      </w:pPr>
      <w:r>
        <w:rPr>
          <w:rFonts w:ascii="Times New Roman" w:hAnsi="Times New Roman"/>
          <w:sz w:val="20"/>
        </w:rPr>
        <w:t>At the end of T+72h, either close hypercare with a written summary or explicitly extend it with owner-approved reasons and a new checkpoint cadence.</w:t>
      </w:r>
    </w:p>
    <w:p>
      <w:pPr>
        <w:pStyle w:val="ListBullet"/>
      </w:pPr>
      <w:r>
        <w:rPr>
          <w:rFonts w:ascii="Times New Roman" w:hAnsi="Times New Roman"/>
          <w:sz w:val="20"/>
        </w:rPr>
        <w:t>Repo inputs used: combined RC checklist, real-device validation matrix, blocker tracker, communications kit, ownership matrix, dependency matrix, waiver register, rollback decision matrix, and cutover runbook reviewed on 2026-04-08.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post-release stabilization plan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