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Smart Oila Parent + Child Release Follow-Up Register</w:t>
      </w:r>
    </w:p>
    <w:p>
      <w:pPr>
        <w:jc w:val="center"/>
      </w:pPr>
      <w:r>
        <w:rPr>
          <w:rFonts w:ascii="Times New Roman" w:hAnsi="Times New Roman"/>
          <w:b/>
          <w:sz w:val="20"/>
        </w:rPr>
        <w:t>Date: 2026-04-08</w:t>
      </w:r>
    </w:p>
    <w:p>
      <w:pPr>
        <w:jc w:val="center"/>
      </w:pPr>
      <w:r>
        <w:rPr>
          <w:rFonts w:ascii="Times New Roman" w:hAnsi="Times New Roman"/>
          <w:sz w:val="20"/>
        </w:rPr>
        <w:t>Purpose: move unresolved release, stabilization, support, waiver, and hotfix outcomes into explicit dated follow-up work with owners and closure evidence</w:t>
      </w:r>
    </w:p>
    <w:p>
      <w:pPr>
        <w:jc w:val="left"/>
      </w:pPr>
      <w:r>
        <w:rPr>
          <w:rFonts w:ascii="Times New Roman" w:hAnsi="Times New Roman"/>
          <w:sz w:val="20"/>
        </w:rPr>
        <w:t>Current posture: the combined release is still HOLD before cutover, so this document is a forward-use register. It is intended to be filled during closeout, extended hypercare, rollback recovery, or hotfix follow-through. The goal is to prevent open release work from disappearing into narrative notes once the active window ends.</w:t>
      </w:r>
    </w:p>
    <w:p>
      <w:pPr>
        <w:pStyle w:val="Heading1"/>
      </w:pPr>
      <w:r>
        <w:t>Register Rules</w:t>
      </w:r>
    </w:p>
    <w:p>
      <w:pPr>
        <w:pStyle w:val="ListBullet"/>
      </w:pPr>
      <w:r>
        <w:rPr>
          <w:rFonts w:ascii="Times New Roman" w:hAnsi="Times New Roman"/>
          <w:sz w:val="20"/>
        </w:rPr>
        <w:t>Every carry-forward item must have one primary owner, one target date, and one stated closure condition.</w:t>
      </w:r>
    </w:p>
    <w:p>
      <w:pPr>
        <w:pStyle w:val="ListBullet"/>
      </w:pPr>
      <w:r>
        <w:rPr>
          <w:rFonts w:ascii="Times New Roman" w:hAnsi="Times New Roman"/>
          <w:sz w:val="20"/>
        </w:rPr>
        <w:t>If an item comes from a blocker, waiver, support escalation, or hotfix, keep the original source ID in this register.</w:t>
      </w:r>
    </w:p>
    <w:p>
      <w:pPr>
        <w:pStyle w:val="ListBullet"/>
      </w:pPr>
      <w:r>
        <w:rPr>
          <w:rFonts w:ascii="Times New Roman" w:hAnsi="Times New Roman"/>
          <w:sz w:val="20"/>
        </w:rPr>
        <w:t>Do not mark an item Done because the symptom is quiet. Mark it Done only when the named closure evidence exists.</w:t>
      </w:r>
    </w:p>
    <w:p>
      <w:pPr>
        <w:pStyle w:val="ListBullet"/>
      </w:pPr>
      <w:r>
        <w:rPr>
          <w:rFonts w:ascii="Times New Roman" w:hAnsi="Times New Roman"/>
          <w:sz w:val="20"/>
        </w:rPr>
        <w:t>If the item widens or re-enters live release risk, route it back into the blocker tracker, rollback matrix, or hotfix path immediately.</w:t>
      </w:r>
    </w:p>
    <w:p>
      <w:pPr>
        <w:pStyle w:val="Heading1"/>
      </w:pPr>
      <w:r>
        <w:t>Register Header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7128"/>
        <w:gridCol w:w="7128"/>
      </w:tblGrid>
      <w:tr>
        <w:tc>
          <w:tcPr>
            <w:tcW w:type="dxa" w:w="4608"/>
            <w:shd w:fill="D9EAF7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0"/>
              </w:rPr>
              <w:t>Field</w:t>
            </w:r>
          </w:p>
        </w:tc>
        <w:tc>
          <w:tcPr>
            <w:tcW w:type="dxa" w:w="11808"/>
            <w:shd w:fill="D9EAF7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0"/>
              </w:rPr>
              <w:t>Value</w:t>
            </w:r>
          </w:p>
        </w:tc>
      </w:tr>
      <w:tr>
        <w:tc>
          <w:tcPr>
            <w:tcW w:type="dxa" w:w="460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Release window or closeout name</w:t>
            </w:r>
          </w:p>
        </w:tc>
        <w:tc>
          <w:tcPr>
            <w:tcW w:type="dxa" w:w="1180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[NAME]</w:t>
            </w:r>
          </w:p>
        </w:tc>
      </w:tr>
      <w:tr>
        <w:tc>
          <w:tcPr>
            <w:tcW w:type="dxa" w:w="460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Decision path</w:t>
            </w:r>
          </w:p>
        </w:tc>
        <w:tc>
          <w:tcPr>
            <w:tcW w:type="dxa" w:w="1180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[GO / extended hypercare / rollback / deferred]</w:t>
            </w:r>
          </w:p>
        </w:tc>
      </w:tr>
      <w:tr>
        <w:tc>
          <w:tcPr>
            <w:tcW w:type="dxa" w:w="460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Parent build identity</w:t>
            </w:r>
          </w:p>
        </w:tc>
        <w:tc>
          <w:tcPr>
            <w:tcW w:type="dxa" w:w="1180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[PARENT_BUILD]</w:t>
            </w:r>
          </w:p>
        </w:tc>
      </w:tr>
      <w:tr>
        <w:tc>
          <w:tcPr>
            <w:tcW w:type="dxa" w:w="460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Child build identity</w:t>
            </w:r>
          </w:p>
        </w:tc>
        <w:tc>
          <w:tcPr>
            <w:tcW w:type="dxa" w:w="1180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[CHILD_BUILD]</w:t>
            </w:r>
          </w:p>
        </w:tc>
      </w:tr>
      <w:tr>
        <w:tc>
          <w:tcPr>
            <w:tcW w:type="dxa" w:w="460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Backend environment</w:t>
            </w:r>
          </w:p>
        </w:tc>
        <w:tc>
          <w:tcPr>
            <w:tcW w:type="dxa" w:w="1180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[ENV]</w:t>
            </w:r>
          </w:p>
        </w:tc>
      </w:tr>
      <w:tr>
        <w:tc>
          <w:tcPr>
            <w:tcW w:type="dxa" w:w="460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Prepared by</w:t>
            </w:r>
          </w:p>
        </w:tc>
        <w:tc>
          <w:tcPr>
            <w:tcW w:type="dxa" w:w="1180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[NAME]</w:t>
            </w:r>
          </w:p>
        </w:tc>
      </w:tr>
      <w:tr>
        <w:tc>
          <w:tcPr>
            <w:tcW w:type="dxa" w:w="460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Review cadence</w:t>
            </w:r>
          </w:p>
        </w:tc>
        <w:tc>
          <w:tcPr>
            <w:tcW w:type="dxa" w:w="1180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[Daily / weekly / custom]</w:t>
            </w:r>
          </w:p>
        </w:tc>
      </w:tr>
      <w:tr>
        <w:tc>
          <w:tcPr>
            <w:tcW w:type="dxa" w:w="460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Final archive location</w:t>
            </w:r>
          </w:p>
        </w:tc>
        <w:tc>
          <w:tcPr>
            <w:tcW w:type="dxa" w:w="1180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[PATH]</w:t>
            </w:r>
          </w:p>
        </w:tc>
      </w:tr>
    </w:tbl>
    <w:p>
      <w:pPr>
        <w:pStyle w:val="Heading1"/>
      </w:pPr>
      <w:r>
        <w:t>Carry-Forward Register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82"/>
        <w:gridCol w:w="1782"/>
        <w:gridCol w:w="1782"/>
        <w:gridCol w:w="1782"/>
        <w:gridCol w:w="1782"/>
        <w:gridCol w:w="1782"/>
        <w:gridCol w:w="1782"/>
        <w:gridCol w:w="1782"/>
      </w:tblGrid>
      <w:tr>
        <w:tc>
          <w:tcPr>
            <w:tcW w:type="dxa" w:w="1440"/>
            <w:shd w:fill="D9EAF7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0"/>
              </w:rPr>
              <w:t>ID</w:t>
            </w:r>
          </w:p>
        </w:tc>
        <w:tc>
          <w:tcPr>
            <w:tcW w:type="dxa" w:w="2880"/>
            <w:shd w:fill="D9EAF7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0"/>
              </w:rPr>
              <w:t>Source</w:t>
            </w:r>
          </w:p>
        </w:tc>
        <w:tc>
          <w:tcPr>
            <w:tcW w:type="dxa" w:w="3888"/>
            <w:shd w:fill="D9EAF7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0"/>
              </w:rPr>
              <w:t>Carry-Forward Item</w:t>
            </w:r>
          </w:p>
        </w:tc>
        <w:tc>
          <w:tcPr>
            <w:tcW w:type="dxa" w:w="4320"/>
            <w:shd w:fill="D9EAF7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0"/>
              </w:rPr>
              <w:t>Why It Carries Forward</w:t>
            </w:r>
          </w:p>
        </w:tc>
        <w:tc>
          <w:tcPr>
            <w:tcW w:type="dxa" w:w="2160"/>
            <w:shd w:fill="D9EAF7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0"/>
              </w:rPr>
              <w:t>Owner</w:t>
            </w:r>
          </w:p>
        </w:tc>
        <w:tc>
          <w:tcPr>
            <w:tcW w:type="dxa" w:w="1728"/>
            <w:shd w:fill="D9EAF7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0"/>
              </w:rPr>
              <w:t>Target Date</w:t>
            </w:r>
          </w:p>
        </w:tc>
        <w:tc>
          <w:tcPr>
            <w:tcW w:type="dxa" w:w="1584"/>
            <w:shd w:fill="D9EAF7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0"/>
              </w:rPr>
              <w:t>Status</w:t>
            </w:r>
          </w:p>
        </w:tc>
        <w:tc>
          <w:tcPr>
            <w:tcW w:type="dxa" w:w="3024"/>
            <w:shd w:fill="D9EAF7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0"/>
              </w:rPr>
              <w:t>Closure Evidence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CF-001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Blocker or validation matrix</w:t>
            </w:r>
          </w:p>
        </w:tc>
        <w:tc>
          <w:tcPr>
            <w:tcW w:type="dxa" w:w="388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Residual real-device confirmation or repeat run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Critical flow may be stable enough to release but still needs longer-window proof or scheduled recheck.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QA owner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[DATE]</w:t>
            </w:r>
          </w:p>
        </w:tc>
        <w:tc>
          <w:tcPr>
            <w:tcW w:type="dxa" w:w="1584"/>
            <w:shd w:fill="FFF2CC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Open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Named re-run result, logs, screenshots, updated scorecard status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CF-002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Decision log or backend checkpoint</w:t>
            </w:r>
          </w:p>
        </w:tc>
        <w:tc>
          <w:tcPr>
            <w:tcW w:type="dxa" w:w="388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Backend environment or contract follow-up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A backend-dependent answer was bounded for release but still requires confirmation or cleanup.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Backend owner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[DATE]</w:t>
            </w:r>
          </w:p>
        </w:tc>
        <w:tc>
          <w:tcPr>
            <w:tcW w:type="dxa" w:w="1584"/>
            <w:shd w:fill="FFF2CC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Open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Decision-log update and explicit environment confirmation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CF-003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Waiver register</w:t>
            </w:r>
          </w:p>
        </w:tc>
        <w:tc>
          <w:tcPr>
            <w:tcW w:type="dxa" w:w="388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Waiver removal or expiry checkpoint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Accepted residual risk must be removed or re-approved on a date, not left indefinite.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PM owner + release owner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[DATE]</w:t>
            </w:r>
          </w:p>
        </w:tc>
        <w:tc>
          <w:tcPr>
            <w:tcW w:type="dxa" w:w="1584"/>
            <w:shd w:fill="FFF2CC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Open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Updated waiver entry with removed or renewed status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CF-004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Support escalation or stabilization plan</w:t>
            </w:r>
          </w:p>
        </w:tc>
        <w:tc>
          <w:tcPr>
            <w:tcW w:type="dxa" w:w="388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Live-issue trend review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A live signal was downgraded to watch status but still needs monitoring to prove closure.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Support owner + QA owner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[DATE]</w:t>
            </w:r>
          </w:p>
        </w:tc>
        <w:tc>
          <w:tcPr>
            <w:tcW w:type="dxa" w:w="1584"/>
            <w:shd w:fill="FFF2CC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Open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Trend summary, incident update, and no-repeat evidence over the agreed window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CF-005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Hotfix framework or execution checklist</w:t>
            </w:r>
          </w:p>
        </w:tc>
        <w:tc>
          <w:tcPr>
            <w:tcW w:type="dxa" w:w="388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Patch outcome follow-up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A hotfix resolved the immediate issue but still needs backlog cleanup, hardening, or retrospective action.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Owning lane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[DATE]</w:t>
            </w:r>
          </w:p>
        </w:tc>
        <w:tc>
          <w:tcPr>
            <w:tcW w:type="dxa" w:w="1584"/>
            <w:shd w:fill="FFF2CC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Open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Closeout entry plus linked implementation or cleanup task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CF-006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Closeout report</w:t>
            </w:r>
          </w:p>
        </w:tc>
        <w:tc>
          <w:tcPr>
            <w:tcW w:type="dxa" w:w="388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Process improvement or tooling follow-up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A release-process weakness was observed and should be corrected before the next window.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Release owner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[DATE]</w:t>
            </w:r>
          </w:p>
        </w:tc>
        <w:tc>
          <w:tcPr>
            <w:tcW w:type="dxa" w:w="1584"/>
            <w:shd w:fill="FFF2CC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Open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Updated binder doc, script, or operating rule with reviewer sign-off</w:t>
            </w:r>
          </w:p>
        </w:tc>
      </w:tr>
    </w:tbl>
    <w:p>
      <w:pPr>
        <w:pStyle w:val="Heading1"/>
      </w:pPr>
      <w:r>
        <w:t>Priority And Review Rules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564"/>
        <w:gridCol w:w="3564"/>
        <w:gridCol w:w="3564"/>
        <w:gridCol w:w="3564"/>
      </w:tblGrid>
      <w:tr>
        <w:tc>
          <w:tcPr>
            <w:tcW w:type="dxa" w:w="1584"/>
            <w:shd w:fill="D9EAF7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0"/>
              </w:rPr>
              <w:t>Priority</w:t>
            </w:r>
          </w:p>
        </w:tc>
        <w:tc>
          <w:tcPr>
            <w:tcW w:type="dxa" w:w="7200"/>
            <w:shd w:fill="D9EAF7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0"/>
              </w:rPr>
              <w:t>Use When</w:t>
            </w:r>
          </w:p>
        </w:tc>
        <w:tc>
          <w:tcPr>
            <w:tcW w:type="dxa" w:w="4176"/>
            <w:shd w:fill="D9EAF7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0"/>
              </w:rPr>
              <w:t>Review Cadence</w:t>
            </w:r>
          </w:p>
        </w:tc>
        <w:tc>
          <w:tcPr>
            <w:tcW w:type="dxa" w:w="4752"/>
            <w:shd w:fill="D9EAF7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0"/>
              </w:rPr>
              <w:t>Escalate If</w:t>
            </w:r>
          </w:p>
        </w:tc>
      </w:tr>
      <w:tr>
        <w:tc>
          <w:tcPr>
            <w:tcW w:type="dxa" w:w="1584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P1</w:t>
            </w:r>
          </w:p>
        </w:tc>
        <w:tc>
          <w:tcPr>
            <w:tcW w:type="dxa" w:w="7200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Item can re-open live release risk or cause another hotfix or rollback decision if delayed.</w:t>
            </w:r>
          </w:p>
        </w:tc>
        <w:tc>
          <w:tcPr>
            <w:tcW w:type="dxa" w:w="4176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Every active operating checkpoint until resolved</w:t>
            </w:r>
          </w:p>
        </w:tc>
        <w:tc>
          <w:tcPr>
            <w:tcW w:type="dxa" w:w="4752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Target date slips or symptom repeats</w:t>
            </w:r>
          </w:p>
        </w:tc>
      </w:tr>
      <w:tr>
        <w:tc>
          <w:tcPr>
            <w:tcW w:type="dxa" w:w="1584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P2</w:t>
            </w:r>
          </w:p>
        </w:tc>
        <w:tc>
          <w:tcPr>
            <w:tcW w:type="dxa" w:w="7200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Item affects user trust, operational load, or waiver removal timing but is not currently release-critical.</w:t>
            </w:r>
          </w:p>
        </w:tc>
        <w:tc>
          <w:tcPr>
            <w:tcW w:type="dxa" w:w="4176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At least weekly until resolved</w:t>
            </w:r>
          </w:p>
        </w:tc>
        <w:tc>
          <w:tcPr>
            <w:tcW w:type="dxa" w:w="4752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Trend worsens or workaround fails</w:t>
            </w:r>
          </w:p>
        </w:tc>
      </w:tr>
      <w:tr>
        <w:tc>
          <w:tcPr>
            <w:tcW w:type="dxa" w:w="1584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P3</w:t>
            </w:r>
          </w:p>
        </w:tc>
        <w:tc>
          <w:tcPr>
            <w:tcW w:type="dxa" w:w="7200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Item is process hardening, cleanup, or retrospective improvement.</w:t>
            </w:r>
          </w:p>
        </w:tc>
        <w:tc>
          <w:tcPr>
            <w:tcW w:type="dxa" w:w="4176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Weekly or next release planning cycle</w:t>
            </w:r>
          </w:p>
        </w:tc>
        <w:tc>
          <w:tcPr>
            <w:tcW w:type="dxa" w:w="4752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It blocks a future release gate or remains unowned</w:t>
            </w:r>
          </w:p>
        </w:tc>
      </w:tr>
    </w:tbl>
    <w:p>
      <w:pPr>
        <w:pStyle w:val="Heading1"/>
      </w:pPr>
      <w:r>
        <w:t>Closure Evidence Checklist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752"/>
        <w:gridCol w:w="4752"/>
        <w:gridCol w:w="4752"/>
      </w:tblGrid>
      <w:tr>
        <w:tc>
          <w:tcPr>
            <w:tcW w:type="dxa" w:w="4464"/>
            <w:shd w:fill="D9EAF7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0"/>
              </w:rPr>
              <w:t>Evidence Type</w:t>
            </w:r>
          </w:p>
        </w:tc>
        <w:tc>
          <w:tcPr>
            <w:tcW w:type="dxa" w:w="8928"/>
            <w:shd w:fill="D9EAF7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0"/>
              </w:rPr>
              <w:t>Use It To Close</w:t>
            </w:r>
          </w:p>
        </w:tc>
        <w:tc>
          <w:tcPr>
            <w:tcW w:type="dxa" w:w="3024"/>
            <w:shd w:fill="D9EAF7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0"/>
              </w:rPr>
              <w:t>Owner</w:t>
            </w:r>
          </w:p>
        </w:tc>
      </w:tr>
      <w:tr>
        <w:tc>
          <w:tcPr>
            <w:tcW w:type="dxa" w:w="4464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Logs, screenshots, and timestamps</w:t>
            </w:r>
          </w:p>
        </w:tc>
        <w:tc>
          <w:tcPr>
            <w:tcW w:type="dxa" w:w="892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Behavioral follow-up items tied to a live or validation symptom.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QA owner</w:t>
            </w:r>
          </w:p>
        </w:tc>
      </w:tr>
      <w:tr>
        <w:tc>
          <w:tcPr>
            <w:tcW w:type="dxa" w:w="4464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Decision-log update</w:t>
            </w:r>
          </w:p>
        </w:tc>
        <w:tc>
          <w:tcPr>
            <w:tcW w:type="dxa" w:w="892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Backend, waiver, or scope-related follow-up items.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Backend owner or PM owner</w:t>
            </w:r>
          </w:p>
        </w:tc>
      </w:tr>
      <w:tr>
        <w:tc>
          <w:tcPr>
            <w:tcW w:type="dxa" w:w="4464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Archive or build identity reference</w:t>
            </w:r>
          </w:p>
        </w:tc>
        <w:tc>
          <w:tcPr>
            <w:tcW w:type="dxa" w:w="892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Patch, hotfix, or distribution-related carry-forward items.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Release owner + owning lane</w:t>
            </w:r>
          </w:p>
        </w:tc>
      </w:tr>
      <w:tr>
        <w:tc>
          <w:tcPr>
            <w:tcW w:type="dxa" w:w="4464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Support or incident trend summary</w:t>
            </w:r>
          </w:p>
        </w:tc>
        <w:tc>
          <w:tcPr>
            <w:tcW w:type="dxa" w:w="892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Watch-list items that need quiet-period confirmation before closure.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Support owner</w:t>
            </w:r>
          </w:p>
        </w:tc>
      </w:tr>
      <w:tr>
        <w:tc>
          <w:tcPr>
            <w:tcW w:type="dxa" w:w="4464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Updated binder or process artifact</w:t>
            </w:r>
          </w:p>
        </w:tc>
        <w:tc>
          <w:tcPr>
            <w:tcW w:type="dxa" w:w="892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Operational improvement items and release-process changes.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Release owner</w:t>
            </w:r>
          </w:p>
        </w:tc>
      </w:tr>
    </w:tbl>
    <w:p>
      <w:pPr>
        <w:pStyle w:val="Heading1"/>
      </w:pPr>
      <w:r>
        <w:t>Usage Rules</w:t>
      </w:r>
    </w:p>
    <w:p>
      <w:pPr>
        <w:pStyle w:val="ListBullet"/>
      </w:pPr>
      <w:r>
        <w:rPr>
          <w:rFonts w:ascii="Times New Roman" w:hAnsi="Times New Roman"/>
          <w:sz w:val="20"/>
        </w:rPr>
        <w:t>Use this register as the operational companion to the closeout report: the closeout report explains the outcome, this register owns what still remains.</w:t>
      </w:r>
    </w:p>
    <w:p>
      <w:pPr>
        <w:pStyle w:val="ListBullet"/>
      </w:pPr>
      <w:r>
        <w:rPr>
          <w:rFonts w:ascii="Times New Roman" w:hAnsi="Times New Roman"/>
          <w:sz w:val="20"/>
        </w:rPr>
        <w:t>If an item becomes urgent enough to threaten the current live state, stop treating it as carry-forward work and move it back into support escalation or hotfix review.</w:t>
      </w:r>
    </w:p>
    <w:p>
      <w:pPr>
        <w:pStyle w:val="ListBullet"/>
      </w:pPr>
      <w:r>
        <w:rPr>
          <w:rFonts w:ascii="Times New Roman" w:hAnsi="Times New Roman"/>
          <w:sz w:val="20"/>
        </w:rPr>
        <w:t>Review and update this register on the cadence named in the header until all items are closed or formally re-scoped.</w:t>
      </w:r>
    </w:p>
    <w:p>
      <w:pPr>
        <w:pStyle w:val="ListBullet"/>
      </w:pPr>
      <w:r>
        <w:rPr>
          <w:rFonts w:ascii="Times New Roman" w:hAnsi="Times New Roman"/>
          <w:sz w:val="20"/>
        </w:rPr>
        <w:t>Repo inputs used: closeout report template, post-release stabilization plan, support escalation playbook, hotfix decision framework, hotfix execution checklist, waiver register, rollback decision matrix, and blocker tracker reviewed on 2026-04-08.</w:t>
      </w:r>
    </w:p>
    <w:sectPr w:rsidR="00FC693F" w:rsidRPr="0006063C" w:rsidSect="00034616">
      <w:footerReference w:type="default" r:id="rId9"/>
      <w:pgSz w:w="15840" w:h="12240" w:orient="landscape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Times New Roman" w:hAnsi="Times New Roman"/>
        <w:sz w:val="16"/>
      </w:rPr>
      <w:t>Smart Oila follow-up register - 2026-04-08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