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E2C45D"/>
          <w:sz w:val="22"/>
        </w:rPr>
        <w:t>KOSMICZNE LABORATORIUM</w:t>
      </w:r>
    </w:p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071126"/>
          <w:sz w:val="54"/>
        </w:rPr>
        <w:t>Propozycja rozmowy i pilotażu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1F4D78"/>
          <w:sz w:val="32"/>
        </w:rPr>
        <w:t>dla Centrum Nauki Kopernik</w:t>
      </w:r>
    </w:p>
    <w:p>
      <w:pPr>
        <w:spacing w:before="0" w:after="280" w:line="288" w:lineRule="auto"/>
        <w:jc w:val="center"/>
      </w:pPr>
      <w:r>
        <w:rPr>
          <w:rFonts w:ascii="Calibri" w:hAnsi="Calibri"/>
          <w:b w:val="0"/>
          <w:i w:val="0"/>
          <w:color w:val="586273"/>
          <w:sz w:val="25"/>
        </w:rPr>
        <w:t>Cyfrowe laboratorium dla dzieci 5–9 lat, które zaczyna od pytania i pozwala samodzielnie sprawdzić odpowiedź.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Autor projektu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Mieszko Mahboob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Proponowany adres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wspolpraca@kopernik.org.pl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Kopia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esero@kopernik.org.pl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Data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13 czerwca 2026</w:t>
            </w:r>
          </w:p>
        </w:tc>
      </w:tr>
    </w:tbl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tro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360" w:after="200" w:line="240" w:lineRule="auto"/>
      </w:pPr>
      <w:r>
        <w:t>Sedno propozycji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71126"/>
                <w:sz w:val="22"/>
              </w:rPr>
              <w:t>Proponuję krótką rozmowę roboczą, a jeśli zobaczymy wspólne pole — niewielki, mierzalny pilotaż z rodzinami, dziećmi lub edukatorami. Nie proszę na tym etapie o sponsoring ani deklarację partnerstwa.</w:t>
            </w:r>
          </w:p>
        </w:tc>
      </w:tr>
    </w:tbl>
    <w:p>
      <w:pPr>
        <w:spacing w:before="120" w:after="160" w:line="320" w:lineRule="auto"/>
        <w:jc w:val="left"/>
      </w:pPr>
      <w:r>
        <w:rPr>
          <w:rFonts w:ascii="Calibri" w:hAnsi="Calibri"/>
          <w:b w:val="0"/>
          <w:i w:val="0"/>
          <w:color w:val="172033"/>
          <w:sz w:val="22"/>
        </w:rPr>
        <w:t>Buduję Kosmiczne Laboratorium, bo brakowało mi cyfrowej rzeczy, która nie udaje eksperymentu. Dziecko ma coś przewidzieć, zmienić jeden warunek, zobaczyć konsekwencję i wrócić do pytania. Kiedy zobaczyłem, jak blisko jest to sposobu, w jaki Kopernik mówi o samodzielnym poznawaniu, pomyślałem: warto to wspólnie sprawdzić, a nie tylko o tym opowiadać.</w:t>
      </w:r>
    </w:p>
    <w:p>
      <w:pPr>
        <w:pStyle w:val="Heading1"/>
        <w:spacing w:before="360" w:after="200" w:line="240" w:lineRule="auto"/>
      </w:pPr>
      <w:r>
        <w:t>Dlaczego to może pasować do Kopernika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Misją Kopernika jest inspirowanie do doświadczania, rozumienia świata i odpowiedzialnego działania.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Strategia CNK podkreśla samodzielność poznawczą, uczenie się przez osobiste doświadczenie oraz tworzenie i testowanie nowych rozwiązań edukacyjnych.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Pracownia Przewrotu Kopernikańskiego rozwija innowacje w dialogu badaczy, edukatorów, projektantów i użytkowników końcowych.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ESERO wykorzystuje tematykę kosmiczną do aktywizującego nauczania nauk ścisłych i wspiera nauczycieli praktycznymi zasobami.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Kosmiczne Laboratorium może uzupełnić ten ekosystem w obszarze młodszych dzieci, rodzin i klas 1–3.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586273"/>
          <w:sz w:val="18"/>
        </w:rPr>
        <w:t xml:space="preserve">Podstawa dopasowania: oficjalne materiały CNK — </w:t>
      </w:r>
      <w:hyperlink r:id="rId12">
        <w:r>
          <w:rPr>
            <w:rFonts w:ascii="Calibri" w:hAnsi="Calibri"/>
            <w:color w:val="2E74B5"/>
            <w:u w:val="single"/>
          </w:rPr>
          <w:t>misja i strategia</w:t>
        </w:r>
      </w:hyperlink>
      <w:r>
        <w:t xml:space="preserve">, </w:t>
      </w:r>
      <w:hyperlink r:id="rId13">
        <w:r>
          <w:rPr>
            <w:rFonts w:ascii="Calibri" w:hAnsi="Calibri"/>
            <w:color w:val="2E74B5"/>
            <w:u w:val="single"/>
          </w:rPr>
          <w:t>badania i rozwój</w:t>
        </w:r>
      </w:hyperlink>
      <w:r>
        <w:t xml:space="preserve">, </w:t>
      </w:r>
      <w:hyperlink r:id="rId14">
        <w:r>
          <w:rPr>
            <w:rFonts w:ascii="Calibri" w:hAnsi="Calibri"/>
            <w:color w:val="2E74B5"/>
            <w:u w:val="single"/>
          </w:rPr>
          <w:t>ESERO</w:t>
        </w:r>
      </w:hyperlink>
      <w:r>
        <w:t>.</w:t>
      </w:r>
    </w:p>
    <w:p>
      <w:pPr>
        <w:pStyle w:val="Heading1"/>
        <w:spacing w:before="360" w:after="200" w:line="240" w:lineRule="auto"/>
      </w:pPr>
      <w:r>
        <w:t>Co już działa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Publiczna aplikacja webowa z sześcioma odkryciami i pełnym przepływem: przewidywanie, eksperyment, wyjaśnienie, zapis i ukończenie.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Laboratoria masy, ruchu, orbity, magnesów, pór roku i faz Księżyca.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Narracja, notatnik odkryć, tryb wspólnej zabawy i ustawienia dostępności.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Brak kont, reklam i zewnętrznej analityki; opcjonalne dane dziecka zostają lokalnie.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Wspólna baza dla webu oraz rozwijanych wersji iPhone, iPad i macOS.</w:t>
      </w:r>
    </w:p>
    <w:p>
      <w:r>
        <w:br w:type="page"/>
      </w:r>
    </w:p>
    <w:p>
      <w:pPr>
        <w:pStyle w:val="Heading1"/>
        <w:spacing w:before="360" w:after="200" w:line="240" w:lineRule="auto"/>
      </w:pPr>
      <w:r>
        <w:t>Trzy możliwe poziomy współpracy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1. Przegląd ekspercki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Jedno lub dwa spotkania z edukatorem i ekspertem merytorycznym CNK. Wynik: lista najważniejszych korekt naukowych, dydaktycznych i dostępnościowych.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2. Pilotaż z użytkownikami — rekomendowany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Dwie krótkie rundy obserwacji z dziećmi, rodzinami lub edukatorami. Wynik: sprawdzenie, czy pytania są zrozumiałe, eksperymenty uruchamiają samodzielne myślenie, a wyjaśnienia nie wyręczają dziecka.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3. Wspólnie rozwinięty moduł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Jeżeli pilotaż potwierdzi wartość, można wybrać jedno zjawisko i zaprojektować rozszerzenie, scenariusz zajęć lub zasób dla rodzin i nauczycieli. Zakres, autorstwo i komunikacja byłyby ustalone osobno.</w:t>
            </w:r>
          </w:p>
        </w:tc>
      </w:tr>
    </w:tbl>
    <w:p>
      <w:pPr>
        <w:pStyle w:val="Heading1"/>
        <w:spacing w:before="360" w:after="200" w:line="240" w:lineRule="auto"/>
      </w:pPr>
      <w:r>
        <w:t>Rekomendowany pilotaż: 4–6 tygodni</w:t>
      </w:r>
    </w:p>
    <w:p>
      <w:pPr>
        <w:spacing w:before="0" w:after="80" w:line="290" w:lineRule="auto"/>
        <w:jc w:val="left"/>
        <w:numPr>
          <w:ilvl w:val="0"/>
          <w:numId w:val="11"/>
        </w:numPr>
      </w:pPr>
      <w:r>
        <w:rPr>
          <w:rFonts w:ascii="Calibri" w:hAnsi="Calibri"/>
          <w:color w:val="172033"/>
          <w:sz w:val="22"/>
        </w:rPr>
        <w:t>Spotkanie otwierające: wybór jednego lub dwóch laboratoriów oraz pytań badawczych.</w:t>
      </w:r>
    </w:p>
    <w:p>
      <w:pPr>
        <w:spacing w:before="0" w:after="80" w:line="290" w:lineRule="auto"/>
        <w:jc w:val="left"/>
        <w:numPr>
          <w:ilvl w:val="0"/>
          <w:numId w:val="11"/>
        </w:numPr>
      </w:pPr>
      <w:r>
        <w:rPr>
          <w:rFonts w:ascii="Calibri" w:hAnsi="Calibri"/>
          <w:color w:val="172033"/>
          <w:sz w:val="22"/>
        </w:rPr>
        <w:t>Przegląd naukowy i edukacyjny wybranego przepływu.</w:t>
      </w:r>
    </w:p>
    <w:p>
      <w:pPr>
        <w:spacing w:before="0" w:after="80" w:line="290" w:lineRule="auto"/>
        <w:jc w:val="left"/>
        <w:numPr>
          <w:ilvl w:val="0"/>
          <w:numId w:val="11"/>
        </w:numPr>
      </w:pPr>
      <w:r>
        <w:rPr>
          <w:rFonts w:ascii="Calibri" w:hAnsi="Calibri"/>
          <w:color w:val="172033"/>
          <w:sz w:val="22"/>
        </w:rPr>
        <w:t>Pierwsza runda obserwacji: 4–6 krótkich sesji, liczba i forma do uzgodnienia z CNK.</w:t>
      </w:r>
    </w:p>
    <w:p>
      <w:pPr>
        <w:spacing w:before="0" w:after="80" w:line="290" w:lineRule="auto"/>
        <w:jc w:val="left"/>
        <w:numPr>
          <w:ilvl w:val="0"/>
          <w:numId w:val="11"/>
        </w:numPr>
      </w:pPr>
      <w:r>
        <w:rPr>
          <w:rFonts w:ascii="Calibri" w:hAnsi="Calibri"/>
          <w:color w:val="172033"/>
          <w:sz w:val="22"/>
        </w:rPr>
        <w:t>Jedna iteracja produktu na podstawie obserwacji.</w:t>
      </w:r>
    </w:p>
    <w:p>
      <w:pPr>
        <w:spacing w:before="0" w:after="80" w:line="290" w:lineRule="auto"/>
        <w:jc w:val="left"/>
        <w:numPr>
          <w:ilvl w:val="0"/>
          <w:numId w:val="11"/>
        </w:numPr>
      </w:pPr>
      <w:r>
        <w:rPr>
          <w:rFonts w:ascii="Calibri" w:hAnsi="Calibri"/>
          <w:color w:val="172033"/>
          <w:sz w:val="22"/>
        </w:rPr>
        <w:t>Druga, mniejsza runda sprawdzająca najważniejsze zmiany.</w:t>
      </w:r>
    </w:p>
    <w:p>
      <w:pPr>
        <w:spacing w:before="0" w:after="80" w:line="290" w:lineRule="auto"/>
        <w:jc w:val="left"/>
        <w:numPr>
          <w:ilvl w:val="0"/>
          <w:numId w:val="11"/>
        </w:numPr>
      </w:pPr>
      <w:r>
        <w:rPr>
          <w:rFonts w:ascii="Calibri" w:hAnsi="Calibri"/>
          <w:color w:val="172033"/>
          <w:sz w:val="22"/>
        </w:rPr>
        <w:t>Zwięzły raport: co działa, gdzie dziecko traci tok rozumowania i co warto rozwijać dalej.</w:t>
      </w:r>
    </w:p>
    <w:p>
      <w:pPr>
        <w:pStyle w:val="Heading2"/>
        <w:spacing w:before="240" w:after="120" w:line="240" w:lineRule="auto"/>
      </w:pPr>
      <w:r>
        <w:t>Jak ocenić, czy pilotaż ma sens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Zrozumienie zadania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Czy dziecko wie, co może zmienić i czego szuka?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Samodzielna hipoteza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Czy przed uruchomieniem eksperymentu potrafi przewidzieć wynik?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Powrót do próby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Czy po wyniku chce zmienić warunek i sprawdzić inną możliwość?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Język wyjaśnienia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Czy potrafi własnymi słowami opisać zauważoną zależność?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Rola dorosłego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Czy dorosły wspiera rozmowę, zamiast przejmować sterowanie?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Dostępność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Czy interakcja pozostaje czytelna bez przeciągania, przy większym tekście i ograniczonym ruchu?</w:t>
            </w:r>
          </w:p>
        </w:tc>
      </w:tr>
    </w:tbl>
    <w:p>
      <w:pPr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586273"/>
          <w:sz w:val="22"/>
        </w:rPr>
        <w:t>Ewaluacja może opierać się na obserwacji prowadzonej zgodnie z procedurami CNK i krótkiej informacji zwrotnej od dorosłych lub edukatorów. Aplikacja nie wymaga wdrażania śledzenia zachowania dzieci ani zewnętrznej analityki.</w:t>
      </w:r>
    </w:p>
    <w:p>
      <w:r>
        <w:br w:type="page"/>
      </w:r>
    </w:p>
    <w:p>
      <w:pPr>
        <w:pStyle w:val="Heading1"/>
        <w:spacing w:before="360" w:after="200" w:line="240" w:lineRule="auto"/>
      </w:pPr>
      <w:r>
        <w:t>Co wnoszę do rozmowy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Działający produkt, a nie sam pomysł lub makietę.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Możliwość szybkiego wprowadzania zmian po każdej rundzie testów.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Pełną dokumentację założeń naukowych, języka i dostępności.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Gotowość do uczciwego pokazania także tego, co nie działa.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Materiały wizualne i komunikacyjne potrzebne do wewnętrznego omówienia pilotażu.</w:t>
      </w:r>
    </w:p>
    <w:p>
      <w:pPr>
        <w:pStyle w:val="Heading1"/>
        <w:spacing w:before="360" w:after="200" w:line="240" w:lineRule="auto"/>
      </w:pPr>
      <w:r>
        <w:t>Czego potrzebuję od Kopernika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Wskazania właściwej osoby lub zespołu do pierwszej rozmowy.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Krótkiej oceny, czy projekt pasuje bardziej do ESERO, programu rodzinnego, edukacji wczesnoszkolnej czy prac B+R.</w:t>
      </w:r>
    </w:p>
    <w:p>
      <w:pPr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Jeśli będzie zainteresowanie: wspólnego ustalenia małego pilotażu i zasad pracy z uczestnikami.</w:t>
      </w:r>
    </w:p>
    <w:p>
      <w:pPr>
        <w:pStyle w:val="Heading1"/>
        <w:spacing w:before="360" w:after="200" w:line="240" w:lineRule="auto"/>
      </w:pPr>
      <w:r>
        <w:t>Proponowany następny krok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71126"/>
                <w:sz w:val="22"/>
              </w:rPr>
              <w:t>45-minutowa rozmowa online lub spotkanie w Warszawie. Przed rozmową mogę wysłać dostęp do aplikacji i wskazać dwa laboratoria, które najlepiej nadają się do pierwszego, małego testu.</w:t>
            </w:r>
          </w:p>
        </w:tc>
      </w:tr>
    </w:tbl>
    <w:p>
      <w:pPr>
        <w:spacing w:before="120" w:after="120" w:line="300" w:lineRule="auto"/>
        <w:jc w:val="left"/>
      </w:pPr>
      <w:r>
        <w:rPr>
          <w:rFonts w:ascii="Calibri" w:hAnsi="Calibri"/>
          <w:b/>
          <w:i w:val="0"/>
          <w:color w:val="172033"/>
          <w:sz w:val="22"/>
        </w:rPr>
        <w:t>Mieszko Mahboob · mieszko@mahboob.pl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72033"/>
          <w:sz w:val="22"/>
        </w:rPr>
        <w:t xml:space="preserve">Aplikacja: </w:t>
      </w:r>
      <w:hyperlink r:id="rId15">
        <w:r>
          <w:rPr>
            <w:rFonts w:ascii="Calibri" w:hAnsi="Calibri"/>
            <w:color w:val="2E74B5"/>
            <w:u w:val="single"/>
          </w:rPr>
          <w:t>https://jakiesluchawki.github.io/kosmiczne-laboratorium/</w:t>
        </w:r>
      </w:hyperlink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586273"/>
          <w:sz w:val="22"/>
        </w:rPr>
        <w:t>Sugerowana wysyłka: wspolpraca@kopernik.org.pl, z kopią do esero@kopernik.org.pl.</w:t>
      </w:r>
    </w:p>
    <w:p>
      <w:pPr>
        <w:pStyle w:val="Heading1"/>
        <w:spacing w:before="360" w:after="200" w:line="240" w:lineRule="auto"/>
      </w:pPr>
      <w:r>
        <w:t>Źródła dotyczące CNK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586273"/>
          <w:sz w:val="22"/>
        </w:rPr>
        <w:t xml:space="preserve">• </w:t>
      </w:r>
      <w:hyperlink r:id="rId12">
        <w:r>
          <w:rPr>
            <w:rFonts w:ascii="Calibri" w:hAnsi="Calibri"/>
            <w:color w:val="2E74B5"/>
            <w:u w:val="single"/>
          </w:rPr>
          <w:t>Wizja, misja i strategia</w:t>
        </w:r>
      </w:hyperlink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586273"/>
          <w:sz w:val="22"/>
        </w:rPr>
        <w:t xml:space="preserve">• </w:t>
      </w:r>
      <w:hyperlink r:id="rId13">
        <w:r>
          <w:rPr>
            <w:rFonts w:ascii="Calibri" w:hAnsi="Calibri"/>
            <w:color w:val="2E74B5"/>
            <w:u w:val="single"/>
          </w:rPr>
          <w:t>Badania i rozwój</w:t>
        </w:r>
      </w:hyperlink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586273"/>
          <w:sz w:val="22"/>
        </w:rPr>
        <w:t xml:space="preserve">• </w:t>
      </w:r>
      <w:hyperlink r:id="rId16">
        <w:r>
          <w:rPr>
            <w:rFonts w:ascii="Calibri" w:hAnsi="Calibri"/>
            <w:color w:val="2E74B5"/>
            <w:u w:val="single"/>
          </w:rPr>
          <w:t>Jak powstają innowacje edukacyjne</w:t>
        </w:r>
      </w:hyperlink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586273"/>
          <w:sz w:val="22"/>
        </w:rPr>
        <w:t xml:space="preserve">• </w:t>
      </w:r>
      <w:hyperlink r:id="rId14">
        <w:r>
          <w:rPr>
            <w:rFonts w:ascii="Calibri" w:hAnsi="Calibri"/>
            <w:color w:val="2E74B5"/>
            <w:u w:val="single"/>
          </w:rPr>
          <w:t>ESERO</w:t>
        </w:r>
      </w:hyperlink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586273"/>
          <w:sz w:val="22"/>
        </w:rPr>
        <w:t xml:space="preserve">• </w:t>
      </w:r>
      <w:hyperlink r:id="rId17">
        <w:r>
          <w:rPr>
            <w:rFonts w:ascii="Calibri" w:hAnsi="Calibri"/>
            <w:color w:val="2E74B5"/>
            <w:u w:val="single"/>
          </w:rPr>
          <w:t>Kontakt i współpraca programowa</w:t>
        </w:r>
      </w:hyperlink>
    </w:p>
    <w:p>
      <w:pPr>
        <w:spacing w:before="160" w:after="120" w:line="276" w:lineRule="auto"/>
        <w:jc w:val="left"/>
      </w:pPr>
      <w:r>
        <w:rPr>
          <w:rFonts w:ascii="Calibri" w:hAnsi="Calibri"/>
          <w:b w:val="0"/>
          <w:i/>
          <w:color w:val="586273"/>
          <w:sz w:val="18"/>
        </w:rPr>
        <w:t>Dokument jest propozycją rozmowy. Nie sugeruje istniejącego partnerstwa, rekomendacji ani patronatu Centrum Nauki Kopernik.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86273"/>
        <w:sz w:val="18"/>
      </w:rPr>
      <w:t xml:space="preserve">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before="0" w:after="0" w:line="240" w:lineRule="auto"/>
    </w:pPr>
    <w:r>
      <w:rPr>
        <w:rFonts w:ascii="Calibri" w:hAnsi="Calibri"/>
        <w:b/>
        <w:color w:val="586273"/>
        <w:sz w:val="17"/>
      </w:rPr>
      <w:t>Kosmiczne Laboratorium</w:t>
    </w:r>
    <w:r>
      <w:tab/>
    </w:r>
    <w:r>
      <w:rPr>
        <w:rFonts w:ascii="Calibri" w:hAnsi="Calibri"/>
        <w:color w:val="586273"/>
        <w:sz w:val="17"/>
      </w:rPr>
      <w:t>Propozycja dla Centrum Nauki Kopernik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kopernik.org.pl/o-koperniku/wizja-misja-i-strategia" TargetMode="External"/><Relationship Id="rId13" Type="http://schemas.openxmlformats.org/officeDocument/2006/relationships/hyperlink" Target="https://www.kopernik.org.pl/badania-i-rozwoj" TargetMode="External"/><Relationship Id="rId14" Type="http://schemas.openxmlformats.org/officeDocument/2006/relationships/hyperlink" Target="https://www.kopernik.org.pl/esero" TargetMode="External"/><Relationship Id="rId15" Type="http://schemas.openxmlformats.org/officeDocument/2006/relationships/hyperlink" Target="https://jakiesluchawki.github.io/kosmiczne-laboratorium/" TargetMode="External"/><Relationship Id="rId16" Type="http://schemas.openxmlformats.org/officeDocument/2006/relationships/hyperlink" Target="https://www.kopernik.org.pl/badania-i-rozwoj/jak-powstaja-innowacje-edukacyjne" TargetMode="External"/><Relationship Id="rId17" Type="http://schemas.openxmlformats.org/officeDocument/2006/relationships/hyperlink" Target="https://www.kopernik.org.pl/o-nas/kontak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