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This chapter presents the result of the qualitative historical research method in synthesizing data. The analysis on the Philippine pork barrel system shows a historical trajectory from discretionary legislative function to an institutionalized mechanism of corruption and political patronage that has had a direct impact on public trust in government.</w:t>
      </w:r>
    </w:p>
    <w:p>
      <w:pPr>
        <w:pStyle w:val="style0"/>
        <w:rPr/>
      </w:pPr>
    </w:p>
    <w:p>
      <w:pPr>
        <w:pStyle w:val="style0"/>
        <w:rPr/>
      </w:pPr>
      <w:r>
        <w:rPr>
          <w:lang w:val="en-US"/>
        </w:rPr>
        <w:t>Discussion synthesizes historical findings in developing the central claim of the study on institutionalization of corruption and how it deeply influenced Filipino public trust.</w:t>
      </w:r>
    </w:p>
    <w:p>
      <w:pPr>
        <w:pStyle w:val="style0"/>
        <w:rPr/>
      </w:pPr>
      <w:r>
        <w:rPr>
          <w:lang w:val="en-US"/>
        </w:rPr>
        <w:t>The study confirms that the Pork Barrel system was an institutionalized form of corruption, which is traceable in history and structurally embedded. Besides the moral damage it caused, its most important impact was the dramatically eroded public trust in core government institutions. The brazenness of the Napoles scandal—the ₱10 billion figure, the involvement of prominent lawmakers—shattered the remaining faith of the public, with good reason to refer to corruption as a "social cancer." By highlighting this strong cultural response in restoring the balance of accountability, the data shows:</w:t>
      </w:r>
    </w:p>
    <w:p>
      <w:pPr>
        <w:pStyle w:val="style0"/>
        <w:rPr/>
      </w:pPr>
      <w:r>
        <w:rPr>
          <w:lang w:val="en-US"/>
        </w:rPr>
        <w:t>Public Agency: The August 2013 Million People March is a landmark of sorts, evoking mass, collective demands for truth that were not simply political but fundamentally moral. This social and cultural pressure manifested all the way into legal reform as the Supreme Court declared PDAF unconstitutional in November 2013.</w:t>
      </w:r>
    </w:p>
    <w:p>
      <w:pPr>
        <w:pStyle w:val="style0"/>
        <w:rPr/>
      </w:pPr>
      <w:r>
        <w:rPr>
          <w:lang w:val="en-US"/>
        </w:rPr>
        <w:t>The persistence of political greed is underlined by the fact that such an incentive structure prevails even beyond legal victories. In other words, what has happened is that the system evolves, moving to new mechanisms such as questionable budgetary insertions or the purported misuse of flood control funds-₱545 billion squandered since July 2022. Indeed, the study shows that accustomed to the rents from the pork barrel, political actors creatively find ways to "squander" public funds, thus creating the self-reinforcing cycle of public distrust and suspicion against Congress.</w:t>
      </w:r>
    </w:p>
    <w:p>
      <w:pPr>
        <w:pStyle w:val="style0"/>
        <w:rPr/>
      </w:pPr>
    </w:p>
    <w:p>
      <w:pPr>
        <w:pStyle w:val="style0"/>
        <w:rPr/>
      </w:pPr>
      <w:r>
        <w:rPr>
          <w:lang w:val="en-US"/>
        </w:rPr>
        <w:t>This study provides critical implications for policymakers and future researchers.</w:t>
      </w:r>
    </w:p>
    <w:p>
      <w:pPr>
        <w:pStyle w:val="style0"/>
        <w:rPr/>
      </w:pPr>
      <w:r>
        <w:rPr>
          <w:lang w:val="en-US"/>
        </w:rPr>
        <w:t>Policy Implications: The historical evidence supports the recommendation to remove lump-sum allocations from legislative discretion, as recently attempted by the President's veto of questionable flood control projects. The preoccupation of legislators with "squandering their annually allocated pork barrel funds" suggests a need for redefinition of the legislative role that allows Congress to "concentrate on crafting laws" rather than executing intangible projects.</w:t>
      </w:r>
    </w:p>
    <w:p>
      <w:pPr>
        <w:pStyle w:val="style0"/>
        <w:rPr/>
      </w:pPr>
      <w:r>
        <w:rPr>
          <w:lang w:val="en-US"/>
        </w:rPr>
        <w:t>Limitations and Avenues for Further Research: While the historical focus developed a solid understanding of institutional evolution, its reliance on official reports and news coverage may limit the complete realization of the perspective of ordinary citizens who suffer the daily impact of corruption. Future research should adopt oral history or ethnographic methods to develop a deeper understanding of the subjective experience and the long-term emotional and social costs of perpetual political distrust. Additionally, research into the impact of the abolition of PDAF on service delivery at the local level may be instructive in determining whether the legislative function has demonstrably improved in its absence.</w:t>
      </w:r>
    </w:p>
    <w:p>
      <w:pPr>
        <w:pStyle w:val="style0"/>
        <w:rPr/>
      </w:pPr>
      <w:r>
        <w:rPr>
          <w:lang w:val="en-US"/>
        </w:rPr>
        <w:t>Thematic Interpretation: From Allocation to Entitlement</w:t>
      </w:r>
    </w:p>
    <w:p>
      <w:pPr>
        <w:pStyle w:val="style0"/>
        <w:rPr/>
      </w:pPr>
      <w:r>
        <w:rPr>
          <w:lang w:val="en-US"/>
        </w:rPr>
        <w:t>This gradually shows the changes and evolution of the pork barrel system as one towards entitlement and greater legislative control.</w:t>
      </w:r>
    </w:p>
    <w:p>
      <w:pPr>
        <w:pStyle w:val="style0"/>
        <w:rPr/>
      </w:pPr>
      <w:r>
        <w:rPr>
          <w:lang w:val="en-US"/>
        </w:rPr>
        <w:t>Formalization and Legislative Control: The system's origin is rooted in the Public Works Act of 1922. The first critical milestone was the 1950 amendment, in which, for the first time, the discretion of project selection was transferred from the executive branch-the Secretary of Commerce and Communications-to individual congressmen. In a structural sense, this formalized the political incentive that led legislators to place personal or parochial gain above national policy.</w:t>
      </w:r>
    </w:p>
    <w:p>
      <w:pPr>
        <w:pStyle w:val="style0"/>
        <w:rPr/>
      </w:pPr>
      <w:r>
        <w:rPr>
          <w:lang w:val="en-US"/>
        </w:rPr>
        <w:t>• Expansion of Scope and Scale: After Martial Law, this practice was revived (SLDP, 1982) and expanded from purely "hard projects" to include "soft projects" in education and health. This expansion of scope-further institutionalized by the establishment of the Countrywide Development Fund (CDF) and, later, the Priority Development Assistance Fund (PDAF)-multiplied the opportunities for graft. The explicit statement of lump-sum allocations, such as P70 million for Congressmen and P200 million for Senators/VP in 2011, attests to how this practice has been institutionalized as a legal right rather than as a discretion fund.</w:t>
      </w:r>
    </w:p>
    <w:p>
      <w:pPr>
        <w:pStyle w:val="style0"/>
        <w:rPr/>
      </w:pPr>
      <w:r>
        <w:rPr>
          <w:lang w:val="en-US"/>
        </w:rPr>
        <w:t>The Mechanism of Abuse: Kickbacks and Ghost Projects</w:t>
      </w:r>
    </w:p>
    <w:p>
      <w:pPr>
        <w:pStyle w:val="style0"/>
        <w:rPr/>
      </w:pPr>
      <w:r>
        <w:rPr>
          <w:lang w:val="en-US"/>
        </w:rPr>
        <w:t>The data establishes the fact that the PDAF was not just misused but was systematically exploited through codified corrupt practices. • Codified Graft: The exposé by Rep. Romeo Candazo in 1996 showed that kickbacks were "SOP" and ranged from 19 percent to 52 percent of project costs. This would mean that corruption was not an isolated incident, but rather an expected and pervasive cost of doing business within the system. • The NGO Facade: The formal allowance for Non-Governmental Organizations (NGOs) to implement projects provided the final, sophisticated layer of institutionalization from 2002 to 2010. Exploiting the mechanism was Janet Lim-Napoles, who, reportedly, cornered ₱10 billion through "ghost projects" and shell NGOs. A 2013 Commission on Audit report confirmed the extent of institutional failure, identifying 82 questionable NGOs responsible for misuse amounting to ₱6.156 billion.</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802</Words>
  <Characters>4756</Characters>
  <Application>WPS Office</Application>
  <Paragraphs>16</Paragraphs>
  <CharactersWithSpaces>5545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2025-11-12T01:12:28Z</dcterms:created>
  <dc:creator>RMX3263</dc:creator>
  <lastModifiedBy>RMX3263</lastModifiedBy>
  <dcterms:modified xsi:type="dcterms:W3CDTF">2025-11-12T01:34:08Z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c9864f9dd77f473fa287c7fbe39c5365</vt:lpwstr>
  </property>
</Properties>
</file>