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5A" w:rsidRPr="006275C9" w:rsidRDefault="005035E6" w:rsidP="00826EA0">
      <w:pPr>
        <w:rPr>
          <w:b/>
          <w:lang w:val="en-US"/>
        </w:rPr>
      </w:pPr>
      <w:proofErr w:type="spellStart"/>
      <w:r w:rsidRPr="006275C9">
        <w:rPr>
          <w:b/>
          <w:lang w:val="en-US"/>
        </w:rPr>
        <w:t>EnMAP</w:t>
      </w:r>
      <w:proofErr w:type="spellEnd"/>
      <w:r w:rsidRPr="006275C9">
        <w:rPr>
          <w:b/>
          <w:lang w:val="en-US"/>
        </w:rPr>
        <w:t>-Box t</w:t>
      </w:r>
      <w:r w:rsidR="00B45BC5" w:rsidRPr="006275C9">
        <w:rPr>
          <w:b/>
          <w:lang w:val="en-US"/>
        </w:rPr>
        <w:t>est</w:t>
      </w:r>
      <w:r w:rsidR="00826EA0" w:rsidRPr="006275C9">
        <w:rPr>
          <w:b/>
          <w:lang w:val="en-US"/>
        </w:rPr>
        <w:t xml:space="preserve"> </w:t>
      </w:r>
      <w:r w:rsidR="00B45BC5" w:rsidRPr="006275C9">
        <w:rPr>
          <w:b/>
          <w:lang w:val="en-US"/>
        </w:rPr>
        <w:t>data</w:t>
      </w:r>
    </w:p>
    <w:p w:rsidR="00183F0F" w:rsidRDefault="00183F0F" w:rsidP="006275C9">
      <w:pPr>
        <w:spacing w:before="240" w:after="240"/>
        <w:rPr>
          <w:i/>
          <w:lang w:val="en-US"/>
        </w:rPr>
      </w:pPr>
      <w:r w:rsidRPr="006275C9">
        <w:rPr>
          <w:i/>
          <w:lang w:val="en-US"/>
        </w:rPr>
        <w:t>Summary</w:t>
      </w:r>
    </w:p>
    <w:p w:rsidR="00365564" w:rsidRDefault="00365564" w:rsidP="00826EA0">
      <w:pPr>
        <w:rPr>
          <w:lang w:val="en-US"/>
        </w:rPr>
      </w:pPr>
      <w:r w:rsidRPr="00365564">
        <w:rPr>
          <w:lang w:val="en-US"/>
        </w:rPr>
        <w:t xml:space="preserve">The </w:t>
      </w:r>
      <w:proofErr w:type="spellStart"/>
      <w:r w:rsidRPr="00365564">
        <w:rPr>
          <w:lang w:val="en-US"/>
        </w:rPr>
        <w:t>EnMAP</w:t>
      </w:r>
      <w:proofErr w:type="spellEnd"/>
      <w:r w:rsidRPr="00365564">
        <w:rPr>
          <w:lang w:val="en-US"/>
        </w:rPr>
        <w:t xml:space="preserve">-Box test data is delivered with the </w:t>
      </w:r>
      <w:proofErr w:type="spellStart"/>
      <w:r w:rsidRPr="00365564">
        <w:rPr>
          <w:lang w:val="en-US"/>
        </w:rPr>
        <w:t>EnMAP</w:t>
      </w:r>
      <w:proofErr w:type="spellEnd"/>
      <w:r w:rsidRPr="00365564">
        <w:rPr>
          <w:lang w:val="en-US"/>
        </w:rPr>
        <w:t xml:space="preserve">-Box as an exemplary ready-to-use imaging spectroscopy dataset for training and algorithm development. The test data covers an area along the urban gradient of Berlin, Germany, and contains a simulated </w:t>
      </w:r>
      <w:proofErr w:type="spellStart"/>
      <w:r w:rsidRPr="00365564">
        <w:rPr>
          <w:lang w:val="en-US"/>
        </w:rPr>
        <w:t>EnMAP</w:t>
      </w:r>
      <w:proofErr w:type="spellEnd"/>
      <w:r w:rsidRPr="00365564">
        <w:rPr>
          <w:lang w:val="en-US"/>
        </w:rPr>
        <w:t xml:space="preserve"> image, a spectra library, and detailed land cover reference information for both hard classification and </w:t>
      </w:r>
      <w:proofErr w:type="spellStart"/>
      <w:r w:rsidRPr="00365564">
        <w:rPr>
          <w:lang w:val="en-US"/>
        </w:rPr>
        <w:t>unmixing</w:t>
      </w:r>
      <w:proofErr w:type="spellEnd"/>
      <w:r w:rsidRPr="00365564">
        <w:rPr>
          <w:lang w:val="en-US"/>
        </w:rPr>
        <w:t xml:space="preserve"> analyses. The test data is a subset extracted from the Berlin-Urban-Gradient dataset, freely available under http://doi.org/10.5880/enmap.2016.008. For more </w:t>
      </w:r>
      <w:proofErr w:type="gramStart"/>
      <w:r w:rsidRPr="00365564">
        <w:rPr>
          <w:lang w:val="en-US"/>
        </w:rPr>
        <w:t>information</w:t>
      </w:r>
      <w:proofErr w:type="gramEnd"/>
      <w:r w:rsidRPr="00365564">
        <w:rPr>
          <w:lang w:val="en-US"/>
        </w:rPr>
        <w:t xml:space="preserve"> refer to </w:t>
      </w:r>
      <w:proofErr w:type="spellStart"/>
      <w:r w:rsidRPr="00365564">
        <w:rPr>
          <w:lang w:val="en-US"/>
        </w:rPr>
        <w:t>Okujeni</w:t>
      </w:r>
      <w:proofErr w:type="spellEnd"/>
      <w:r w:rsidRPr="00365564">
        <w:rPr>
          <w:lang w:val="en-US"/>
        </w:rPr>
        <w:t xml:space="preserve"> et al. (2016a). Please cite </w:t>
      </w:r>
      <w:proofErr w:type="spellStart"/>
      <w:r w:rsidRPr="00365564">
        <w:rPr>
          <w:lang w:val="en-US"/>
        </w:rPr>
        <w:t>Okujeni</w:t>
      </w:r>
      <w:proofErr w:type="spellEnd"/>
      <w:r w:rsidRPr="00365564">
        <w:rPr>
          <w:lang w:val="en-US"/>
        </w:rPr>
        <w:t xml:space="preserve"> et al. (2016b) when using the data for publications.</w:t>
      </w:r>
      <w:bookmarkStart w:id="0" w:name="_GoBack"/>
      <w:bookmarkEnd w:id="0"/>
    </w:p>
    <w:p w:rsidR="00183F0F" w:rsidRPr="006275C9" w:rsidRDefault="00826EA0" w:rsidP="006275C9">
      <w:pPr>
        <w:spacing w:before="240" w:after="240"/>
        <w:rPr>
          <w:i/>
          <w:lang w:val="en-US"/>
        </w:rPr>
      </w:pPr>
      <w:proofErr w:type="spellStart"/>
      <w:r w:rsidRPr="006275C9">
        <w:rPr>
          <w:i/>
          <w:lang w:val="en-US"/>
        </w:rPr>
        <w:t>EnMAP</w:t>
      </w:r>
      <w:proofErr w:type="spellEnd"/>
      <w:r w:rsidRPr="006275C9">
        <w:rPr>
          <w:i/>
          <w:lang w:val="en-US"/>
        </w:rPr>
        <w:t>-Box test d</w:t>
      </w:r>
      <w:r w:rsidR="005035E6" w:rsidRPr="006275C9">
        <w:rPr>
          <w:i/>
          <w:lang w:val="en-US"/>
        </w:rPr>
        <w:t>ata products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1009"/>
        <w:gridCol w:w="4888"/>
      </w:tblGrid>
      <w:tr w:rsidR="00826EA0" w:rsidRPr="006275C9" w:rsidTr="006275C9">
        <w:tc>
          <w:tcPr>
            <w:tcW w:w="17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35E6" w:rsidRPr="006275C9" w:rsidRDefault="005035E6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Filename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35E6" w:rsidRPr="006275C9" w:rsidRDefault="005035E6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Type</w:t>
            </w:r>
          </w:p>
        </w:tc>
        <w:tc>
          <w:tcPr>
            <w:tcW w:w="26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35E6" w:rsidRPr="006275C9" w:rsidRDefault="005035E6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Description</w:t>
            </w:r>
          </w:p>
        </w:tc>
      </w:tr>
      <w:tr w:rsidR="00826EA0" w:rsidRPr="006275C9" w:rsidTr="006275C9">
        <w:trPr>
          <w:trHeight w:val="951"/>
        </w:trPr>
        <w:tc>
          <w:tcPr>
            <w:tcW w:w="1750" w:type="pct"/>
            <w:tcBorders>
              <w:top w:val="single" w:sz="4" w:space="0" w:color="auto"/>
            </w:tcBorders>
            <w:vAlign w:val="center"/>
          </w:tcPr>
          <w:p w:rsidR="005035E6" w:rsidRPr="006275C9" w:rsidRDefault="000A456E" w:rsidP="006275C9">
            <w:pPr>
              <w:rPr>
                <w:lang w:val="en-US"/>
              </w:rPr>
            </w:pPr>
            <w:proofErr w:type="spellStart"/>
            <w:r w:rsidRPr="006275C9">
              <w:rPr>
                <w:lang w:val="en-US"/>
              </w:rPr>
              <w:t>enmap_berlin.bsq</w:t>
            </w:r>
            <w:proofErr w:type="spellEnd"/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:rsidR="005035E6" w:rsidRPr="006275C9" w:rsidRDefault="005035E6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Raster</w:t>
            </w:r>
          </w:p>
        </w:tc>
        <w:tc>
          <w:tcPr>
            <w:tcW w:w="2694" w:type="pct"/>
            <w:tcBorders>
              <w:top w:val="single" w:sz="4" w:space="0" w:color="auto"/>
            </w:tcBorders>
            <w:vAlign w:val="center"/>
          </w:tcPr>
          <w:p w:rsidR="000A456E" w:rsidRPr="006275C9" w:rsidRDefault="000A456E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 xml:space="preserve">Simulated </w:t>
            </w:r>
            <w:proofErr w:type="spellStart"/>
            <w:r w:rsidRPr="006275C9">
              <w:rPr>
                <w:lang w:val="en-US"/>
              </w:rPr>
              <w:t>EnMAP</w:t>
            </w:r>
            <w:proofErr w:type="spellEnd"/>
            <w:r w:rsidRPr="006275C9">
              <w:rPr>
                <w:lang w:val="en-US"/>
              </w:rPr>
              <w:t xml:space="preserve"> image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>Spatial resolution: 30 m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>Spectral resolution: 177 bands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>Samples: 220; Lines: 400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>File type: compressed ENVI Standard (*.</w:t>
            </w:r>
            <w:proofErr w:type="spellStart"/>
            <w:r w:rsidRPr="006275C9">
              <w:rPr>
                <w:lang w:val="en-US"/>
              </w:rPr>
              <w:t>bsq</w:t>
            </w:r>
            <w:proofErr w:type="spellEnd"/>
            <w:r w:rsidRPr="006275C9">
              <w:rPr>
                <w:lang w:val="en-US"/>
              </w:rPr>
              <w:t>)</w:t>
            </w:r>
          </w:p>
        </w:tc>
      </w:tr>
      <w:tr w:rsidR="00826EA0" w:rsidRPr="006275C9" w:rsidTr="006275C9">
        <w:trPr>
          <w:trHeight w:val="1130"/>
        </w:trPr>
        <w:tc>
          <w:tcPr>
            <w:tcW w:w="1750" w:type="pct"/>
            <w:vAlign w:val="center"/>
          </w:tcPr>
          <w:p w:rsidR="005035E6" w:rsidRPr="006275C9" w:rsidRDefault="000A456E" w:rsidP="006275C9">
            <w:pPr>
              <w:rPr>
                <w:lang w:val="en-US"/>
              </w:rPr>
            </w:pPr>
            <w:proofErr w:type="spellStart"/>
            <w:r w:rsidRPr="006275C9">
              <w:rPr>
                <w:lang w:val="en-US"/>
              </w:rPr>
              <w:t>library_berlin.sli</w:t>
            </w:r>
            <w:proofErr w:type="spellEnd"/>
          </w:p>
        </w:tc>
        <w:tc>
          <w:tcPr>
            <w:tcW w:w="556" w:type="pct"/>
            <w:vAlign w:val="center"/>
          </w:tcPr>
          <w:p w:rsidR="005035E6" w:rsidRPr="006275C9" w:rsidRDefault="005035E6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Spectral library</w:t>
            </w:r>
          </w:p>
        </w:tc>
        <w:tc>
          <w:tcPr>
            <w:tcW w:w="2694" w:type="pct"/>
            <w:vAlign w:val="center"/>
          </w:tcPr>
          <w:p w:rsidR="003A7DB5" w:rsidRPr="006275C9" w:rsidRDefault="003A7DB5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Spectral library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 xml:space="preserve">75 </w:t>
            </w:r>
            <w:r w:rsidR="00AE5416" w:rsidRPr="006275C9">
              <w:rPr>
                <w:lang w:val="en-US"/>
              </w:rPr>
              <w:t xml:space="preserve">urban </w:t>
            </w:r>
            <w:r w:rsidRPr="006275C9">
              <w:rPr>
                <w:lang w:val="en-US"/>
              </w:rPr>
              <w:t xml:space="preserve">spectra </w:t>
            </w:r>
            <w:r w:rsidR="00AE5416" w:rsidRPr="006275C9">
              <w:rPr>
                <w:lang w:val="en-US"/>
              </w:rPr>
              <w:t>(see classification scheme below)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>Spectral resolution: 177 bands</w:t>
            </w:r>
            <w:r w:rsidR="006275C9">
              <w:rPr>
                <w:lang w:val="en-US"/>
              </w:rPr>
              <w:t xml:space="preserve">; </w:t>
            </w:r>
            <w:r w:rsidRPr="006275C9">
              <w:rPr>
                <w:lang w:val="en-US"/>
              </w:rPr>
              <w:t>File type: ENVI spectral library with metadata (*.</w:t>
            </w:r>
            <w:proofErr w:type="spellStart"/>
            <w:r w:rsidRPr="006275C9">
              <w:rPr>
                <w:lang w:val="en-US"/>
              </w:rPr>
              <w:t>cvs</w:t>
            </w:r>
            <w:proofErr w:type="spellEnd"/>
            <w:r w:rsidRPr="006275C9">
              <w:rPr>
                <w:lang w:val="en-US"/>
              </w:rPr>
              <w:t>) extensions</w:t>
            </w:r>
          </w:p>
        </w:tc>
      </w:tr>
      <w:tr w:rsidR="00826EA0" w:rsidRPr="006275C9" w:rsidTr="006275C9">
        <w:trPr>
          <w:trHeight w:val="707"/>
        </w:trPr>
        <w:tc>
          <w:tcPr>
            <w:tcW w:w="1750" w:type="pct"/>
            <w:vAlign w:val="center"/>
          </w:tcPr>
          <w:p w:rsidR="005035E6" w:rsidRPr="006275C9" w:rsidRDefault="00E76091" w:rsidP="006275C9">
            <w:pPr>
              <w:rPr>
                <w:lang w:val="en-US"/>
              </w:rPr>
            </w:pPr>
            <w:proofErr w:type="spellStart"/>
            <w:r w:rsidRPr="006275C9">
              <w:rPr>
                <w:lang w:val="en-US"/>
              </w:rPr>
              <w:t>landcover_berlin_polygon.shp</w:t>
            </w:r>
            <w:proofErr w:type="spellEnd"/>
          </w:p>
        </w:tc>
        <w:tc>
          <w:tcPr>
            <w:tcW w:w="556" w:type="pct"/>
            <w:vAlign w:val="center"/>
          </w:tcPr>
          <w:p w:rsidR="005035E6" w:rsidRPr="006275C9" w:rsidRDefault="00E76091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>Vector</w:t>
            </w:r>
          </w:p>
        </w:tc>
        <w:tc>
          <w:tcPr>
            <w:tcW w:w="2694" w:type="pct"/>
            <w:vAlign w:val="center"/>
          </w:tcPr>
          <w:p w:rsidR="005035E6" w:rsidRPr="006275C9" w:rsidRDefault="006275C9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 xml:space="preserve">Detailed land cover information at the polygon level </w:t>
            </w:r>
            <w:r w:rsidRPr="006275C9">
              <w:rPr>
                <w:lang w:val="en-US"/>
              </w:rPr>
              <w:t>(see classification scheme below)</w:t>
            </w:r>
          </w:p>
        </w:tc>
      </w:tr>
      <w:tr w:rsidR="00826EA0" w:rsidRPr="006275C9" w:rsidTr="006275C9">
        <w:tc>
          <w:tcPr>
            <w:tcW w:w="1750" w:type="pct"/>
            <w:tcBorders>
              <w:bottom w:val="single" w:sz="4" w:space="0" w:color="auto"/>
            </w:tcBorders>
            <w:vAlign w:val="center"/>
          </w:tcPr>
          <w:p w:rsidR="00E76091" w:rsidRPr="006275C9" w:rsidRDefault="00E76091" w:rsidP="006275C9">
            <w:pPr>
              <w:rPr>
                <w:lang w:val="en-US"/>
              </w:rPr>
            </w:pPr>
            <w:proofErr w:type="spellStart"/>
            <w:r w:rsidRPr="006275C9">
              <w:rPr>
                <w:lang w:val="en-US"/>
              </w:rPr>
              <w:t>landcover_berlin_p</w:t>
            </w:r>
            <w:r w:rsidRPr="006275C9">
              <w:rPr>
                <w:lang w:val="en-US"/>
              </w:rPr>
              <w:t>oint</w:t>
            </w:r>
            <w:r w:rsidRPr="006275C9">
              <w:rPr>
                <w:lang w:val="en-US"/>
              </w:rPr>
              <w:t>.shp</w:t>
            </w:r>
            <w:proofErr w:type="spellEnd"/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E76091" w:rsidRPr="006275C9" w:rsidRDefault="006275C9" w:rsidP="006275C9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E76091" w:rsidRPr="006275C9">
              <w:rPr>
                <w:lang w:val="en-US"/>
              </w:rPr>
              <w:t>ector</w:t>
            </w:r>
          </w:p>
        </w:tc>
        <w:tc>
          <w:tcPr>
            <w:tcW w:w="2694" w:type="pct"/>
            <w:tcBorders>
              <w:bottom w:val="single" w:sz="4" w:space="0" w:color="auto"/>
            </w:tcBorders>
            <w:vAlign w:val="center"/>
          </w:tcPr>
          <w:p w:rsidR="00E76091" w:rsidRPr="006275C9" w:rsidRDefault="006275C9" w:rsidP="006275C9">
            <w:pPr>
              <w:rPr>
                <w:lang w:val="en-US"/>
              </w:rPr>
            </w:pPr>
            <w:r w:rsidRPr="006275C9">
              <w:rPr>
                <w:lang w:val="en-US"/>
              </w:rPr>
              <w:t xml:space="preserve">Detailed land cover information at the </w:t>
            </w:r>
            <w:r w:rsidRPr="006275C9">
              <w:rPr>
                <w:lang w:val="en-US"/>
              </w:rPr>
              <w:t>point</w:t>
            </w:r>
            <w:r w:rsidRPr="006275C9">
              <w:rPr>
                <w:lang w:val="en-US"/>
              </w:rPr>
              <w:t xml:space="preserve"> level (see classification scheme below)</w:t>
            </w:r>
          </w:p>
        </w:tc>
      </w:tr>
    </w:tbl>
    <w:p w:rsidR="005035E6" w:rsidRPr="006275C9" w:rsidRDefault="005035E6" w:rsidP="006275C9">
      <w:pPr>
        <w:spacing w:before="240" w:after="240"/>
        <w:rPr>
          <w:i/>
          <w:lang w:val="en-US"/>
        </w:rPr>
      </w:pPr>
      <w:r w:rsidRPr="006275C9">
        <w:rPr>
          <w:i/>
          <w:lang w:val="en-US"/>
        </w:rPr>
        <w:t>Classification scheme</w:t>
      </w:r>
    </w:p>
    <w:p w:rsidR="00183F0F" w:rsidRPr="006275C9" w:rsidRDefault="003A7DB5" w:rsidP="00826EA0">
      <w:pPr>
        <w:rPr>
          <w:lang w:val="en-US"/>
        </w:rPr>
      </w:pPr>
      <w:r w:rsidRPr="006275C9">
        <w:rPr>
          <w:lang w:val="en-US"/>
        </w:rPr>
        <w:t xml:space="preserve">The spectral library and the land cover reference information </w:t>
      </w:r>
      <w:r w:rsidR="00E76091" w:rsidRPr="006275C9">
        <w:rPr>
          <w:lang w:val="en-US"/>
        </w:rPr>
        <w:t>are</w:t>
      </w:r>
      <w:r w:rsidRPr="006275C9">
        <w:rPr>
          <w:lang w:val="en-US"/>
        </w:rPr>
        <w:t xml:space="preserve"> hierarchically structured according to the following scheme:</w:t>
      </w:r>
    </w:p>
    <w:tbl>
      <w:tblPr>
        <w:tblStyle w:val="Tabellenraster"/>
        <w:tblW w:w="46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8"/>
        <w:gridCol w:w="1214"/>
        <w:gridCol w:w="237"/>
        <w:gridCol w:w="1186"/>
        <w:gridCol w:w="1551"/>
        <w:gridCol w:w="237"/>
        <w:gridCol w:w="1200"/>
        <w:gridCol w:w="1687"/>
      </w:tblGrid>
      <w:tr w:rsidR="00AE5416" w:rsidRPr="006275C9" w:rsidTr="00AE5416"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AE5416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level_1_id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AE5416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</w:t>
            </w:r>
            <w:r w:rsidR="00DD696A" w:rsidRPr="006275C9">
              <w:rPr>
                <w:lang w:val="en-US"/>
              </w:rPr>
              <w:t>evel_1</w:t>
            </w:r>
          </w:p>
        </w:tc>
        <w:tc>
          <w:tcPr>
            <w:tcW w:w="139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AE5416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</w:t>
            </w:r>
            <w:r w:rsidR="00DD696A" w:rsidRPr="006275C9">
              <w:rPr>
                <w:lang w:val="en-US"/>
              </w:rPr>
              <w:t>evel_</w:t>
            </w:r>
            <w:r w:rsidR="00DD696A" w:rsidRPr="006275C9">
              <w:rPr>
                <w:lang w:val="en-US"/>
              </w:rPr>
              <w:t>2</w:t>
            </w:r>
            <w:r w:rsidR="00DD696A" w:rsidRPr="006275C9">
              <w:rPr>
                <w:lang w:val="en-US"/>
              </w:rPr>
              <w:t>_</w:t>
            </w:r>
            <w:r w:rsidRPr="006275C9">
              <w:rPr>
                <w:lang w:val="en-US"/>
              </w:rPr>
              <w:t>id</w:t>
            </w:r>
          </w:p>
        </w:tc>
        <w:tc>
          <w:tcPr>
            <w:tcW w:w="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AE5416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</w:t>
            </w:r>
            <w:r w:rsidR="00DD696A" w:rsidRPr="006275C9">
              <w:rPr>
                <w:lang w:val="en-US"/>
              </w:rPr>
              <w:t>evel_</w:t>
            </w:r>
            <w:r w:rsidR="00DD696A" w:rsidRPr="006275C9">
              <w:rPr>
                <w:lang w:val="en-US"/>
              </w:rPr>
              <w:t>2</w:t>
            </w:r>
          </w:p>
        </w:tc>
        <w:tc>
          <w:tcPr>
            <w:tcW w:w="139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AE5416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</w:t>
            </w:r>
            <w:r w:rsidR="00DD696A" w:rsidRPr="006275C9">
              <w:rPr>
                <w:lang w:val="en-US"/>
              </w:rPr>
              <w:t>evel_</w:t>
            </w:r>
            <w:r w:rsidR="00DD696A" w:rsidRPr="006275C9">
              <w:rPr>
                <w:lang w:val="en-US"/>
              </w:rPr>
              <w:t>3</w:t>
            </w:r>
            <w:r w:rsidR="00DD696A" w:rsidRPr="006275C9">
              <w:rPr>
                <w:lang w:val="en-US"/>
              </w:rPr>
              <w:t>_</w:t>
            </w:r>
            <w:r w:rsidRPr="006275C9">
              <w:rPr>
                <w:lang w:val="en-US"/>
              </w:rPr>
              <w:t>id</w:t>
            </w:r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96A" w:rsidRPr="006275C9" w:rsidRDefault="00AE5416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</w:t>
            </w:r>
            <w:r w:rsidR="00DD696A" w:rsidRPr="006275C9">
              <w:rPr>
                <w:lang w:val="en-US"/>
              </w:rPr>
              <w:t>evel_</w:t>
            </w:r>
            <w:r w:rsidR="00DD696A" w:rsidRPr="006275C9">
              <w:rPr>
                <w:lang w:val="en-US"/>
              </w:rPr>
              <w:t>3</w:t>
            </w:r>
          </w:p>
        </w:tc>
      </w:tr>
      <w:tr w:rsidR="00AE5416" w:rsidRPr="006275C9" w:rsidTr="00AE5416">
        <w:tc>
          <w:tcPr>
            <w:tcW w:w="704" w:type="pct"/>
            <w:vMerge w:val="restart"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1</w:t>
            </w:r>
          </w:p>
        </w:tc>
        <w:tc>
          <w:tcPr>
            <w:tcW w:w="713" w:type="pct"/>
            <w:vMerge w:val="restart"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impervious</w:t>
            </w:r>
          </w:p>
        </w:tc>
        <w:tc>
          <w:tcPr>
            <w:tcW w:w="139" w:type="pct"/>
            <w:vMerge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vMerge w:val="restart"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1</w:t>
            </w:r>
          </w:p>
        </w:tc>
        <w:tc>
          <w:tcPr>
            <w:tcW w:w="911" w:type="pct"/>
            <w:vMerge w:val="restart"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impervious</w:t>
            </w:r>
          </w:p>
        </w:tc>
        <w:tc>
          <w:tcPr>
            <w:tcW w:w="139" w:type="pct"/>
            <w:vMerge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1</w:t>
            </w:r>
          </w:p>
        </w:tc>
        <w:tc>
          <w:tcPr>
            <w:tcW w:w="991" w:type="pct"/>
            <w:tcBorders>
              <w:top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roof</w:t>
            </w:r>
          </w:p>
        </w:tc>
      </w:tr>
      <w:tr w:rsidR="00AE5416" w:rsidRPr="006275C9" w:rsidTr="00AE5416">
        <w:tc>
          <w:tcPr>
            <w:tcW w:w="704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13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911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2</w:t>
            </w:r>
          </w:p>
        </w:tc>
        <w:tc>
          <w:tcPr>
            <w:tcW w:w="99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pavement</w:t>
            </w:r>
          </w:p>
        </w:tc>
      </w:tr>
      <w:tr w:rsidR="00AE5416" w:rsidRPr="006275C9" w:rsidTr="00AE5416">
        <w:tc>
          <w:tcPr>
            <w:tcW w:w="704" w:type="pct"/>
            <w:vMerge w:val="restar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2</w:t>
            </w:r>
          </w:p>
        </w:tc>
        <w:tc>
          <w:tcPr>
            <w:tcW w:w="713" w:type="pct"/>
            <w:vMerge w:val="restar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vegetation</w:t>
            </w: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2</w:t>
            </w:r>
          </w:p>
        </w:tc>
        <w:tc>
          <w:tcPr>
            <w:tcW w:w="91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low vegetation</w:t>
            </w: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3</w:t>
            </w:r>
          </w:p>
        </w:tc>
        <w:tc>
          <w:tcPr>
            <w:tcW w:w="99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low vegetation</w:t>
            </w:r>
          </w:p>
        </w:tc>
      </w:tr>
      <w:tr w:rsidR="00AE5416" w:rsidRPr="006275C9" w:rsidTr="00AE5416">
        <w:tc>
          <w:tcPr>
            <w:tcW w:w="704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13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3</w:t>
            </w:r>
          </w:p>
        </w:tc>
        <w:tc>
          <w:tcPr>
            <w:tcW w:w="91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tree</w:t>
            </w: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4</w:t>
            </w:r>
          </w:p>
        </w:tc>
        <w:tc>
          <w:tcPr>
            <w:tcW w:w="99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tree</w:t>
            </w:r>
          </w:p>
        </w:tc>
      </w:tr>
      <w:tr w:rsidR="00AE5416" w:rsidRPr="006275C9" w:rsidTr="00AE5416">
        <w:tc>
          <w:tcPr>
            <w:tcW w:w="704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3</w:t>
            </w:r>
          </w:p>
        </w:tc>
        <w:tc>
          <w:tcPr>
            <w:tcW w:w="713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soil</w:t>
            </w: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4</w:t>
            </w:r>
          </w:p>
        </w:tc>
        <w:tc>
          <w:tcPr>
            <w:tcW w:w="91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soil</w:t>
            </w:r>
          </w:p>
        </w:tc>
        <w:tc>
          <w:tcPr>
            <w:tcW w:w="139" w:type="pct"/>
            <w:vMerge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5</w:t>
            </w:r>
          </w:p>
        </w:tc>
        <w:tc>
          <w:tcPr>
            <w:tcW w:w="991" w:type="pct"/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soil</w:t>
            </w:r>
          </w:p>
        </w:tc>
      </w:tr>
      <w:tr w:rsidR="00AE5416" w:rsidRPr="006275C9" w:rsidTr="00AE5416">
        <w:tc>
          <w:tcPr>
            <w:tcW w:w="704" w:type="pct"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4</w:t>
            </w:r>
          </w:p>
        </w:tc>
        <w:tc>
          <w:tcPr>
            <w:tcW w:w="713" w:type="pct"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water</w:t>
            </w:r>
          </w:p>
        </w:tc>
        <w:tc>
          <w:tcPr>
            <w:tcW w:w="139" w:type="pct"/>
            <w:vMerge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5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water</w:t>
            </w:r>
          </w:p>
        </w:tc>
        <w:tc>
          <w:tcPr>
            <w:tcW w:w="139" w:type="pct"/>
            <w:vMerge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6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vAlign w:val="center"/>
          </w:tcPr>
          <w:p w:rsidR="00DD696A" w:rsidRPr="006275C9" w:rsidRDefault="00DD696A" w:rsidP="00826EA0">
            <w:pPr>
              <w:rPr>
                <w:lang w:val="en-US"/>
              </w:rPr>
            </w:pPr>
            <w:r w:rsidRPr="006275C9">
              <w:rPr>
                <w:lang w:val="en-US"/>
              </w:rPr>
              <w:t>water</w:t>
            </w:r>
          </w:p>
        </w:tc>
      </w:tr>
    </w:tbl>
    <w:p w:rsidR="005035E6" w:rsidRPr="006275C9" w:rsidRDefault="005035E6" w:rsidP="006275C9">
      <w:pPr>
        <w:spacing w:before="240" w:after="240"/>
        <w:rPr>
          <w:i/>
        </w:rPr>
      </w:pPr>
      <w:r w:rsidRPr="006275C9">
        <w:rPr>
          <w:i/>
        </w:rPr>
        <w:t>References</w:t>
      </w:r>
    </w:p>
    <w:p w:rsidR="006275C9" w:rsidRPr="006275C9" w:rsidRDefault="006275C9" w:rsidP="006275C9">
      <w:pPr>
        <w:rPr>
          <w:lang w:val="en-US"/>
        </w:rPr>
      </w:pPr>
      <w:r w:rsidRPr="006275C9">
        <w:t xml:space="preserve">Okujeni, A., van der Linden, S., &amp; </w:t>
      </w:r>
      <w:proofErr w:type="spellStart"/>
      <w:r w:rsidRPr="006275C9">
        <w:t>Hostert</w:t>
      </w:r>
      <w:proofErr w:type="spellEnd"/>
      <w:r w:rsidRPr="006275C9">
        <w:t xml:space="preserve">, P. (2016a). </w:t>
      </w:r>
      <w:r w:rsidRPr="006275C9">
        <w:rPr>
          <w:lang w:val="en-US"/>
        </w:rPr>
        <w:t xml:space="preserve">Berlin-Urban-Gradient dataset 2009 - An </w:t>
      </w:r>
      <w:proofErr w:type="spellStart"/>
      <w:r w:rsidRPr="006275C9">
        <w:rPr>
          <w:lang w:val="en-US"/>
        </w:rPr>
        <w:t>EnMAP</w:t>
      </w:r>
      <w:proofErr w:type="spellEnd"/>
      <w:r w:rsidRPr="006275C9">
        <w:rPr>
          <w:lang w:val="en-US"/>
        </w:rPr>
        <w:t xml:space="preserve"> Preparatory Flight Campaign </w:t>
      </w:r>
      <w:proofErr w:type="gramStart"/>
      <w:r w:rsidRPr="006275C9">
        <w:rPr>
          <w:lang w:val="en-US"/>
        </w:rPr>
        <w:t>In</w:t>
      </w:r>
      <w:proofErr w:type="gramEnd"/>
      <w:r>
        <w:rPr>
          <w:lang w:val="en-US"/>
        </w:rPr>
        <w:t>:</w:t>
      </w:r>
      <w:r w:rsidRPr="006275C9">
        <w:rPr>
          <w:lang w:val="en-US"/>
        </w:rPr>
        <w:t xml:space="preserve"> </w:t>
      </w:r>
      <w:proofErr w:type="spellStart"/>
      <w:r w:rsidRPr="006275C9">
        <w:rPr>
          <w:lang w:val="en-US"/>
        </w:rPr>
        <w:t>EnMAP</w:t>
      </w:r>
      <w:proofErr w:type="spellEnd"/>
      <w:r w:rsidRPr="006275C9">
        <w:rPr>
          <w:lang w:val="en-US"/>
        </w:rPr>
        <w:t xml:space="preserve"> Flight Campaigns Technical Report: GFZ Data Services</w:t>
      </w:r>
    </w:p>
    <w:p w:rsidR="00B45BC5" w:rsidRPr="006275C9" w:rsidRDefault="006275C9" w:rsidP="00826EA0">
      <w:pPr>
        <w:rPr>
          <w:lang w:val="en-US"/>
        </w:rPr>
      </w:pPr>
      <w:r w:rsidRPr="006275C9">
        <w:t xml:space="preserve">Okujeni, A., van der Linden, S., &amp; </w:t>
      </w:r>
      <w:proofErr w:type="spellStart"/>
      <w:r w:rsidRPr="006275C9">
        <w:t>Hostert</w:t>
      </w:r>
      <w:proofErr w:type="spellEnd"/>
      <w:r w:rsidRPr="006275C9">
        <w:t xml:space="preserve">, P. (2016b). </w:t>
      </w:r>
      <w:r w:rsidRPr="006275C9">
        <w:rPr>
          <w:lang w:val="en-US"/>
        </w:rPr>
        <w:t xml:space="preserve">Berlin-Urban-Gradient dataset 2009 - An </w:t>
      </w:r>
      <w:proofErr w:type="spellStart"/>
      <w:r w:rsidRPr="006275C9">
        <w:rPr>
          <w:lang w:val="en-US"/>
        </w:rPr>
        <w:t>EnMAP</w:t>
      </w:r>
      <w:proofErr w:type="spellEnd"/>
      <w:r w:rsidRPr="006275C9">
        <w:rPr>
          <w:lang w:val="en-US"/>
        </w:rPr>
        <w:t xml:space="preserve"> Preparatory Flight Campaign (D</w:t>
      </w:r>
      <w:r>
        <w:rPr>
          <w:lang w:val="en-US"/>
        </w:rPr>
        <w:t>atasets). In: GFZ Data Services</w:t>
      </w:r>
    </w:p>
    <w:sectPr w:rsidR="00B45BC5" w:rsidRPr="00627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D2650"/>
    <w:multiLevelType w:val="hybridMultilevel"/>
    <w:tmpl w:val="0D48DB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C8573A"/>
    <w:multiLevelType w:val="hybridMultilevel"/>
    <w:tmpl w:val="453696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mote Sensing of Enviro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rzrrdwfoxzvp2ea9t95x2au0epedt0az002&quot;&gt;Okujeni_Library_2013&lt;record-ids&gt;&lt;item&gt;1648&lt;/item&gt;&lt;item&gt;1649&lt;/item&gt;&lt;/record-ids&gt;&lt;/item&gt;&lt;/Libraries&gt;"/>
  </w:docVars>
  <w:rsids>
    <w:rsidRoot w:val="00B45BC5"/>
    <w:rsid w:val="000A456E"/>
    <w:rsid w:val="000C695A"/>
    <w:rsid w:val="00183F0F"/>
    <w:rsid w:val="00365564"/>
    <w:rsid w:val="003A7DB5"/>
    <w:rsid w:val="005035E6"/>
    <w:rsid w:val="005327F7"/>
    <w:rsid w:val="006275C9"/>
    <w:rsid w:val="00826EA0"/>
    <w:rsid w:val="00AE5416"/>
    <w:rsid w:val="00B45BC5"/>
    <w:rsid w:val="00DD696A"/>
    <w:rsid w:val="00DE445A"/>
    <w:rsid w:val="00E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D80FD"/>
  <w15:chartTrackingRefBased/>
  <w15:docId w15:val="{7EED36BD-B004-4C7A-BB25-DF31E285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3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5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Standard"/>
    <w:link w:val="EndNoteBibliographyTitleZchn"/>
    <w:rsid w:val="00B45BC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B45BC5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B45BC5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B45BC5"/>
    <w:rPr>
      <w:rFonts w:ascii="Calibri" w:hAnsi="Calibri" w:cs="Calibri"/>
      <w:noProof/>
      <w:lang w:val="en-US"/>
    </w:rPr>
  </w:style>
  <w:style w:type="character" w:styleId="Hyperlink">
    <w:name w:val="Hyperlink"/>
    <w:basedOn w:val="Absatz-Standardschriftart"/>
    <w:uiPriority w:val="99"/>
    <w:unhideWhenUsed/>
    <w:rsid w:val="00B45BC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83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8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A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Okujeni, Akpona</dc:creator>
  <cp:keywords/>
  <dc:description/>
  <cp:lastModifiedBy>Okujeni, Akpona</cp:lastModifiedBy>
  <cp:revision>5</cp:revision>
  <dcterms:created xsi:type="dcterms:W3CDTF">2018-10-22T08:35:00Z</dcterms:created>
  <dcterms:modified xsi:type="dcterms:W3CDTF">2018-10-22T14:08:00Z</dcterms:modified>
</cp:coreProperties>
</file>