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Strokovna presoja vizualne dostopnosti, barvne ločljivosti in berljivosti aplikacije LockIn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Vrednotenje kontrastnih razmerij in primerjalna preglednica barvnih parov</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Standardi dostopnosti spletnih in mobilnih vsebin WCAG 2.1 ter 2.2 določajo natančne pragove svetlobnega kontrasta, ki preprečujejo diskriminacijo uporabnikov z zmanjšano vidno ostrino ali motnjami zaznavanja barv</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Standard zahteva razmerje najmanj 4,5:1 za običajno besedilo pod 18 točkami (oziroma pod 14 točkami pri krepkem tisku), prag 3,0:1 za veliko besedilo ter prag 3,0:1 za uporabniške vmesniške komponente in bistvene grafične elemente, ki nosijo samostojen pomen</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Izračun sloni na relativni svetilnosti posameznega barvnega kanala </w:t>
      </w:r>
      <w:r w:rsidDel="00000000" w:rsidR="00000000" w:rsidRPr="00000000">
        <w:rPr>
          <w:rFonts w:ascii="Arial" w:cs="Arial" w:eastAsia="Arial" w:hAnsi="Arial"/>
          <w:color w:val="1f1f1f"/>
        </w:rPr>
        <w:drawing>
          <wp:inline distB="19050" distT="19050" distL="19050" distR="19050">
            <wp:extent cx="3394024" cy="247878"/>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3394024" cy="247878"/>
                    </a:xfrm>
                    <a:prstGeom prst="rect"/>
                    <a:ln/>
                  </pic:spPr>
                </pic:pic>
              </a:graphicData>
            </a:graphic>
          </wp:inline>
        </w:drawing>
      </w:r>
      <w:r w:rsidDel="00000000" w:rsidR="00000000" w:rsidRPr="00000000">
        <w:rPr>
          <w:rFonts w:ascii="Arial" w:cs="Arial" w:eastAsia="Arial" w:hAnsi="Arial"/>
          <w:color w:val="1f1f1f"/>
          <w:rtl w:val="0"/>
        </w:rPr>
        <w:t xml:space="preserve"> po linearizaciji vrednosti sRGB, iz česar izhaja standardna formula kontrastnega razmerja </w:t>
      </w:r>
      <w:r w:rsidDel="00000000" w:rsidR="00000000" w:rsidRPr="00000000">
        <w:rPr>
          <w:rFonts w:ascii="Arial" w:cs="Arial" w:eastAsia="Arial" w:hAnsi="Arial"/>
          <w:color w:val="1f1f1f"/>
        </w:rPr>
        <w:drawing>
          <wp:inline distB="19050" distT="19050" distL="19050" distR="19050">
            <wp:extent cx="2003079" cy="248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03079" cy="248000"/>
                    </a:xfrm>
                    <a:prstGeom prst="rect"/>
                    <a:ln/>
                  </pic:spPr>
                </pic:pic>
              </a:graphicData>
            </a:graphic>
          </wp:inline>
        </w:drawing>
      </w:r>
      <w:r w:rsidDel="00000000" w:rsidR="00000000" w:rsidRPr="00000000">
        <w:rPr>
          <w:rFonts w:ascii="Arial" w:cs="Arial" w:eastAsia="Arial" w:hAnsi="Arial"/>
          <w:color w:val="1f1f1f"/>
          <w:rtl w:val="0"/>
        </w:rPr>
        <w:t xml:space="preserve"> med svetlejšo in temnejšo površino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Pregled vmesnika aplikacije LockIn razkriva mešanico izjemno visokih kontrastnih razmerij pri primarnem besedilu ter nevarnih padcev pod zahtevani nivo pri sekundarnih elementih, vnosnih mejah in posameznih interaktivnih stanjih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Glavni strukturni kontrast primarnega besedila #F1F5F9 na temni podlagi #090D16 dosega izjemnih 17,74:1, na površini kartice #151C2E pa 15,49:1, kar v obeh primerih presega celo najstrožjo raven AAA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Prav tako sekundarno besedilo #A8B3C2 brez težav dosega raven AAA tako na sistemskem ozadju (9,15:1) kot na površini kartice (7,99:1)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Kritično odstopanje pa nastopi pri tihem besedilu #718096. Čeprav na osnovnem ozadju #090D16 z razmerjem 4,84:1 dosega raven AA, na površini vsebovalne kartice #151C2E doseže zgolj 4,23:1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Ker gre za običajno besedilo, uporabljeno za časovne oznake in opise nalog, to razmerje ne dosega standarda 4,5:1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Rešitev ne zahteva drastičnih premikov v oblikovalski hierarhiji: zamenjava z barvo #76859C dvigne kontrastno razmerje na 4,53:1, zamenjava z #8391A7 pa na 5,30:1, s čimer se ohrani pridušen značaj elementa ob sočasni zakonski skladnosti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Naslednje kritično neskladje je vidno na področju interaktivnih gradnikov. Turkizna barva blagovne znamke #2DD4BF ima visoko relativno svetilnost (</w:t>
      </w:r>
      <w:r w:rsidDel="00000000" w:rsidR="00000000" w:rsidRPr="00000000">
        <w:rPr>
          <w:rFonts w:ascii="Arial" w:cs="Arial" w:eastAsia="Arial" w:hAnsi="Arial"/>
          <w:color w:val="1f1f1f"/>
        </w:rPr>
        <w:drawing>
          <wp:inline distB="19050" distT="19050" distL="19050" distR="19050">
            <wp:extent cx="939106" cy="246634"/>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39106" cy="24663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Posledično primarno svetlo besedilo #F1F5F9 na polnem turkiznem gumbu doseže le 1,70:1, kar pomeni popolno odpoved berljivosti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Na modalnem gumbu »Dodaj v moj dan« je to pravilno rešeno z uporabo temnega napisa #090D16, ki ustvarja kontrast 10,44:1 (oziroma 11,28:1 ob uporabi črne #000000)</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Vendar pa stikalo za nastavitve ponavlja enako napako: beli drsnik #FFFFFF na turkiznem tiru #2DD4BF ustvarja kontrast zgolj 1,86:1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Element in primerjani barvni par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Kontrastno razmerje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Zahteva WCAG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Skladnost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Predlagana barvna rešitev ob neskladju</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Primarno besedilo</w:t>
            </w:r>
            <w:r w:rsidDel="00000000" w:rsidR="00000000" w:rsidRPr="00000000">
              <w:rPr>
                <w:rFonts w:ascii="Arial" w:cs="Arial" w:eastAsia="Arial" w:hAnsi="Arial"/>
                <w:color w:val="1f1f1f"/>
                <w:rtl w:val="0"/>
              </w:rPr>
              <w:t xml:space="preserve"> #F1F5F9 na ozadju #090D16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17,74:1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Barva je ustrezna; ohrani se obstoječa koda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Primarno besedilo</w:t>
            </w:r>
            <w:r w:rsidDel="00000000" w:rsidR="00000000" w:rsidRPr="00000000">
              <w:rPr>
                <w:rFonts w:ascii="Arial" w:cs="Arial" w:eastAsia="Arial" w:hAnsi="Arial"/>
                <w:color w:val="1f1f1f"/>
                <w:rtl w:val="0"/>
              </w:rPr>
              <w:t xml:space="preserve"> #F1F5F9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15,49:1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Barva je ustrezna; ohrani se obstoječa koda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Sekundarno besedilo</w:t>
            </w:r>
            <w:r w:rsidDel="00000000" w:rsidR="00000000" w:rsidRPr="00000000">
              <w:rPr>
                <w:rFonts w:ascii="Arial" w:cs="Arial" w:eastAsia="Arial" w:hAnsi="Arial"/>
                <w:color w:val="1f1f1f"/>
                <w:rtl w:val="0"/>
              </w:rPr>
              <w:t xml:space="preserve"> #A8B3C2 na ozadju #090D16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Barva je ustrezna; ohrani se obstoječa koda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Sekundarno besedilo</w:t>
            </w:r>
            <w:r w:rsidDel="00000000" w:rsidR="00000000" w:rsidRPr="00000000">
              <w:rPr>
                <w:rFonts w:ascii="Arial" w:cs="Arial" w:eastAsia="Arial" w:hAnsi="Arial"/>
                <w:color w:val="1f1f1f"/>
                <w:rtl w:val="0"/>
              </w:rPr>
              <w:t xml:space="preserve"> #A8B3C2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7,99:1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Barva je ustrezna; ohrani se obstoječa koda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Tiho besedilo</w:t>
            </w:r>
            <w:r w:rsidDel="00000000" w:rsidR="00000000" w:rsidRPr="00000000">
              <w:rPr>
                <w:rFonts w:ascii="Arial" w:cs="Arial" w:eastAsia="Arial" w:hAnsi="Arial"/>
                <w:color w:val="1f1f1f"/>
                <w:rtl w:val="0"/>
              </w:rPr>
              <w:t xml:space="preserve"> #718096 na ozadju #090D16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4,84:1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vendar ponuja minimalno varnostno rezervo na soncu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Tiho besedilo</w:t>
            </w:r>
            <w:r w:rsidDel="00000000" w:rsidR="00000000" w:rsidRPr="00000000">
              <w:rPr>
                <w:rFonts w:ascii="Arial" w:cs="Arial" w:eastAsia="Arial" w:hAnsi="Arial"/>
                <w:color w:val="1f1f1f"/>
                <w:rtl w:val="0"/>
              </w:rPr>
              <w:t xml:space="preserve"> #718096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 ustreza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Zamenjava z nevtralno sivo #76859C (4,53:1) ali svetlejšo #8391A7 (5,30:1)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Turkizna znamke</w:t>
            </w:r>
            <w:r w:rsidDel="00000000" w:rsidR="00000000" w:rsidRPr="00000000">
              <w:rPr>
                <w:rFonts w:ascii="Arial" w:cs="Arial" w:eastAsia="Arial" w:hAnsi="Arial"/>
                <w:color w:val="1f1f1f"/>
                <w:rtl w:val="0"/>
              </w:rPr>
              <w:t xml:space="preserve"> #2DD4BF na ozadju #090D16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3,0:1 (grafika)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Odlična berljivost ikon in oznak na temnem ozadju</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Turkizna znamke</w:t>
            </w:r>
            <w:r w:rsidDel="00000000" w:rsidR="00000000" w:rsidRPr="00000000">
              <w:rPr>
                <w:rFonts w:ascii="Arial" w:cs="Arial" w:eastAsia="Arial" w:hAnsi="Arial"/>
                <w:color w:val="1f1f1f"/>
                <w:rtl w:val="0"/>
              </w:rPr>
              <w:t xml:space="preserve"> #2DD4BF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9,12:1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3,0:1 (grafika)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vsem zahtevam za grafične elemente in besedilo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Svetlo besedilo</w:t>
            </w:r>
            <w:r w:rsidDel="00000000" w:rsidR="00000000" w:rsidRPr="00000000">
              <w:rPr>
                <w:rFonts w:ascii="Arial" w:cs="Arial" w:eastAsia="Arial" w:hAnsi="Arial"/>
                <w:color w:val="1f1f1f"/>
                <w:rtl w:val="0"/>
              </w:rPr>
              <w:t xml:space="preserve"> #F1F5F9 na turkizni #2DD4BF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1,70:1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Kritično ne ustreza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Dosledna uporaba temnega besedila #090D16 (10,44:1) na vseh turkiznih gumbih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Temno besedilo</w:t>
            </w:r>
            <w:r w:rsidDel="00000000" w:rsidR="00000000" w:rsidRPr="00000000">
              <w:rPr>
                <w:rFonts w:ascii="Arial" w:cs="Arial" w:eastAsia="Arial" w:hAnsi="Arial"/>
                <w:color w:val="1f1f1f"/>
                <w:rtl w:val="0"/>
              </w:rPr>
              <w:t xml:space="preserve"> #090D16 na turkizni #2DD4BF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10,44:1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Standardizirati kot edino dovoljeno barvo besedila na polnih turkiznih poljih</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Beli gumb stikala</w:t>
            </w:r>
            <w:r w:rsidDel="00000000" w:rsidR="00000000" w:rsidRPr="00000000">
              <w:rPr>
                <w:rFonts w:ascii="Arial" w:cs="Arial" w:eastAsia="Arial" w:hAnsi="Arial"/>
                <w:color w:val="1f1f1f"/>
                <w:rtl w:val="0"/>
              </w:rPr>
              <w:t xml:space="preserve"> #FFFFFF na turkiznem tiru #2DD4BF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1,86:1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3,0:1 (komponente)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 ustreza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Dodati 1,5 dp temno obrobo #090D16 okrog drsnika ali potemniti tir na #0D9488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Vijolični fokus</w:t>
            </w:r>
            <w:r w:rsidDel="00000000" w:rsidR="00000000" w:rsidRPr="00000000">
              <w:rPr>
                <w:rFonts w:ascii="Arial" w:cs="Arial" w:eastAsia="Arial" w:hAnsi="Arial"/>
                <w:color w:val="1f1f1f"/>
                <w:rtl w:val="0"/>
              </w:rPr>
              <w:t xml:space="preserve"> #A78BFA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6,24:1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zahtevam za besedilo in grafične elemente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Zeleni počitek</w:t>
            </w:r>
            <w:r w:rsidDel="00000000" w:rsidR="00000000" w:rsidRPr="00000000">
              <w:rPr>
                <w:rFonts w:ascii="Arial" w:cs="Arial" w:eastAsia="Arial" w:hAnsi="Arial"/>
                <w:color w:val="1f1f1f"/>
                <w:rtl w:val="0"/>
              </w:rPr>
              <w:t xml:space="preserve"> #34D399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8,83:1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zahtevam za besedilo in grafične elemente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Rdeči rok</w:t>
            </w:r>
            <w:r w:rsidDel="00000000" w:rsidR="00000000" w:rsidRPr="00000000">
              <w:rPr>
                <w:rFonts w:ascii="Arial" w:cs="Arial" w:eastAsia="Arial" w:hAnsi="Arial"/>
                <w:color w:val="1f1f1f"/>
                <w:rtl w:val="0"/>
              </w:rPr>
              <w:t xml:space="preserve"> #FB7185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6,31:1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zahtevam za besedilo in grafične elemente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Rumeno opozorilo</w:t>
            </w:r>
            <w:r w:rsidDel="00000000" w:rsidR="00000000" w:rsidRPr="00000000">
              <w:rPr>
                <w:rFonts w:ascii="Arial" w:cs="Arial" w:eastAsia="Arial" w:hAnsi="Arial"/>
                <w:color w:val="1f1f1f"/>
                <w:rtl w:val="0"/>
              </w:rPr>
              <w:t xml:space="preserve"> #FBBF24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10,17:1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Visoka vidnost na temni podlagi</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Cian ura</w:t>
            </w:r>
            <w:r w:rsidDel="00000000" w:rsidR="00000000" w:rsidRPr="00000000">
              <w:rPr>
                <w:rFonts w:ascii="Arial" w:cs="Arial" w:eastAsia="Arial" w:hAnsi="Arial"/>
                <w:color w:val="1f1f1f"/>
                <w:rtl w:val="0"/>
              </w:rPr>
              <w:t xml:space="preserve"> #67E8F9 na kartici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11,71:1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4,5:1 (navadno)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Ustreza (AAA)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Izjemna kontrastna varnost pri prikazu časa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Lasna obroba 10 % bela</w:t>
            </w:r>
            <w:r w:rsidDel="00000000" w:rsidR="00000000" w:rsidRPr="00000000">
              <w:rPr>
                <w:rFonts w:ascii="Arial" w:cs="Arial" w:eastAsia="Arial" w:hAnsi="Arial"/>
                <w:color w:val="1f1f1f"/>
                <w:rtl w:val="0"/>
              </w:rPr>
              <w:t xml:space="preserve"> (približek #2C3343) na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1,34:1 (približek)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3,0:1 (meje polj)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Kritično ne ustreza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Povečati prekrivnost bele na 34 % (približek #656975), kar doseže 3,10:1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Lasna obroba 14 % bela</w:t>
            </w:r>
            <w:r w:rsidDel="00000000" w:rsidR="00000000" w:rsidRPr="00000000">
              <w:rPr>
                <w:rFonts w:ascii="Arial" w:cs="Arial" w:eastAsia="Arial" w:hAnsi="Arial"/>
                <w:color w:val="1f1f1f"/>
                <w:rtl w:val="0"/>
              </w:rPr>
              <w:t xml:space="preserve"> (približek #363C4B) na #151C2E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1,54:1 (približek)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3,0:1 (meje polj)</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Kritično ne ustreza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Povečati prekrivnost bele na 34 % (približek #656975) za funkcionalne robove polj</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Razločevanje kartice</w:t>
            </w:r>
            <w:r w:rsidDel="00000000" w:rsidR="00000000" w:rsidRPr="00000000">
              <w:rPr>
                <w:rFonts w:ascii="Arial" w:cs="Arial" w:eastAsia="Arial" w:hAnsi="Arial"/>
                <w:color w:val="1f1f1f"/>
                <w:rtl w:val="0"/>
              </w:rPr>
              <w:t xml:space="preserve"> #151C2E proti ozadju #090D16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1,14:1 (približek)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3,0:1 (če določa mejo)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 ustreza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Kartica se brez obrobe zlije z ozadjem; potreben je kontrasten rob ali dvig tona na #1A2238</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Diferencialna diagnoza barvne slepote in večmodalno kodiranje pomena</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Temeljno načelo smernice WCAG 1.4.1 zapoveduje, da barva ne sme biti edini nosilec pomena, saj uporabniki z dikromacijo določenih delov barvnega spektra sploh ne zaznavajo. V nadaljevanju je obravnavano obnašanje štirih ključnih vmesniških mehanizmov aplikacije LockIn pri deuteranopiji, protanopiji in tritanopiji ter rešitve, ki ohranijo pomen z alternativnimi vizualnimi kanali.</w:t>
      </w:r>
    </w:p>
    <w:p w:rsidR="00000000" w:rsidDel="00000000" w:rsidP="00000000" w:rsidRDefault="00000000" w:rsidRPr="00000000" w14:paraId="0000006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Močnejša barva na koledarskem mesecu kot merilo intenzivnosti fokusa</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mesečnem pogledu aplikacija stopnjo načrtovanega fokusa prikazuje z naraščanjem nasičenosti barve. Posamezniki z deuteranopijo in protanopijo ne zaznavajo kromatičnih premikov med zelenimi in rdečimi valovnimi dolžinami, zato se spekter vijolične (#A78BFA) ali turkizne (#2DD4BF) na temnem ozadju zreducira na zvezno sivinsko svetilnost. Pri protanopiji je zaznavanje rdečega spektra močno oslabljeno, zaradi česar temnejši odtenki delujejo skoraj povsem črni in se zlijejo z ozadjem celice #151C2E. Pri tritanopiji pa turkizni toni izgubijo modro komponento in preidejo v bledo, nepovezano sivino.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Ker človeško oko brez neposredne primerjalne lestvice ne more natančno oceniti absolutne ravni svetilnosti posameznega kvadratka, dijak z barvno slepoto ne more ugotoviti, ali obarvanost pomeni 45, 90 ali 180 minut učenja. Pomen brez barve torej ne ostane berljiv.</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Rešitev predstavlja vpeljava diskretnih geometrijskih mikro-indikatorjev v spodnjem delu vsake celice dneva. Namesto zveznega barvanja celotnega ozadja se pod številko datuma umestijo do tri točke ali segmentirana vodoravna črtica: ena črtica označuje zmerno obremenitev do ene ure, dve črtici pomenita srednjo obremenitev do dveh ur in pol, tri črtice pa visoko raven osredotočenosti. S tem se podatek prenese prek štetja elementov in prostorske razporeditve, barvni odtenek pa ostane zgolj estetska nadgradnja.</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Rdeče pike za označevanje rokov in preizkusov znanja</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Legenda mesečnega pogleda določa rdeče pike za teste in roke IB (#FB7185), zelenkasto barvo za pouka prost dan (#34D399) ter turkizno za fokus (#2DD4BF). Takšna zasnova ustvarja dvojno oviro dostopnosti. Za osebo z deuteranopijo se rdeča (#FB7185) in zelena (#34D399) preslikata v skoraj identičen rumenkasto-rjavkast ton. Čeprav imata barvi rahlo različno svetilnost (</w:t>
      </w:r>
      <w:r w:rsidDel="00000000" w:rsidR="00000000" w:rsidRPr="00000000">
        <w:rPr>
          <w:rFonts w:ascii="Arial" w:cs="Arial" w:eastAsia="Arial" w:hAnsi="Arial"/>
          <w:color w:val="1f1f1f"/>
        </w:rPr>
        <w:drawing>
          <wp:inline distB="19050" distT="19050" distL="19050" distR="19050">
            <wp:extent cx="348556" cy="235511"/>
            <wp:effectExtent b="0" l="0" r="0" t="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proti </w:t>
      </w:r>
      <w:r w:rsidDel="00000000" w:rsidR="00000000" w:rsidRPr="00000000">
        <w:rPr>
          <w:rFonts w:ascii="Arial" w:cs="Arial" w:eastAsia="Arial" w:hAnsi="Arial"/>
          <w:color w:val="1f1f1f"/>
        </w:rPr>
        <w:drawing>
          <wp:inline distB="19050" distT="19050" distL="19050" distR="19050">
            <wp:extent cx="348556" cy="235511"/>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1f1f1f"/>
          <w:rtl w:val="0"/>
        </w:rPr>
        <w:t xml:space="preserve">), je ta razlika pri piki s premerom le 4 do 6 dp premajhna, da bi omogočala nezmotljivo prepoznavo</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Pri tritanopiji pa se zelena in turkizna zlijeta v identičen modro-zelenkast odtenek. Še večja sistemska napaka obstoječe zasnove pa je v tem, da sta Test in Rok IB že za posameznika z običajnim vidom označena z identično rdečo piko, kar povzroča popolno pomensko dvoumnost.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Pomen se brez barve popolnoma izgubi, zato je nujno uvesti takojšnjo geometrijsko diferenciacijo simbolov. Test se opremi s polnim enakostraničnim trikotnikom, končni rok IB s polnim rombom oziroma diamantom, prost dan s praznim krogcem ali vodoravno prekinjeno črtico, blok fokusa pa s polnim krogom. Z uvedbo štirih različnih silhuet informacija postane popolnoma neodvisna od barvnega vida in zanesljivo berljiva tudi v neugodnih svetlobnih razmerah.</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Barvni rob kartice kot nosilec kategorije dejavnosti</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 dnevni časovnici kategorijo predmeta ali dejavnosti (šola, fokus, počitek, osebno) določa barvni rob kartice. Ker je ta rob širok le 2 do 3 dp, mrežnica sprejme premalo svetlobnega toka, da bi lahko zanesljivo aktivirala preostale fotoreceptorje pri uporabnikih z delno barvno slepoto. Rdeče-zeleni spekter se na tako ozkem pasu takoj izgubi v nevtralnih sivinah kartice #151C2E. Posledično dijak ne more na hitro ločiti med vijoličnim robom samostojnega učenja, zelenim robom počitka in rdečim robom nujnega šolskega roka.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Da pomen ostane berljiv brez barve, mora kartica vsebovati strukturni vsebinski označevalec. V glavo kartice se poleg časovnega razpona umesti nativna ikona kategorije (na primer stilizirana knjiga za šolski predmet, polmesec za spanje, skodelica za odmor in tarča za fokus) ali pa se neposredno pred naslov zapiše kratka besedilna oznaka. Barvni rob lahko ostane kot oblikovalski element, vendar ne sme nositi izključne odgovornosti za identifikacijo kategorije.</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Turkizna barva kot nosilec glavnega dejanja</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Turkizna barva blagovne znamke #2DD4BF nosi glavno dejanje v obliki lebdečega gumba »Dodaj blok«, potrditvenih gumbov in aktivnih stanj zavihkov. Pri protanopiji in deuteranopiji ta barva preide v svetlo modrikasto sivo, pri tritanopiji pa v bledo sivo-zeleno. Kljub izgubi kromatičnega tona turkizna barva v celoti ohrani svojo hierarhično moč. Razlog tiči v njeni visoki relativni svetilnosti, ki na temnem ozadju #090D16 ustvarja svetlobni kontrast 10,44:1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Uporabnik z barvno slepoto gumba ne zazna po specifičnem turkiznem odtenku, temveč po izraziti svetlosti glede na temno okolico, stalnem lebdečem položaju v spodnjem desnem kotu ter vsebovani ikoni plus (＋). Pomen glavnega dejanja tako ostane popolnoma jasen brez barve. Sprememba turkiznega odtenka znamke zato ni potrebna; zagotoviti je treba le, da je besedilo znotraj polnih gumbov vedno temno (#090D16), rob lebdeče pilule pa v stanju mirovanja dovolj izrazit.</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Vpliv zaslonov OLED, steklenih površin in zunanje svetlobe na berljivost</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Izbira temne barvne sheme s podlago #090D16 in karticami #151C2E je s stališča tehnologije OLED tehnično premišljena, saj preprečuje pojav vijoličnega razmazovanja slike ob hitrem drsenju (tako imenovani OLED smearing), do katerega prihaja ob popolnem izklopu organskih diod pri absolutni črnini #000000. Hkrati takšna zasnova preprečuje izgubo podrobnosti v najtemnejših odtenkih. Vendar pa prazen temen prostor v realnih pogojih deluje dvorezno. Medtem ko v temnem prostoru deluje pomirjujoče in zmanjšuje utrujenost oči, se na prostem ob močni sončni svetlobi neosvetljene površine zaslona OLED spremenijo v ogledalo. Odsev uporabnikovega telesa in neba drastično zniža navidezni kontrast, zaradi česar prazen zaslon z drobnim obvestilom ne deluje kot zračen minimalističen prostor, temveč kot ugasnjena ali neodzivna naprava. Prazen prostor mora zato vsebovati strukturirane orisne elemente, ki očesu določijo prostorske koordinate vmesnika tudi ob močni zunanji bleščavi.</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Uporaba lebdečega stekla (glassmorphism) v zgornji vrstici in spodnjih listih odpira resno tveganje za porušenje dostopnosti ob dinamičnem premikanju vsebine. V mirovanju, ko pod steklom leži temna podlaga #090D16, svetlo besedilo #F1F5F9 ohranja visoko kontrastno razmerje 17,74:1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Ko pa uporabnik urnik premakne navpično in pod stekleno vrstico zapelje svetla kartica (na primer kartica z rumenim opozorilom #FBBF24, zelenim počitkom #34D399 ali razširjenim svetlim poljem), se svetilnost podlage pod prosojnim steklom v trenutku dvigne iz začetne vrednosti </w:t>
      </w:r>
      <w:r w:rsidDel="00000000" w:rsidR="00000000" w:rsidRPr="00000000">
        <w:rPr>
          <w:rFonts w:ascii="Arial" w:cs="Arial" w:eastAsia="Arial" w:hAnsi="Arial"/>
          <w:color w:val="1f1f1f"/>
        </w:rPr>
        <w:drawing>
          <wp:inline distB="19050" distT="19050" distL="19050" distR="19050">
            <wp:extent cx="446484" cy="237492"/>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46484" cy="237492"/>
                    </a:xfrm>
                    <a:prstGeom prst="rect"/>
                    <a:ln/>
                  </pic:spPr>
                </pic:pic>
              </a:graphicData>
            </a:graphic>
          </wp:inline>
        </w:drawing>
      </w:r>
      <w:r w:rsidDel="00000000" w:rsidR="00000000" w:rsidRPr="00000000">
        <w:rPr>
          <w:rFonts w:ascii="Arial" w:cs="Arial" w:eastAsia="Arial" w:hAnsi="Arial"/>
          <w:color w:val="1f1f1f"/>
          <w:rtl w:val="0"/>
        </w:rPr>
        <w:t xml:space="preserve"> na več kot </w:t>
      </w:r>
      <w:r w:rsidDel="00000000" w:rsidR="00000000" w:rsidRPr="00000000">
        <w:rPr>
          <w:rFonts w:ascii="Arial" w:cs="Arial" w:eastAsia="Arial" w:hAnsi="Arial"/>
          <w:color w:val="1f1f1f"/>
        </w:rPr>
        <w:drawing>
          <wp:inline distB="19050" distT="19050" distL="19050" distR="19050">
            <wp:extent cx="348556" cy="235511"/>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48556" cy="235511"/>
                    </a:xfrm>
                    <a:prstGeom prst="rect"/>
                    <a:ln/>
                  </pic:spPr>
                </pic:pic>
              </a:graphicData>
            </a:graphic>
          </wp:inline>
        </w:drawing>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Kontrast primarnega navigacijskega besedila in ure v tistem trenutku pade pod mejo 1,8:1, s čimer črke postanejo povsem neberljive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Prav tako svetlobni odsev ob nagibu telefona na soncu deluje kot vizualni šum, ki simulira zunanjo umazanijo ali poškodbo zaslona.</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Rešitev tega pojava zahteva adaptivno krmiljenje prosojnosti. Ob sprožitvi navpičnega drsenja (ko odmik preseže ničelno točko) mora sistem motnost steklene plasti nemudoma povečati na vsaj 95 % z uporabo temnega zastora #090D16, zameglitev ozadja pa nastaviti na najmanj 24 dp. Svetlobni odsev ob nagibu žiroskopa pa mora biti podprt z možnostjo popolnega izklopa v nastavitvah naprave, kar zadošča zahtevam po zmanjšanju nepotrebnega gibanja v vmesniku.</w:t>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Presoja tipografije Roboto Flex in obnašanje ob sistemskem povečanju pisave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Uporaba spremenljive pisave Roboto Flex z dinamično optično velikostjo (opsz) omogoča avtomatsko prilagajanje anatomije črk glede na njihovo velikost</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Pri najmanjši določeni velikosti 12 sp pisava samodejno razširi notranje očesne prostore črk, odebeli prečne poteze in nekoliko poveča medčrkovni razmik, kar preprečuje zlivanje znakov</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Kljub temu je velikost 12 sp na sodobnih zaslonih pametnih telefonov z visoko gostoto pikslov (nad 400 ppi) problematična, saj fizična višina malih črk meri manj kot 1,5 milimetra. Ko dijak telefon uporablja med hojo ali vožnjo z javnim prevozom, mikrotresljaji roke v kombinaciji z zenico, ki je na sončni svetlobi skrčena, dramatično poslabšajo vidno ostrino. Velikost 12 sp ob sočasni uporabi tihega sivega odtenka #718096 pade globoko pod prag ergonomskega prepoznavanja. Za vse ključne podatke (časovni razponi, imena dni, statusi nalog) je nujno določiti spodnjo mejo pri 13 ali 14 sp ter debelino dvigniti na srednjo (Medium 500), medtem ko se 12 sp lahko ohrani izključno za nebistvene enote in metapodatke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Operacijski sistem Android od različice 14 dalje uveljavlja nelinearno povečevanje pisave do 200 %</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Ta algoritem velikih naslovov (kot je zaslonski naslov 34 sp) skorajda ne spreminja, medtem ko majhna besedila velikosti 12 do 14 sp podvoji na 24 do 28 sp</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Če vmesnik LockIn temelji na togih vsebovalnikih z vnaprej predpisanimi višinami 48 ali 56 dp, takšno povečanje povzroči nepopravljivo vizualno škodo</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 zgornji navigacijski vrstici z enako širokimi zavihki (Dan, Teden, Mesec, Leto) se besedilo odreže ali prebije meje drsne kapsule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V mesečni mreži sedmih dni številka datuma skupaj z indikatorji prebije meje celice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Na dnu zaslona lebdeča pilula višine 56 dp ob povečavi napisa na 28 sp odreže zgornje in spodnje dele črk</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Da bi se temu izognili, mora postavitev v celoti opustiti toge navpične dimenzije in preiti na elastično prilagajanje višine glede na vsebino z dinamičnimi odmiki, vrstica štirih obdobij pa se mora ob vklopljeni povečavi pisave samodejno preoblikovati v vodoravno drsni trak</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Ključne točke konflikta med vizualno privlačnostjo in standardi dostopnosti</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Oblikovanje vmesnikov pogosto sooča estetske ideale minimalizma s tehničnimi zahtevami univerzalne dostopnosti. V nadaljevanju so natančno analizirana tri mesta neposrednega konflikta v aplikaciji LockIn, skupaj z utemeljitvijo, katera stran mora popustiti za dosego uravnoteženega delovanja.</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Lasne obrobe z nizko prekrivnostjo proti jasni določitvi vnosnih polj</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Oblikovalska zasnova zahteva uporabo izjemno tankih lasnih obrob z le 10 do 14 % prekrivnosti bele barve, s čimer dosega moderen videz lebdečih kartic in čistih vnosnih površin, ki ne obremenjujejo pogleda. Nasprotno pa strokovnjak za dostopnost na podlagi standarda WCAG 1.4.11 zahteva razmerje vsaj 3,0:1 za meje vseh interaktivnih vnosnih elementov</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Zračunano kontrastno razmerje 14-odstotne bele obrobe na kartici #151C2E znaša komaj 1,54:1, na sistemskem ozadju pa 1,45:1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Ob prisotnosti zunanje svetlobe takšna obroba povsem izgine, zaradi česar slaboviden dijak ne more določiti začetka in konca vnosnih polj za čas, naslov ali predmet.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tem sporu mora popustiti vizualno oblikovanje. Nezmožnost prepoznave interaktivnih polj neposredno preprečuje osnovno funkcionalnost aplikacije. Rešitev predstavlja kompromis: neaktivne pasivne kartice urnika lahko ohranijo minimalistično obrobo ob rahlem dvigu tona površine, vsa aktivna vnosna polja v spodnjih listih pa morajo prevzeti obrobo s prekrivnostjo vsaj 34 % bele barve (približek #656975), ki na kartici zanesljivo doseže predpisano razmerje 3,10:1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Popolna prosojnost lebdečega stekla proti stabilnosti branja navigacijskih podatkov</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Oblikovalska vizija predvideva lebdečo stekleno vrstico in spodnje panele z visoko prosojnostjo ter simulacijo svetlobnega loma ob nagibu naprave, kar ustvarja občutek globine in tehnološke prefinjenosti. Strokovnjak za dostopnost po kriteriju WCAG 1.4.3 opozarja, da mora biti kontrast besedila stabilen in v vseh pogojih nad vrednostjo 4,5:1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Ko se med pomikanjem pod prosojno navigacijsko vrstico pomakne barvna kartica z visoko svetilnostjo, se kontrast naslova obdobja in gumbov zruši pod 1,8:1, robovi črk pa se optično razbijejo ob spodnje grafične elemente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tem konfliktu mora popustiti vizualna privlačnost prosojnosti. Estetski učinek ne sme ogroziti orientacije po aplikaciji. Uveljavi se dinamična prilagoditev: stekleni elementi ostanejo prosojni izključno takrat, ko je vsebina v mirovanju na vrhu zaslona. V trenutku zaznave prvega premika navpičnega drsenja sistem pod stekleno površino aktivira skoraj neprosojen temen sloj (95 % motnosti barve #090D16), ki besedilu zagotovi stabilno temno ozadje in trajno ohrani kontrast nad 15:1</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Minimalistične pike na koledarju proti večmodalnemu označevanju z geometrijskimi oblikami</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Z vidika minimalističnega oblikovanja morajo koledarski dnevi ostati vizualno čisti, neobremenjeni kvadratki, kjer se preizkusi znanja in roki označujejo izključno z drobnimi barvnimi pikicami. Strokovnjak za dostopnost pa ugotavlja neposredno kršitev pravila WCAG 1.4.1 o prepovedi uporabe barve kot edinega nosilca informacije. Drobna rdeča pika premera 4 dp je za posameznika z rdeče-zeleno barvno slepoto neprepoznavna ali zamenljiva z zeleno piko prostega dneva, povrhu vsega pa obstoječi sistem z identično rdečo piko označuje tako navadne teste kot končne roke IB, kar ustvarja informacijski kaos tudi za uporabnike z običajnim vidom.</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 tem primeru mora oblikovanje brez izjeme popustiti zahtevam dostopnosti. Drobne monolitne pike se nadomestijo z ločenimi geometrijskimi silhuetami: trikotnik za teste, diamant za roke IB, prazen krog za proste dni in polna točka za fokus. S tem koledar postane informacijsko zanesljiv pri vseh oblikah vida in v vseh svetlobnih pogojih, ne da bi pri tem izgubil svojo vizualno skladnost.</w:t>
      </w:r>
    </w:p>
    <w:p w:rsidR="00000000" w:rsidDel="00000000" w:rsidP="00000000" w:rsidRDefault="00000000" w:rsidRPr="00000000" w14:paraId="0000008D">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Citirana dela</w:t>
      </w:r>
    </w:p>
    <w:p w:rsidR="00000000" w:rsidDel="00000000" w:rsidP="00000000" w:rsidRDefault="00000000" w:rsidRPr="00000000" w14:paraId="0000008E">
      <w:pPr>
        <w:numPr>
          <w:ilvl w:val="0"/>
          <w:numId w:val="1"/>
        </w:numPr>
        <w:pBdr>
          <w:top w:space="0" w:sz="0" w:val="nil"/>
          <w:left w:space="0" w:sz="0" w:val="nil"/>
          <w:bottom w:space="0" w:sz="0" w:val="nil"/>
          <w:right w:space="0" w:sz="0" w:val="nil"/>
          <w:between w:space="0" w:sz="0" w:val="nil"/>
        </w:pBdr>
        <w:shd w:fill="auto" w:val="clear"/>
        <w:ind w:left="600" w:hanging="360"/>
      </w:pPr>
      <w:hyperlink r:id="rId12">
        <w:r w:rsidDel="00000000" w:rsidR="00000000" w:rsidRPr="00000000">
          <w:rPr>
            <w:rFonts w:ascii="Arial" w:cs="Arial" w:eastAsia="Arial" w:hAnsi="Arial"/>
            <w:color w:val="0000ee"/>
            <w:sz w:val="24"/>
            <w:szCs w:val="24"/>
            <w:u w:val="single"/>
            <w:rtl w:val="0"/>
          </w:rPr>
          <w:t xml:space="preserve">unknown_url</w:t>
        </w:r>
      </w:hyperlink>
      <w:r w:rsidDel="00000000" w:rsidR="00000000" w:rsidRPr="00000000">
        <w:rPr>
          <w:rtl w:val="0"/>
        </w:rPr>
      </w:r>
    </w:p>
    <w:p w:rsidR="00000000" w:rsidDel="00000000" w:rsidP="00000000" w:rsidRDefault="00000000" w:rsidRPr="00000000" w14:paraId="0000008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Google I/O: Android 14 Accessibility Updates - Bilue, </w:t>
      </w:r>
      <w:hyperlink r:id="rId13">
        <w:r w:rsidDel="00000000" w:rsidR="00000000" w:rsidRPr="00000000">
          <w:rPr>
            <w:rFonts w:ascii="Arial" w:cs="Arial" w:eastAsia="Arial" w:hAnsi="Arial"/>
            <w:color w:val="0000ee"/>
            <w:sz w:val="24"/>
            <w:szCs w:val="24"/>
            <w:u w:val="single"/>
            <w:rtl w:val="0"/>
          </w:rPr>
          <w:t xml:space="preserve">https://bilue.com.au/article/google-io-android-14-accessibility-updates</w:t>
        </w:r>
      </w:hyperlink>
      <w:r w:rsidDel="00000000" w:rsidR="00000000" w:rsidRPr="00000000">
        <w:rPr>
          <w:rtl w:val="0"/>
        </w:rPr>
      </w:r>
    </w:p>
    <w:p w:rsidR="00000000" w:rsidDel="00000000" w:rsidP="00000000" w:rsidRDefault="00000000" w:rsidRPr="00000000" w14:paraId="0000009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Roboto Flex | Adobe Fonts, </w:t>
      </w:r>
      <w:hyperlink r:id="rId14">
        <w:r w:rsidDel="00000000" w:rsidR="00000000" w:rsidRPr="00000000">
          <w:rPr>
            <w:rFonts w:ascii="Arial" w:cs="Arial" w:eastAsia="Arial" w:hAnsi="Arial"/>
            <w:color w:val="0000ee"/>
            <w:sz w:val="24"/>
            <w:szCs w:val="24"/>
            <w:u w:val="single"/>
            <w:rtl w:val="0"/>
          </w:rPr>
          <w:t xml:space="preserve">https://fonts.adobe.com/fonts/roboto-flex</w:t>
        </w:r>
      </w:hyperlink>
      <w:r w:rsidDel="00000000" w:rsidR="00000000" w:rsidRPr="00000000">
        <w:rPr>
          <w:rtl w:val="0"/>
        </w:rPr>
      </w:r>
    </w:p>
    <w:p w:rsidR="00000000" w:rsidDel="00000000" w:rsidP="00000000" w:rsidRDefault="00000000" w:rsidRPr="00000000" w14:paraId="0000009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Migrating to Variable fonts | Google Codelabs, </w:t>
      </w:r>
      <w:hyperlink r:id="rId15">
        <w:r w:rsidDel="00000000" w:rsidR="00000000" w:rsidRPr="00000000">
          <w:rPr>
            <w:rFonts w:ascii="Arial" w:cs="Arial" w:eastAsia="Arial" w:hAnsi="Arial"/>
            <w:color w:val="0000ee"/>
            <w:sz w:val="24"/>
            <w:szCs w:val="24"/>
            <w:u w:val="single"/>
            <w:rtl w:val="0"/>
          </w:rPr>
          <w:t xml:space="preserve">https://codelabs.developers.google.com/migrating-variable-fonts</w:t>
        </w:r>
      </w:hyperlink>
      <w:r w:rsidDel="00000000" w:rsidR="00000000" w:rsidRPr="00000000">
        <w:rPr>
          <w:rtl w:val="0"/>
        </w:rPr>
      </w:r>
    </w:p>
    <w:p w:rsidR="00000000" w:rsidDel="00000000" w:rsidP="00000000" w:rsidRDefault="00000000" w:rsidRPr="00000000" w14:paraId="0000009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Finesse and express - Type Network, </w:t>
      </w:r>
      <w:hyperlink r:id="rId16">
        <w:r w:rsidDel="00000000" w:rsidR="00000000" w:rsidRPr="00000000">
          <w:rPr>
            <w:rFonts w:ascii="Arial" w:cs="Arial" w:eastAsia="Arial" w:hAnsi="Arial"/>
            <w:color w:val="0000ee"/>
            <w:sz w:val="24"/>
            <w:szCs w:val="24"/>
            <w:u w:val="single"/>
            <w:rtl w:val="0"/>
          </w:rPr>
          <w:t xml:space="preserve">https://typenetwork.com/articles/finesse-and-express</w:t>
        </w:r>
      </w:hyperlink>
      <w:r w:rsidDel="00000000" w:rsidR="00000000" w:rsidRPr="00000000">
        <w:rPr>
          <w:rtl w:val="0"/>
        </w:rPr>
      </w:r>
    </w:p>
    <w:p w:rsidR="00000000" w:rsidDel="00000000" w:rsidP="00000000" w:rsidRDefault="00000000" w:rsidRPr="00000000" w14:paraId="0000009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Modern Typography Systems, </w:t>
      </w:r>
      <w:hyperlink r:id="rId17">
        <w:r w:rsidDel="00000000" w:rsidR="00000000" w:rsidRPr="00000000">
          <w:rPr>
            <w:rFonts w:ascii="Arial" w:cs="Arial" w:eastAsia="Arial" w:hAnsi="Arial"/>
            <w:color w:val="0000ee"/>
            <w:sz w:val="24"/>
            <w:szCs w:val="24"/>
            <w:u w:val="single"/>
            <w:rtl w:val="0"/>
          </w:rPr>
          <w:t xml:space="preserve">https://www.typographymaster.com/guide/modern-typography-systems</w:t>
        </w:r>
      </w:hyperlink>
      <w:r w:rsidDel="00000000" w:rsidR="00000000" w:rsidRPr="00000000">
        <w:rPr>
          <w:rtl w:val="0"/>
        </w:rPr>
      </w:r>
    </w:p>
    <w:p w:rsidR="00000000" w:rsidDel="00000000" w:rsidP="00000000" w:rsidRDefault="00000000" w:rsidRPr="00000000" w14:paraId="0000009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Text scaling - Android Accessibility Help, </w:t>
      </w:r>
      <w:hyperlink r:id="rId18">
        <w:r w:rsidDel="00000000" w:rsidR="00000000" w:rsidRPr="00000000">
          <w:rPr>
            <w:rFonts w:ascii="Arial" w:cs="Arial" w:eastAsia="Arial" w:hAnsi="Arial"/>
            <w:color w:val="0000ee"/>
            <w:sz w:val="24"/>
            <w:szCs w:val="24"/>
            <w:u w:val="single"/>
            <w:rtl w:val="0"/>
          </w:rPr>
          <w:t xml:space="preserve">https://support.google.com/accessibility/android/answer/12159181?hl=en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hyperlink" Target="https://bilue.com.au/article/google-io-android-14-accessibility-updates" TargetMode="External"/><Relationship Id="rId12" Type="http://schemas.openxmlformats.org/officeDocument/2006/relationships/hyperlink" Target="http://docs.google.com/unknown_ur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codelabs.developers.google.com/migrating-variable-fonts" TargetMode="External"/><Relationship Id="rId14" Type="http://schemas.openxmlformats.org/officeDocument/2006/relationships/hyperlink" Target="https://fonts.adobe.com/fonts/roboto-flex" TargetMode="External"/><Relationship Id="rId17" Type="http://schemas.openxmlformats.org/officeDocument/2006/relationships/hyperlink" Target="https://www.typographymaster.com/guide/modern-typography-systems" TargetMode="External"/><Relationship Id="rId16" Type="http://schemas.openxmlformats.org/officeDocument/2006/relationships/hyperlink" Target="https://typenetwork.com/articles/finesse-and-express" TargetMode="External"/><Relationship Id="rId5" Type="http://schemas.openxmlformats.org/officeDocument/2006/relationships/styles" Target="styles.xml"/><Relationship Id="rId6" Type="http://schemas.openxmlformats.org/officeDocument/2006/relationships/image" Target="media/image5.png"/><Relationship Id="rId18" Type="http://schemas.openxmlformats.org/officeDocument/2006/relationships/hyperlink" Target="https://support.google.com/accessibility/android/answer/12159181?hl=en"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