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F3B57"/>
          <w:sz w:val="30"/>
          <w:szCs w:val="30"/>
        </w:rPr>
        <w:t xml:space="preserve">Verdien av intensjonsavtalen om sommervannstand i Nysætervatnet</w:t>
      </w:r>
    </w:p>
    <w:p>
      <w:pPr>
        <w:spacing w:after="200" w:line="248" w:lineRule="auto"/>
      </w:pPr>
      <w:r>
        <w:rPr>
          <w:rFonts w:ascii="Georgia" w:cs="Georgia" w:eastAsia="Georgia" w:hAnsi="Georgia"/>
          <w:i/>
          <w:iCs/>
          <w:color w:val="666666"/>
          <w:sz w:val="16"/>
          <w:szCs w:val="16"/>
        </w:rPr>
        <w:t xml:space="preserve">Notat – metode og funn · 18. juli 2026 · Utkast, til internt bruk</w:t>
      </w:r>
    </w:p>
    <w:p>
      <w:pPr>
        <w:spacing w:after="80" w:before="160"/>
      </w:pPr>
      <w:r>
        <w:rPr>
          <w:rFonts w:ascii="Georgia" w:cs="Georgia" w:eastAsia="Georgia" w:hAnsi="Georgia"/>
          <w:b/>
          <w:bCs/>
          <w:color w:val="1F3B57"/>
          <w:sz w:val="22"/>
          <w:szCs w:val="22"/>
        </w:rPr>
        <w:t xml:space="preserve">Bakgrunn og problemstilling</w:t>
      </w:r>
    </w:p>
    <w:p>
      <w:pPr>
        <w:spacing w:after="100" w:line="248" w:lineRule="auto"/>
      </w:pPr>
      <w:r>
        <w:rPr>
          <w:rFonts w:ascii="Georgia" w:cs="Georgia" w:eastAsia="Georgia" w:hAnsi="Georgia"/>
          <w:sz w:val="20"/>
          <w:szCs w:val="20"/>
        </w:rPr>
        <w:t xml:space="preserve">Nysætervatnet i Sykkylven og Stranda er magasin for Fausa kraftverk (7 MW, om lag 40 GWh i normalår, brutto fallhøyde 330 meter). Konsesjonen fra 1952 tillater 11 meters regulering, mens en ikke rettslig bindende intensjonsavtale mellom Sykkylven kommune og kraftverkseier begrenser nedtappingen til 1,5 meter om sommeren. Vinteren 2025/26 ble vannet likevel tappet ned 5,5 meter. To forhold endret seg i forkant: konsesjonen ble overført til Tussa Energi AS ved fusjon med kommunalt eide Stranda Energi AS (NVE-vedtak 4. mars 2024), og Statnetts nye forbindelse over Sognefjorden (idriftsatt 2. oktober 2025) koblet prisområdet NO3 til det høyere prisnivået i sør. Kommunen har krevd vilkårsrevisjon etter vassdragsreguleringsloven § 8. I dette notatet anslår vi den økonomiske verdien av intensjonsavtalen.</w:t>
      </w:r>
    </w:p>
    <w:p>
      <w:pPr>
        <w:spacing w:after="80" w:before="160"/>
      </w:pPr>
      <w:r>
        <w:rPr>
          <w:rFonts w:ascii="Georgia" w:cs="Georgia" w:eastAsia="Georgia" w:hAnsi="Georgia"/>
          <w:b/>
          <w:bCs/>
          <w:color w:val="1F3B57"/>
          <w:sz w:val="22"/>
          <w:szCs w:val="22"/>
        </w:rPr>
        <w:t xml:space="preserve">Metode og datagrunnlag</w:t>
      </w:r>
    </w:p>
    <w:p>
      <w:pPr>
        <w:spacing w:after="100" w:line="248" w:lineRule="auto"/>
      </w:pPr>
      <w:r>
        <w:rPr>
          <w:rFonts w:ascii="Georgia" w:cs="Georgia" w:eastAsia="Georgia" w:hAnsi="Georgia"/>
          <w:sz w:val="20"/>
          <w:szCs w:val="20"/>
        </w:rPr>
        <w:t xml:space="preserve">Vi verdsetter avtalen fra to sider: som kostnaden kraftverkseier bærer ved å overholde den (tapt reguleringsfleksibilitet), og som verdien den beskytter for brukerne av området. Tekniske parametere er hentet fra NVE, Tussa og Stranda Energi, kraftpriser fra Nord Pool (spotpris NO3) og saksopplysninger fra NRK og kommunens brev til NVE av 29. juni 2026; sentrale påstander er kryssverifisert mot flere uavhengige kilder. Med en energiekvivalent på om lag 0,76 kWh per m³ (330 meter fall, 85 prosent virkningsgrad) og en magasinkurve kalibrert mot samlet magasinvolum beregner vi energiinnholdet i nedtappingsbåndene. Eierens kostnad er verdien av å kunne flytte dette vannet til høyprisperioder, kapitalisert med 4 prosent kalkulasjonsrente over 40 år (rundskriv R-109/21). Verdien avtalen beskytter illustrerer vi ved vannstandens antatte andel (3–8 prosent) av eiendomsverdien for de om lag 700 hyttene rundt vannet.</w:t>
      </w:r>
    </w:p>
    <w:p>
      <w:pPr>
        <w:spacing w:after="80" w:before="160"/>
      </w:pPr>
      <w:r>
        <w:rPr>
          <w:rFonts w:ascii="Georgia" w:cs="Georgia" w:eastAsia="Georgia" w:hAnsi="Georgia"/>
          <w:b/>
          <w:bCs/>
          <w:color w:val="1F3B57"/>
          <w:sz w:val="22"/>
          <w:szCs w:val="22"/>
        </w:rPr>
        <w:t xml:space="preserve">Funn</w:t>
      </w:r>
    </w:p>
    <w:p>
      <w:pPr>
        <w:spacing w:after="140" w:line="248" w:lineRule="auto"/>
      </w:pPr>
      <w:r>
        <w:rPr>
          <w:rFonts w:ascii="Georgia" w:cs="Georgia" w:eastAsia="Georgia" w:hAnsi="Georgia"/>
          <w:sz w:val="20"/>
          <w:szCs w:val="20"/>
        </w:rPr>
        <w:t xml:space="preserve">Mertappingen vinteren 2025/26 – fra avtalens 1,5 til 5,5 meter – utgjør om lag 7 millioner m³ vann, tilsvarende 5,3 GWh eller 13 prosent av årsproduksjonen. Spotprisen i NO3 lå på 4–14 øre per kWh før forbindelsen over Sognefjorden ble satt i drift og på 72–164 øre etter. Prisomleggingen har dermed om lag tidoblet kostnaden ved å overholde avtalen, noe som etter vår vurdering forklarer hvorfor en avtale som har fungert i årevis, ble satt under press første vinter med ny eier og nytt prisregime. Samtidig er eierens kostnad lavere enn verdiene avtalen verner i alle scenarier unntatt det høyeste.</w:t>
      </w:r>
    </w:p>
    <w:tbl>
      <w:tblPr>
        <w:tblW w:type="dxa" w:w="9360"/>
        <w:tblBorders>
          <w:top w:val="single" w:color="1F3B57" w:sz="4"/>
          <w:left w:val="none"/>
          <w:bottom w:val="single" w:color="1F3B57" w:sz="4"/>
          <w:right w:val="none"/>
          <w:insideH w:val="single" w:color="C9D3DD" w:sz="2"/>
          <w:insideV w:val="none"/>
        </w:tblBorders>
      </w:tblPr>
      <w:tblGrid>
        <w:gridCol w:w="5800"/>
        <w:gridCol w:w="3560"/>
      </w:tblGrid>
      <w:tr>
        <w:tc>
          <w:tcPr>
            <w:tcW w:type="dxa" w:w="5800"/>
            <w:shd w:fill="EDF1F5" w:val="clear"/>
            <w:tcMar>
              <w:top w:type="dxa" w:w="40"/>
              <w:left w:type="dxa" w:w="80"/>
              <w:bottom w:type="dxa" w:w="40"/>
              <w:right w:type="dxa" w:w="80"/>
            </w:tcMar>
          </w:tcPr>
          <w:p>
            <w:pPr>
              <w:spacing w:after="0"/>
            </w:pPr>
            <w:r>
              <w:rPr>
                <w:rFonts w:ascii="Georgia" w:cs="Georgia" w:eastAsia="Georgia" w:hAnsi="Georgia"/>
                <w:b/>
                <w:bCs/>
                <w:sz w:val="20"/>
                <w:szCs w:val="20"/>
              </w:rPr>
              <w:t xml:space="preserve">Tabell 1: Hovedresultater (nåverdi der annet ikke er angitt)</w:t>
            </w:r>
          </w:p>
        </w:tc>
        <w:tc>
          <w:tcPr>
            <w:tcW w:type="dxa" w:w="3560"/>
            <w:shd w:fill="EDF1F5" w:val="clear"/>
            <w:tcMar>
              <w:top w:type="dxa" w:w="40"/>
              <w:left w:type="dxa" w:w="80"/>
              <w:bottom w:type="dxa" w:w="40"/>
              <w:right w:type="dxa" w:w="80"/>
            </w:tcMar>
          </w:tcPr>
          <w:p>
            <w:pPr>
              <w:spacing w:after="0"/>
            </w:pPr>
            <w:r>
              <w:rPr>
                <w:rFonts w:ascii="Georgia" w:cs="Georgia" w:eastAsia="Georgia" w:hAnsi="Georgia"/>
                <w:b/>
                <w:bCs/>
                <w:sz w:val="20"/>
                <w:szCs w:val="20"/>
              </w:rPr>
              <w:t xml:space="preserve">Anslag, MNOK</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Mertappingen 2025/26 (5,3 GWh), engangsverdi for eier</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3–6</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Avtalens kostnad for eier, prisregime før 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ca. 5</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Avtalens kostnad for eier, prisregime etter 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20–145 (sentralt ca. 50)</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Verdier avtalen beskytter (ca. 700 hytter, friluftsliv)</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60–170, i tillegg ikke-prissatte virkninger</w:t>
            </w:r>
          </w:p>
        </w:tc>
      </w:tr>
    </w:tbl>
    <w:p>
      <w:pPr>
        <w:spacing w:after="40" w:line="248" w:lineRule="auto"/>
      </w:pPr>
      <w:r>
        <w:rPr>
          <w:rFonts w:ascii="Georgia" w:cs="Georgia" w:eastAsia="Georgia" w:hAnsi="Georgia"/>
          <w:sz w:val="8"/>
          <w:szCs w:val="8"/>
        </w:rPr>
        <w:t xml:space="preserve"/>
      </w:r>
    </w:p>
    <w:p>
      <w:pPr>
        <w:spacing w:after="80" w:before="160"/>
      </w:pPr>
      <w:r>
        <w:rPr>
          <w:rFonts w:ascii="Georgia" w:cs="Georgia" w:eastAsia="Georgia" w:hAnsi="Georgia"/>
          <w:b/>
          <w:bCs/>
          <w:color w:val="1F3B57"/>
          <w:sz w:val="22"/>
          <w:szCs w:val="22"/>
        </w:rPr>
        <w:t xml:space="preserve">Usikkerhet</w:t>
      </w:r>
    </w:p>
    <w:p>
      <w:pPr>
        <w:spacing w:after="100" w:line="248" w:lineRule="auto"/>
      </w:pPr>
      <w:r>
        <w:rPr>
          <w:rFonts w:ascii="Georgia" w:cs="Georgia" w:eastAsia="Georgia" w:hAnsi="Georgia"/>
          <w:sz w:val="20"/>
          <w:szCs w:val="20"/>
        </w:rPr>
        <w:t xml:space="preserve">Resultatene er mest følsomme for fremtidig prisnivå og sesongvariasjon i NO3, magasinets reelle bunnprofil og andelen av hytteverdiene som kan tilskrives vannstanden; anslagene bør leses som størrelsesordener. Ikke-prissatte virkninger for fisk, landskap, sikkerhet og beitedyr trekker entydig i retning av at avtalen verner verdier utover de tallfestede.</w:t>
      </w:r>
    </w:p>
    <w:p>
      <w:pPr>
        <w:spacing w:after="0" w:line="248" w:lineRule="auto"/>
      </w:pPr>
      <w:r>
        <w:rPr>
          <w:rFonts w:ascii="Georgia" w:cs="Georgia" w:eastAsia="Georgia" w:hAnsi="Georgia"/>
          <w:color w:val="666666"/>
          <w:sz w:val="16"/>
          <w:szCs w:val="16"/>
        </w:rPr>
        <w:t xml:space="preserve">Kilder: NVE konsesjonssak 202401335 (vedtak 4. mars 2024); Tussa Energi, kraftverksoversikt; Stranda Energi, tekniske data Fausa kraftstasjon; Sykkylven kommune, brev til NVE 29. juni 2026 (PS-41/26); NRK Møre og Romsdal, 27. mai–12. juni 2026; Nord Pool-spotpriser NO3 via hvakosterstrommen.no; Statnett om Aurland–Sogndal; Finansdepartementet, rundskriv R-109/21. MNOK = millioner kroner.</w:t>
      </w:r>
    </w:p>
    <w:sectPr>
      <w:pgSz w:w="11906" w:h="16838" w:orient="portrait"/>
      <w:pgMar w:top="1134"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2026-07-18T21:44:21.337Z</dcterms:created>
  <dcterms:modified xsi:type="dcterms:W3CDTF">2026-07-18T21:44:21.340Z</dcterms:modified>
</cp:coreProperties>
</file>

<file path=docProps/custom.xml><?xml version="1.0" encoding="utf-8"?>
<Properties xmlns="http://schemas.openxmlformats.org/officeDocument/2006/custom-properties" xmlns:vt="http://schemas.openxmlformats.org/officeDocument/2006/docPropsVTypes"/>
</file>