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F3B57"/>
          <w:sz w:val="30"/>
          <w:szCs w:val="30"/>
        </w:rPr>
        <w:t xml:space="preserve">Verdien av intensjonsavtalen om sommervannstand i Nysætervatnet</w:t>
      </w:r>
    </w:p>
    <w:p>
      <w:pPr>
        <w:spacing w:after="200" w:line="248" w:lineRule="auto"/>
      </w:pPr>
      <w:r>
        <w:rPr>
          <w:rFonts w:ascii="Georgia" w:cs="Georgia" w:eastAsia="Georgia" w:hAnsi="Georgia"/>
          <w:i/>
          <w:iCs/>
          <w:color w:val="666666"/>
          <w:sz w:val="16"/>
          <w:szCs w:val="16"/>
        </w:rPr>
        <w:t xml:space="preserve">Notat – metode og funn · 18. juli 2026 · Utkast, til internt bruk</w:t>
      </w:r>
    </w:p>
    <w:p>
      <w:pPr>
        <w:spacing w:after="80" w:before="160"/>
      </w:pPr>
      <w:r>
        <w:rPr>
          <w:rFonts w:ascii="Georgia" w:cs="Georgia" w:eastAsia="Georgia" w:hAnsi="Georgia"/>
          <w:b/>
          <w:bCs/>
          <w:color w:val="1F3B57"/>
          <w:sz w:val="22"/>
          <w:szCs w:val="22"/>
        </w:rPr>
        <w:t xml:space="preserve">Bakgrunn og problemstilling</w:t>
      </w:r>
    </w:p>
    <w:p>
      <w:pPr>
        <w:spacing w:after="100" w:line="248" w:lineRule="auto"/>
      </w:pPr>
      <w:r>
        <w:rPr>
          <w:rFonts w:ascii="Georgia" w:cs="Georgia" w:eastAsia="Georgia" w:hAnsi="Georgia"/>
          <w:sz w:val="20"/>
          <w:szCs w:val="20"/>
        </w:rPr>
        <w:t xml:space="preserve">Nysætervatnet i Sykkylven og Stranda er magasin for Fausa kraftverk (7 MW, om lag 40 GWh i normalår, brutto fallhøyde 330 meter). Konsesjonen fra 1952 tillater 11 meters regulering (originalkonsesjonen fra 1938 tillot to meter), mens en ikke rettslig bindende intensjonsavtale mellom Sykkylven kommune og kraftverkseier begrenser nedtappingen til 1,5 meter om sommeren. Vinteren 2025/26 ble vannet likevel tappet ned 5,5 meter. To forhold endret seg i forkant: konsesjonen ble overført til Tussa Energi AS ved fusjon med kommunalt eide Stranda Energi AS (NVE-vedtak 4. mars 2024), og Statnetts nye forbindelse over Sognefjorden (idriftsatt 2. oktober 2025) koblet prisområdet NO3 til det høyere prisnivået i sør. Kommunen har krevd vilkårsrevisjon etter vassdragsreguleringsloven § 8. I dette notatet anslår vi den økonomiske verdien av intensjonsavtalen.</w:t>
      </w:r>
    </w:p>
    <w:p>
      <w:pPr>
        <w:spacing w:after="80" w:before="160"/>
      </w:pPr>
      <w:r>
        <w:rPr>
          <w:rFonts w:ascii="Georgia" w:cs="Georgia" w:eastAsia="Georgia" w:hAnsi="Georgia"/>
          <w:b/>
          <w:bCs/>
          <w:color w:val="1F3B57"/>
          <w:sz w:val="22"/>
          <w:szCs w:val="22"/>
        </w:rPr>
        <w:t xml:space="preserve">Metode og datagrunnlag</w:t>
      </w:r>
    </w:p>
    <w:p>
      <w:pPr>
        <w:spacing w:after="100" w:line="248" w:lineRule="auto"/>
      </w:pPr>
      <w:r>
        <w:rPr>
          <w:rFonts w:ascii="Georgia" w:cs="Georgia" w:eastAsia="Georgia" w:hAnsi="Georgia"/>
          <w:sz w:val="20"/>
          <w:szCs w:val="20"/>
        </w:rPr>
        <w:t xml:space="preserve">Vi verdsetter avtalen fra to sider: som kostnaden kraftverkseier bærer ved å overholde den (tapt reguleringsfleksibilitet), og som verdien den beskytter for brukerne av området. Tekniske parametere er hentet fra NVE, Tussa og Stranda Energi, kraftpriser fra Nord Pool (spotpris NO3) og saksopplysninger fra NRK, kommunens brev til NVE av 29. juni 2026, Tussas årsrapport 2023 og fusjonsmeldingen til Konkurransetilsynet; sentrale påstander er kryssverifisert mot flere uavhengige kilder. Med NVEs energiekvivalent for Fausa II på 0,678 kWh per m³ (vannkraftdatabasen; tilsvarer om lag 75 prosent virkningsgrad på 330 meters fall) og en magasinkurve kalibrert mot samlet magasinvolum beregner vi energiinnholdet i nedtappingsbåndene; beregningen er kontrollert mot massebalansen (tilsig, slukeevne og årsproduksjon er innbyrdes konsistente). Eierens kostnad beregner vi som sannsynligheten for at avtalen binder disponeringen i det enkelte år, multiplisert med gevinsten i et bindende år – der andelen vann som ellers ville gått i flomtap verdsettes til full kraftpris og resten til prisdifferansen mellom vinter og senere produksjon – målt etter skatt og kapitalisert etter rundskriv R-109/21: over 40 år for en tidsavgrenset avtale, med forlenget diskonteringsfaktor (4/3/2 prosent) der virkningen er varig. Beregningskjeden er uavhengig reprodusert i en ekstern verifikasjonsrunde, og avvik er korrigert. Konsesjonsverdien beregner vi som nåverdien av kontantstrømmen etter drift, eiendomsskatt, konsesjonskraft og selskapsskatt; kraftverket er med 9,35 MVA generatorytelse under grensen for grunnrenteskatt. Verdien avtalen beskytter illustrerer vi ved vannstandens antatte andel (3–8 prosent) av eiendomsverdien for de om lag 700 hyttene rundt vannet.</w:t>
      </w:r>
    </w:p>
    <w:p>
      <w:pPr>
        <w:spacing w:after="80" w:before="160"/>
      </w:pPr>
      <w:r>
        <w:rPr>
          <w:rFonts w:ascii="Georgia" w:cs="Georgia" w:eastAsia="Georgia" w:hAnsi="Georgia"/>
          <w:b/>
          <w:bCs/>
          <w:color w:val="1F3B57"/>
          <w:sz w:val="22"/>
          <w:szCs w:val="22"/>
        </w:rPr>
        <w:t xml:space="preserve">Funn</w:t>
      </w:r>
    </w:p>
    <w:p>
      <w:pPr>
        <w:spacing w:after="140" w:line="248" w:lineRule="auto"/>
      </w:pPr>
      <w:r>
        <w:rPr>
          <w:rFonts w:ascii="Georgia" w:cs="Georgia" w:eastAsia="Georgia" w:hAnsi="Georgia"/>
          <w:sz w:val="20"/>
          <w:szCs w:val="20"/>
        </w:rPr>
        <w:t xml:space="preserve">Mertappingen vinteren 2025/26 – fra avtalens 1,5 til 5,5 meter – utgjør 7–9 millioner m³ vann, tilsvarende 4,8–6,4 GWh avhengig av magasingeometri, eller 12–16 prosent av årsproduksjonen. Spotprisen i NO3 lå på 4–14 øre per kWh sommeren og høsten før forbindelsen over Sognefjorden ble satt i drift og på 72–164 øre etter. Prisomleggingen har dermed om lag tidoblet kostnaden ved å overholde avtalen, noe som etter vår vurdering forklarer hvorfor en avtale som i hovedsak har fungert i årevis, ble satt under press første vinter med ny eier og nytt prisregime. Samtidig er eierens kostnad lavere enn verdiene avtalen verner dersom markedet kapitaliserer regimerisikoen i hytteprisene; måles vernet som rent bruksverditap, snur rangeringen.</w:t>
      </w:r>
    </w:p>
    <w:tbl>
      <w:tblPr>
        <w:tblW w:type="dxa" w:w="9360"/>
        <w:tblBorders>
          <w:top w:val="single" w:color="1F3B57" w:sz="4"/>
          <w:left w:val="none"/>
          <w:bottom w:val="single" w:color="1F3B57" w:sz="4"/>
          <w:right w:val="none"/>
          <w:insideH w:val="single" w:color="C9D3DD" w:sz="2"/>
          <w:insideV w:val="none"/>
        </w:tblBorders>
      </w:tblPr>
      <w:tblGrid>
        <w:gridCol w:w="5800"/>
        <w:gridCol w:w="3560"/>
      </w:tblGrid>
      <w:tr>
        <w:tc>
          <w:tcPr>
            <w:tcW w:type="dxa" w:w="5800"/>
            <w:shd w:fill="EDF1F5" w:val="clear"/>
            <w:tcMar>
              <w:top w:type="dxa" w:w="40"/>
              <w:left w:type="dxa" w:w="80"/>
              <w:bottom w:type="dxa" w:w="40"/>
              <w:right w:type="dxa" w:w="80"/>
            </w:tcMar>
          </w:tcPr>
          <w:p>
            <w:pPr>
              <w:spacing w:after="0"/>
            </w:pPr>
            <w:r>
              <w:rPr>
                <w:rFonts w:ascii="Georgia" w:cs="Georgia" w:eastAsia="Georgia" w:hAnsi="Georgia"/>
                <w:b/>
                <w:bCs/>
                <w:sz w:val="20"/>
                <w:szCs w:val="20"/>
              </w:rPr>
              <w:t xml:space="preserve">Tabell 1: Hovedresultater (nåverdi der annet ikke er angitt)</w:t>
            </w:r>
          </w:p>
        </w:tc>
        <w:tc>
          <w:tcPr>
            <w:tcW w:type="dxa" w:w="3560"/>
            <w:shd w:fill="EDF1F5" w:val="clear"/>
            <w:tcMar>
              <w:top w:type="dxa" w:w="40"/>
              <w:left w:type="dxa" w:w="80"/>
              <w:bottom w:type="dxa" w:w="40"/>
              <w:right w:type="dxa" w:w="80"/>
            </w:tcMar>
          </w:tcPr>
          <w:p>
            <w:pPr>
              <w:spacing w:after="0"/>
            </w:pPr>
            <w:r>
              <w:rPr>
                <w:rFonts w:ascii="Georgia" w:cs="Georgia" w:eastAsia="Georgia" w:hAnsi="Georgia"/>
                <w:b/>
                <w:bCs/>
                <w:sz w:val="20"/>
                <w:szCs w:val="20"/>
              </w:rPr>
              <w:t xml:space="preserve">Anslag, MNOK</w:t>
            </w:r>
          </w:p>
        </w:tc>
      </w:tr>
      <w:tr>
        <w:tc>
          <w:tcPr>
            <w:tcW w:type="dxa" w:w="5800"/>
            <w:tcMar>
              <w:top w:type="dxa" w:w="40"/>
              <w:left w:type="dxa" w:w="80"/>
              <w:bottom w:type="dxa" w:w="40"/>
              <w:right w:type="dxa" w:w="80"/>
            </w:tcMar>
          </w:tcPr>
          <w:p>
            <w:pPr>
              <w:spacing w:after="0"/>
            </w:pPr>
            <w:r>
              <w:rPr>
                <w:rFonts w:ascii="Georgia" w:cs="Georgia" w:eastAsia="Georgia" w:hAnsi="Georgia"/>
                <w:b w:val="false"/>
                <w:bCs w:val="false"/>
                <w:sz w:val="20"/>
                <w:szCs w:val="20"/>
              </w:rPr>
              <w:t xml:space="preserve">Mertappingen 2025/26 (4,8–6,4 GWh), engangsverdi for eier etter skatt</w:t>
            </w:r>
          </w:p>
        </w:tc>
        <w:tc>
          <w:tcPr>
            <w:tcW w:type="dxa" w:w="3560"/>
            <w:tcMar>
              <w:top w:type="dxa" w:w="40"/>
              <w:left w:type="dxa" w:w="80"/>
              <w:bottom w:type="dxa" w:w="40"/>
              <w:right w:type="dxa" w:w="80"/>
            </w:tcMar>
          </w:tcPr>
          <w:p>
            <w:pPr>
              <w:spacing w:after="0"/>
            </w:pPr>
            <w:r>
              <w:rPr>
                <w:rFonts w:ascii="Georgia" w:cs="Georgia" w:eastAsia="Georgia" w:hAnsi="Georgia"/>
                <w:b w:val="false"/>
                <w:bCs w:val="false"/>
                <w:sz w:val="20"/>
                <w:szCs w:val="20"/>
              </w:rPr>
              <w:t xml:space="preserve">1,7–5,6 (sentralt ca. 2,6)</w:t>
            </w:r>
          </w:p>
        </w:tc>
      </w:tr>
      <w:tr>
        <w:tc>
          <w:tcPr>
            <w:tcW w:type="dxa" w:w="5800"/>
            <w:tcMar>
              <w:top w:type="dxa" w:w="40"/>
              <w:left w:type="dxa" w:w="80"/>
              <w:bottom w:type="dxa" w:w="40"/>
              <w:right w:type="dxa" w:w="80"/>
            </w:tcMar>
          </w:tcPr>
          <w:p>
            <w:pPr>
              <w:spacing w:after="0"/>
            </w:pPr>
            <w:r>
              <w:rPr>
                <w:rFonts w:ascii="Georgia" w:cs="Georgia" w:eastAsia="Georgia" w:hAnsi="Georgia"/>
                <w:b w:val="false"/>
                <w:bCs w:val="false"/>
                <w:sz w:val="20"/>
                <w:szCs w:val="20"/>
              </w:rPr>
              <w:t xml:space="preserve">Avtalens kostnad for eier, prisregime før omleggingen</w:t>
            </w:r>
          </w:p>
        </w:tc>
        <w:tc>
          <w:tcPr>
            <w:tcW w:type="dxa" w:w="3560"/>
            <w:tcMar>
              <w:top w:type="dxa" w:w="40"/>
              <w:left w:type="dxa" w:w="80"/>
              <w:bottom w:type="dxa" w:w="40"/>
              <w:right w:type="dxa" w:w="80"/>
            </w:tcMar>
          </w:tcPr>
          <w:p>
            <w:pPr>
              <w:spacing w:after="0"/>
            </w:pPr>
            <w:r>
              <w:rPr>
                <w:rFonts w:ascii="Georgia" w:cs="Georgia" w:eastAsia="Georgia" w:hAnsi="Georgia"/>
                <w:b w:val="false"/>
                <w:bCs w:val="false"/>
                <w:sz w:val="20"/>
                <w:szCs w:val="20"/>
              </w:rPr>
              <w:t xml:space="preserve">4–11</w:t>
            </w:r>
          </w:p>
        </w:tc>
      </w:tr>
      <w:tr>
        <w:tc>
          <w:tcPr>
            <w:tcW w:type="dxa" w:w="5800"/>
            <w:tcMar>
              <w:top w:type="dxa" w:w="40"/>
              <w:left w:type="dxa" w:w="80"/>
              <w:bottom w:type="dxa" w:w="40"/>
              <w:right w:type="dxa" w:w="80"/>
            </w:tcMar>
          </w:tcPr>
          <w:p>
            <w:pPr>
              <w:spacing w:after="0"/>
            </w:pPr>
            <w:r>
              <w:rPr>
                <w:rFonts w:ascii="Georgia" w:cs="Georgia" w:eastAsia="Georgia" w:hAnsi="Georgia"/>
                <w:b w:val="false"/>
                <w:bCs w:val="false"/>
                <w:sz w:val="20"/>
                <w:szCs w:val="20"/>
              </w:rPr>
              <w:t xml:space="preserve">Avtalens kostnad for eier, prisregime etter omleggingen</w:t>
            </w:r>
          </w:p>
        </w:tc>
        <w:tc>
          <w:tcPr>
            <w:tcW w:type="dxa" w:w="3560"/>
            <w:tcMar>
              <w:top w:type="dxa" w:w="40"/>
              <w:left w:type="dxa" w:w="80"/>
              <w:bottom w:type="dxa" w:w="40"/>
              <w:right w:type="dxa" w:w="80"/>
            </w:tcMar>
          </w:tcPr>
          <w:p>
            <w:pPr>
              <w:spacing w:after="0"/>
            </w:pPr>
            <w:r>
              <w:rPr>
                <w:rFonts w:ascii="Georgia" w:cs="Georgia" w:eastAsia="Georgia" w:hAnsi="Georgia"/>
                <w:b w:val="false"/>
                <w:bCs w:val="false"/>
                <w:sz w:val="20"/>
                <w:szCs w:val="20"/>
              </w:rPr>
              <w:t xml:space="preserve">10–95 (sentralt 23–33 etter horisont)</w:t>
            </w:r>
          </w:p>
        </w:tc>
      </w:tr>
      <w:tr>
        <w:tc>
          <w:tcPr>
            <w:tcW w:type="dxa" w:w="5800"/>
            <w:tcMar>
              <w:top w:type="dxa" w:w="40"/>
              <w:left w:type="dxa" w:w="80"/>
              <w:bottom w:type="dxa" w:w="40"/>
              <w:right w:type="dxa" w:w="80"/>
            </w:tcMar>
          </w:tcPr>
          <w:p>
            <w:pPr>
              <w:spacing w:after="0"/>
            </w:pPr>
            <w:r>
              <w:rPr>
                <w:rFonts w:ascii="Georgia" w:cs="Georgia" w:eastAsia="Georgia" w:hAnsi="Georgia"/>
                <w:b w:val="false"/>
                <w:bCs w:val="false"/>
                <w:sz w:val="20"/>
                <w:szCs w:val="20"/>
              </w:rPr>
              <w:t xml:space="preserve">Verdier avtalen beskytter (ca. 700 hytter, friluftsliv)</w:t>
            </w:r>
          </w:p>
        </w:tc>
        <w:tc>
          <w:tcPr>
            <w:tcW w:type="dxa" w:w="3560"/>
            <w:tcMar>
              <w:top w:type="dxa" w:w="40"/>
              <w:left w:type="dxa" w:w="80"/>
              <w:bottom w:type="dxa" w:w="40"/>
              <w:right w:type="dxa" w:w="80"/>
            </w:tcMar>
          </w:tcPr>
          <w:p>
            <w:pPr>
              <w:spacing w:after="0"/>
            </w:pPr>
            <w:r>
              <w:rPr>
                <w:rFonts w:ascii="Georgia" w:cs="Georgia" w:eastAsia="Georgia" w:hAnsi="Georgia"/>
                <w:b w:val="false"/>
                <w:bCs w:val="false"/>
                <w:sz w:val="20"/>
                <w:szCs w:val="20"/>
              </w:rPr>
              <w:t xml:space="preserve">bruk 5–31 / kapitalisering 63–168 + ikke-prissatte</w:t>
            </w:r>
          </w:p>
        </w:tc>
      </w:tr>
      <w:tr>
        <w:tc>
          <w:tcPr>
            <w:tcW w:type="dxa" w:w="5800"/>
            <w:tcMar>
              <w:top w:type="dxa" w:w="40"/>
              <w:left w:type="dxa" w:w="80"/>
              <w:bottom w:type="dxa" w:w="40"/>
              <w:right w:type="dxa" w:w="80"/>
            </w:tcMar>
          </w:tcPr>
          <w:p>
            <w:pPr>
              <w:spacing w:after="0"/>
            </w:pPr>
            <w:r>
              <w:rPr>
                <w:rFonts w:ascii="Georgia" w:cs="Georgia" w:eastAsia="Georgia" w:hAnsi="Georgia"/>
                <w:b w:val="false"/>
                <w:bCs w:val="false"/>
                <w:sz w:val="20"/>
                <w:szCs w:val="20"/>
              </w:rPr>
              <w:t xml:space="preserve">Konsesjonsverdi for Tussa, før / etter prisomleggingen</w:t>
            </w:r>
          </w:p>
        </w:tc>
        <w:tc>
          <w:tcPr>
            <w:tcW w:type="dxa" w:w="3560"/>
            <w:tcMar>
              <w:top w:type="dxa" w:w="40"/>
              <w:left w:type="dxa" w:w="80"/>
              <w:bottom w:type="dxa" w:w="40"/>
              <w:right w:type="dxa" w:w="80"/>
            </w:tcMar>
          </w:tcPr>
          <w:p>
            <w:pPr>
              <w:spacing w:after="0"/>
            </w:pPr>
            <w:r>
              <w:rPr>
                <w:rFonts w:ascii="Georgia" w:cs="Georgia" w:eastAsia="Georgia" w:hAnsi="Georgia"/>
                <w:b w:val="false"/>
                <w:bCs w:val="false"/>
                <w:sz w:val="20"/>
                <w:szCs w:val="20"/>
              </w:rPr>
              <w:t xml:space="preserve">ca. 180 / 270–570</w:t>
            </w:r>
          </w:p>
        </w:tc>
      </w:tr>
      <w:tr>
        <w:tc>
          <w:tcPr>
            <w:tcW w:type="dxa" w:w="5800"/>
            <w:tcMar>
              <w:top w:type="dxa" w:w="40"/>
              <w:left w:type="dxa" w:w="80"/>
              <w:bottom w:type="dxa" w:w="40"/>
              <w:right w:type="dxa" w:w="80"/>
            </w:tcMar>
          </w:tcPr>
          <w:p>
            <w:pPr>
              <w:spacing w:after="0"/>
            </w:pPr>
            <w:r>
              <w:rPr>
                <w:rFonts w:ascii="Georgia" w:cs="Georgia" w:eastAsia="Georgia" w:hAnsi="Georgia"/>
                <w:b w:val="false"/>
                <w:bCs w:val="false"/>
                <w:sz w:val="20"/>
                <w:szCs w:val="20"/>
              </w:rPr>
              <w:t xml:space="preserve">Gevinst på Fausa av regimeskiftet, tilfalt Tussas eiere</w:t>
            </w:r>
          </w:p>
        </w:tc>
        <w:tc>
          <w:tcPr>
            <w:tcW w:type="dxa" w:w="3560"/>
            <w:tcMar>
              <w:top w:type="dxa" w:w="40"/>
              <w:left w:type="dxa" w:w="80"/>
              <w:bottom w:type="dxa" w:w="40"/>
              <w:right w:type="dxa" w:w="80"/>
            </w:tcMar>
          </w:tcPr>
          <w:p>
            <w:pPr>
              <w:spacing w:after="0"/>
            </w:pPr>
            <w:r>
              <w:rPr>
                <w:rFonts w:ascii="Georgia" w:cs="Georgia" w:eastAsia="Georgia" w:hAnsi="Georgia"/>
                <w:b w:val="false"/>
                <w:bCs w:val="false"/>
                <w:sz w:val="20"/>
                <w:szCs w:val="20"/>
              </w:rPr>
              <w:t xml:space="preserve">130–390</w:t>
            </w:r>
          </w:p>
        </w:tc>
      </w:tr>
    </w:tbl>
    <w:p>
      <w:pPr>
        <w:spacing w:after="40" w:line="248" w:lineRule="auto"/>
      </w:pPr>
      <w:r>
        <w:rPr>
          <w:rFonts w:ascii="Georgia" w:cs="Georgia" w:eastAsia="Georgia" w:hAnsi="Georgia"/>
          <w:sz w:val="8"/>
          <w:szCs w:val="8"/>
        </w:rPr>
        <w:t xml:space="preserve"/>
      </w:r>
    </w:p>
    <w:p>
      <w:pPr>
        <w:spacing w:after="80" w:before="160"/>
      </w:pPr>
      <w:r>
        <w:rPr>
          <w:rFonts w:ascii="Georgia" w:cs="Georgia" w:eastAsia="Georgia" w:hAnsi="Georgia"/>
          <w:b/>
          <w:bCs/>
          <w:color w:val="1F3B57"/>
          <w:sz w:val="22"/>
          <w:szCs w:val="22"/>
        </w:rPr>
        <w:t xml:space="preserve">Konsesjonens verdi og fordelingen av gevinsten</w:t>
      </w:r>
    </w:p>
    <w:p>
      <w:pPr>
        <w:spacing w:after="100" w:line="248" w:lineRule="auto"/>
      </w:pPr>
      <w:r>
        <w:rPr>
          <w:rFonts w:ascii="Georgia" w:cs="Georgia" w:eastAsia="Georgia" w:hAnsi="Georgia"/>
          <w:sz w:val="20"/>
          <w:szCs w:val="20"/>
        </w:rPr>
        <w:t xml:space="preserve">Konsesjonens verdi for Tussa anslår vi til om lag 180 millioner kroner i prisregimet fusjonen ble verdsatt i og 270–570 millioner kroner etter priskoblingen (40 års horisont; opp mot 800 millioner kroner ved varig drift). Intensjonsavtalen koster dermed eieren om lag 6 prosent av konsesjonsverdien. Fusjonen mellom Stranda Energi Holding AS og Tussa Kraft AS ble vedtatt 27. januar 2023, med bytteforhold basert på en verdivurdering fra Ampere Finans; Stranda kommune fikk 6,6 prosent av konsernet (egenkapital verdsatt til om lag 4,3 milliarder kroner), tilsvarende om lag 285 millioner kroner, som oppgjør for hele holdingselskapet. Verdsettelsen ble gjort i et prisregime på rundt 44 øre per kWh, over to år før priskoblingen. Gevinsten ved regimeskiftet – 130–390 millioner kroner på Fausa alene – tilfalt dermed i hovedsak Tussas eiere, der Stranda kommune har 6,6 prosent og Sykkylven kommune ikke er eier. Avtalefleksibiliteten på om lag 23–33 millioner kroner etter skatt er en del av denne gevinsten og kan bare realiseres ved å fravike intensjonsavtalen.</w:t>
      </w:r>
    </w:p>
    <w:p>
      <w:pPr>
        <w:spacing w:after="80" w:before="160"/>
      </w:pPr>
      <w:r>
        <w:rPr>
          <w:rFonts w:ascii="Georgia" w:cs="Georgia" w:eastAsia="Georgia" w:hAnsi="Georgia"/>
          <w:b/>
          <w:bCs/>
          <w:color w:val="1F3B57"/>
          <w:sz w:val="22"/>
          <w:szCs w:val="22"/>
        </w:rPr>
        <w:t xml:space="preserve">Usikkerhet</w:t>
      </w:r>
    </w:p>
    <w:p>
      <w:pPr>
        <w:spacing w:after="100" w:line="248" w:lineRule="auto"/>
      </w:pPr>
      <w:r>
        <w:rPr>
          <w:rFonts w:ascii="Georgia" w:cs="Georgia" w:eastAsia="Georgia" w:hAnsi="Georgia"/>
          <w:sz w:val="20"/>
          <w:szCs w:val="20"/>
        </w:rPr>
        <w:t xml:space="preserve">Den langsiktige prisbanen i NO3 er den enkeltforutsetningen som betyr mest for samtlige anslag (NVE venter 60–80 øre per kWh mot 2030, med økende prisvariasjon); deretter følger sannsynligheten for at avtalen faktisk binder disponeringen, flomtapsandelen og verdsettingskanalen for hytteverdiene. Verneverdien avhenger av kanal: rent bruksverditap (5–31 millioner kroner) ligger under avtalekostnaden, mens kapitalisert regimerisiko (63–168 millioner kroner) ligger over – kanalene er alternative og skal ikke summeres. Konklusjonen er dermed betinget, og følsom for avtalens varighet, bindingssannsynligheten og den empirisk udokumenterte kapitaliseringsandelen. En lokal empirisk verdsettingsundersøkelse er derfor det viktigste enkelttiltaket for å styrke grunnlaget. Vi observerer verken Fausa-porteføljens andel av fusjonsverdsettelsen eller holdingselskapets nettogjeld. Anslagene bør leses som størrelsesordener. Ikke-prissatte virkninger for fisk, landskap, sikkerhet og beitedyr trekker entydig i retning av at avtalen verner verdier utover de tallfestede.</w:t>
      </w:r>
    </w:p>
    <w:p>
      <w:pPr>
        <w:spacing w:after="0" w:line="248" w:lineRule="auto"/>
      </w:pPr>
      <w:r>
        <w:rPr>
          <w:rFonts w:ascii="Georgia" w:cs="Georgia" w:eastAsia="Georgia" w:hAnsi="Georgia"/>
          <w:color w:val="666666"/>
          <w:sz w:val="16"/>
          <w:szCs w:val="16"/>
        </w:rPr>
        <w:t xml:space="preserve">Kilder: NVE vannkraftdatabase (Fausa II, verk-id 81: 40,5 GWh middel 1991–2020, energiekvivalent 0,678 kWh/m³); NVE konsesjonssak 202401335 (vedtak 4. mars 2024); reguleringskonsesjoner KDB 145 (kgl.res. 24. juni 1938) og KDB 151 (8. mai 1952); Tussa Energi, kraftverksoversikt og årsrapport 2023 (note 26); melding til Konkurransetilsynet 21. april 2023; Stranda Energi, tekniske data Fausa kraftstasjon; Sykkylven kommune, brev til NVE 29. juni 2026 (PS-41/26); NRK Møre og Romsdal, 27. mai–12. juni 2026; Nord Pool-spotpriser NO3 via hvakosterstrommen.no; Statnett om Aurland–Sogndal; Finansdepartementet, rundskriv R-109/21. MNOK = millioner kroner.</w:t>
      </w:r>
    </w:p>
    <w:sectPr>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2026-07-19T08:18:15.291Z</dcterms:created>
  <dcterms:modified xsi:type="dcterms:W3CDTF">2026-07-19T08:18:15.312Z</dcterms:modified>
</cp:coreProperties>
</file>

<file path=docProps/custom.xml><?xml version="1.0" encoding="utf-8"?>
<Properties xmlns="http://schemas.openxmlformats.org/officeDocument/2006/custom-properties" xmlns:vt="http://schemas.openxmlformats.org/officeDocument/2006/docPropsVTypes"/>
</file>