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E2C25" w14:textId="77777777" w:rsidR="00A76D14" w:rsidRPr="00A76D14" w:rsidRDefault="00802670" w:rsidP="00A76D14">
      <w:pPr>
        <w:spacing w:before="0" w:line="276" w:lineRule="auto"/>
        <w:jc w:val="center"/>
        <w:rPr>
          <w:b/>
          <w:sz w:val="48"/>
          <w:szCs w:val="22"/>
          <w:lang w:val="en-US"/>
        </w:rPr>
      </w:pPr>
      <w:r>
        <w:rPr>
          <w:b/>
          <w:sz w:val="48"/>
          <w:szCs w:val="22"/>
          <w:lang w:val="en-US"/>
        </w:rPr>
        <w:t xml:space="preserve">Written </w:t>
      </w:r>
      <w:r w:rsidR="00A76D14" w:rsidRPr="00A76D14">
        <w:rPr>
          <w:b/>
          <w:sz w:val="48"/>
          <w:szCs w:val="22"/>
          <w:lang w:val="en-US"/>
        </w:rPr>
        <w:t>Assignment</w:t>
      </w:r>
    </w:p>
    <w:p w14:paraId="43704EB3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4687F8E7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69648185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4FC9AFB8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>
      <w:pPr>
        <w:spacing w:before="0" w:line="276" w:lineRule="auto"/>
        <w:rPr>
          <w:sz w:val="20"/>
          <w:szCs w:val="22"/>
          <w:lang w:val="en-US"/>
        </w:rPr>
      </w:pPr>
      <w:r>
        <w:rPr>
          <w:b/>
          <w:sz w:val="20"/>
          <w:szCs w:val="22"/>
          <w:lang w:val="en-US"/>
        </w:rPr>
        <w:t xml:space="preserve">AUTHOR(s): Hofer, Jakob</w:t>
      </w:r>
    </w:p>
    <w:p w14:paraId="17B613DE" w14:textId="77777777" w:rsidR="00A76D14" w:rsidRPr="00C31E5B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3F24E1F9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04FDDB63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19D614D9" w14:textId="77777777" w:rsidR="00A76D14" w:rsidRPr="00C31E5B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44EA7EEE" w14:textId="14040205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  <w:r w:rsidRPr="00930A2B">
        <w:rPr>
          <w:b/>
          <w:sz w:val="20"/>
          <w:szCs w:val="22"/>
          <w:lang w:val="en-US"/>
        </w:rPr>
        <w:t>PROGRAM</w:t>
      </w:r>
      <w:r w:rsidRPr="00C31E5B">
        <w:rPr>
          <w:sz w:val="20"/>
          <w:szCs w:val="22"/>
          <w:lang w:val="en-US"/>
        </w:rPr>
        <w:t>:</w:t>
      </w:r>
      <w:r>
        <w:rPr>
          <w:sz w:val="20"/>
          <w:szCs w:val="22"/>
          <w:lang w:val="en-US"/>
        </w:rPr>
        <w:t xml:space="preserve"> </w:t>
      </w:r>
      <w:r w:rsidR="00921766">
        <w:rPr>
          <w:sz w:val="20"/>
          <w:szCs w:val="22"/>
          <w:lang w:val="en-US"/>
        </w:rPr>
        <w:t xml:space="preserve">Executive </w:t>
      </w:r>
      <w:r w:rsidR="008E450A">
        <w:rPr>
          <w:sz w:val="20"/>
          <w:szCs w:val="22"/>
          <w:lang w:val="en-US"/>
        </w:rPr>
        <w:t xml:space="preserve">MBA </w:t>
      </w:r>
      <w:r w:rsidR="00921766">
        <w:rPr>
          <w:sz w:val="20"/>
          <w:szCs w:val="22"/>
          <w:lang w:val="en-US"/>
        </w:rPr>
        <w:t xml:space="preserve">Finance </w:t>
      </w:r>
      <w:r>
        <w:rPr>
          <w:sz w:val="20"/>
          <w:szCs w:val="22"/>
          <w:lang w:val="en-US"/>
        </w:rPr>
        <w:t>202</w:t>
      </w:r>
      <w:r w:rsidR="00921766">
        <w:rPr>
          <w:sz w:val="20"/>
          <w:szCs w:val="22"/>
          <w:lang w:val="en-US"/>
        </w:rPr>
        <w:t>5</w:t>
      </w:r>
      <w:r>
        <w:rPr>
          <w:sz w:val="20"/>
          <w:szCs w:val="22"/>
          <w:lang w:val="en-US"/>
        </w:rPr>
        <w:t>-202</w:t>
      </w:r>
      <w:r w:rsidR="00921766">
        <w:rPr>
          <w:sz w:val="20"/>
          <w:szCs w:val="22"/>
          <w:lang w:val="en-US"/>
        </w:rPr>
        <w:t>7</w:t>
      </w:r>
    </w:p>
    <w:p w14:paraId="73144FD8" w14:textId="77777777" w:rsidR="00A76D14" w:rsidRPr="00C31E5B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>
      <w:pPr>
        <w:spacing w:before="0" w:line="276" w:lineRule="auto"/>
        <w:rPr>
          <w:sz w:val="20"/>
          <w:szCs w:val="22"/>
          <w:lang w:val="en-US"/>
        </w:rPr>
      </w:pPr>
      <w:r>
        <w:rPr>
          <w:b/>
          <w:sz w:val="20"/>
          <w:szCs w:val="22"/>
          <w:lang w:val="en-US"/>
        </w:rPr>
        <w:t xml:space="preserve">MODULE: Generative AI in Finance (Ted Kwartler, August 3–4, 2026)</w:t>
      </w:r>
    </w:p>
    <w:p w14:paraId="7C6B583D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3D25062F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506B13D0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36E3EB21" w14:textId="77777777" w:rsidR="00A76D14" w:rsidRDefault="00A76D14" w:rsidP="00A76D14">
      <w:pPr>
        <w:spacing w:before="0" w:line="276" w:lineRule="auto"/>
        <w:rPr>
          <w:sz w:val="20"/>
          <w:szCs w:val="22"/>
          <w:lang w:val="en-US"/>
        </w:rPr>
      </w:pPr>
    </w:p>
    <w:p w14:paraId="60C01F49" w14:textId="77777777" w:rsidR="00A76D14" w:rsidRDefault="00930A2B" w:rsidP="00A76D14">
      <w:pPr>
        <w:spacing w:before="0" w:line="276" w:lineRule="auto"/>
        <w:rPr>
          <w:sz w:val="20"/>
          <w:szCs w:val="22"/>
          <w:lang w:val="en-US"/>
        </w:rPr>
      </w:pPr>
      <w:r>
        <w:rPr>
          <w:b/>
          <w:sz w:val="20"/>
          <w:szCs w:val="22"/>
          <w:lang w:val="en-US"/>
        </w:rPr>
        <w:t xml:space="preserve">TYPE OF </w:t>
      </w:r>
      <w:r w:rsidR="00A76D14" w:rsidRPr="00930A2B">
        <w:rPr>
          <w:b/>
          <w:sz w:val="20"/>
          <w:szCs w:val="22"/>
          <w:lang w:val="en-US"/>
        </w:rPr>
        <w:t>ASSIGNMENT</w:t>
      </w:r>
      <w:r w:rsidR="00A76D14">
        <w:rPr>
          <w:sz w:val="20"/>
          <w:szCs w:val="22"/>
          <w:lang w:val="en-US"/>
        </w:rPr>
        <w:t>:</w:t>
      </w:r>
    </w:p>
    <w:p w14:paraId="457D2C9B" w14:textId="77777777" w:rsidR="00A76D14" w:rsidRDefault="00000000" w:rsidP="00A76D14">
      <w:pPr>
        <w:spacing w:before="0" w:line="276" w:lineRule="auto"/>
        <w:rPr>
          <w:sz w:val="20"/>
          <w:szCs w:val="20"/>
          <w:lang w:val="en-US"/>
        </w:rPr>
      </w:pPr>
      <w:sdt>
        <w:sdtPr>
          <w:rPr>
            <w:sz w:val="20"/>
            <w:szCs w:val="22"/>
            <w:lang w:val="en-US"/>
          </w:rPr>
          <w:id w:val="7166306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77EB">
            <w:rPr>
              <w:rFonts w:ascii="MS Gothic" w:eastAsia="MS Gothic" w:hAnsi="MS Gothic" w:hint="eastAsia"/>
              <w:sz w:val="20"/>
              <w:szCs w:val="22"/>
              <w:lang w:val="en-US"/>
            </w:rPr>
            <w:t>☐</w:t>
          </w:r>
        </w:sdtContent>
      </w:sdt>
      <w:r w:rsidR="00A76D14">
        <w:rPr>
          <w:sz w:val="20"/>
          <w:szCs w:val="22"/>
          <w:lang w:val="en-US"/>
        </w:rPr>
        <w:t xml:space="preserve"> </w:t>
      </w:r>
      <w:r w:rsidR="00802670">
        <w:rPr>
          <w:sz w:val="20"/>
          <w:szCs w:val="20"/>
          <w:lang w:val="en-US"/>
        </w:rPr>
        <w:t xml:space="preserve">Pre-Module </w:t>
      </w:r>
    </w:p>
    <w:p w14:paraId="6E24FE2A" w14:textId="77777777" w:rsidR="00A76D14" w:rsidRDefault="00000000" w:rsidP="00A76D14">
      <w:pPr>
        <w:spacing w:before="0" w:line="276" w:lineRule="auto"/>
        <w:rPr>
          <w:sz w:val="20"/>
          <w:szCs w:val="20"/>
          <w:lang w:val="en-US"/>
        </w:rPr>
      </w:pPr>
      <w:sdt>
        <w:sdtPr>
          <w:rPr>
            <w:sz w:val="20"/>
            <w:szCs w:val="20"/>
            <w:lang w:val="en-US"/>
          </w:rPr>
          <w:id w:val="-5280299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577EB">
            <w:rPr>
              <w:rFonts w:ascii="MS Gothic" w:eastAsia="MS Gothic" w:hAnsi="MS Gothic" w:hint="eastAsia"/>
              <w:sz w:val="20"/>
              <w:szCs w:val="20"/>
              <w:lang w:val="en-US"/>
            </w:rPr>
            <w:t>☒</w:t>
          </w:r>
        </w:sdtContent>
      </w:sdt>
      <w:r w:rsidR="00802670">
        <w:rPr>
          <w:sz w:val="20"/>
          <w:szCs w:val="20"/>
          <w:lang w:val="en-US"/>
        </w:rPr>
        <w:t xml:space="preserve"> Post-Module</w:t>
      </w:r>
    </w:p>
    <w:p w14:paraId="1C377284" w14:textId="77777777" w:rsidR="00802670" w:rsidRDefault="00000000" w:rsidP="00A76D14">
      <w:pPr>
        <w:spacing w:before="0" w:line="276" w:lineRule="auto"/>
        <w:rPr>
          <w:sz w:val="20"/>
          <w:szCs w:val="20"/>
          <w:lang w:val="en-US"/>
        </w:rPr>
      </w:pPr>
      <w:sdt>
        <w:sdtPr>
          <w:rPr>
            <w:sz w:val="20"/>
            <w:szCs w:val="20"/>
            <w:lang w:val="en-US"/>
          </w:rPr>
          <w:id w:val="6915734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02670">
            <w:rPr>
              <w:rFonts w:ascii="MS Gothic" w:eastAsia="MS Gothic" w:hAnsi="MS Gothic" w:hint="eastAsia"/>
              <w:sz w:val="20"/>
              <w:szCs w:val="20"/>
              <w:lang w:val="en-US"/>
            </w:rPr>
            <w:t>☐</w:t>
          </w:r>
        </w:sdtContent>
      </w:sdt>
      <w:r w:rsidR="00802670">
        <w:rPr>
          <w:sz w:val="20"/>
          <w:szCs w:val="20"/>
          <w:lang w:val="en-US"/>
        </w:rPr>
        <w:t xml:space="preserve"> Other</w:t>
      </w:r>
    </w:p>
    <w:p w14:paraId="1631031A" w14:textId="77777777" w:rsidR="00A76D14" w:rsidRDefault="00A76D14" w:rsidP="00A76D14">
      <w:pPr>
        <w:spacing w:before="0" w:line="276" w:lineRule="auto"/>
        <w:rPr>
          <w:sz w:val="20"/>
          <w:szCs w:val="20"/>
          <w:lang w:val="en-US"/>
        </w:rPr>
      </w:pPr>
    </w:p>
    <w:p w14:paraId="7150CB6B" w14:textId="77777777" w:rsidR="00A76D14" w:rsidRDefault="00A76D14" w:rsidP="00A76D14">
      <w:pPr>
        <w:spacing w:before="0" w:line="276" w:lineRule="auto"/>
        <w:rPr>
          <w:sz w:val="20"/>
          <w:szCs w:val="20"/>
          <w:lang w:val="en-US"/>
        </w:rPr>
      </w:pPr>
    </w:p>
    <w:p w14:paraId="4398B2F2" w14:textId="77777777" w:rsidR="00A76D14" w:rsidRDefault="00A76D14" w:rsidP="00A76D14">
      <w:pPr>
        <w:spacing w:before="0" w:line="276" w:lineRule="auto"/>
        <w:rPr>
          <w:sz w:val="20"/>
          <w:szCs w:val="20"/>
          <w:lang w:val="en-US"/>
        </w:rPr>
      </w:pPr>
    </w:p>
    <w:p w14:paraId="2DDE1071" w14:textId="63AF0477" w:rsidR="00AB26DC" w:rsidRDefault="00AB26DC" w:rsidP="00A76D14">
      <w:pPr>
        <w:spacing w:before="0" w:line="276" w:lineRule="auto"/>
        <w:rPr>
          <w:sz w:val="20"/>
          <w:szCs w:val="20"/>
          <w:lang w:val="en-US"/>
        </w:rPr>
      </w:pPr>
    </w:p>
    <w:p w14:paraId="4C4B223F" w14:textId="796D9CA1" w:rsidR="004E48F0" w:rsidRDefault="004E48F0" w:rsidP="00A76D14">
      <w:pPr>
        <w:spacing w:before="0" w:line="276" w:lineRule="auto"/>
        <w:rPr>
          <w:sz w:val="20"/>
          <w:szCs w:val="20"/>
          <w:lang w:val="en-US"/>
        </w:rPr>
      </w:pPr>
    </w:p>
    <w:p w14:paraId="7D1ED335" w14:textId="229988E0" w:rsidR="004E48F0" w:rsidRDefault="004E48F0" w:rsidP="00A76D14">
      <w:pPr>
        <w:spacing w:before="0" w:line="276" w:lineRule="auto"/>
        <w:rPr>
          <w:sz w:val="20"/>
          <w:szCs w:val="20"/>
          <w:lang w:val="en-US"/>
        </w:rPr>
      </w:pPr>
    </w:p>
    <w:p w14:paraId="7724AD26" w14:textId="77777777" w:rsidR="004E48F0" w:rsidRDefault="004E48F0" w:rsidP="00A76D14">
      <w:pPr>
        <w:spacing w:before="0" w:line="276" w:lineRule="auto"/>
        <w:rPr>
          <w:b/>
          <w:sz w:val="20"/>
          <w:szCs w:val="20"/>
          <w:lang w:val="en-US"/>
        </w:rPr>
      </w:pPr>
    </w:p>
    <w:p w14:paraId="458D97FE" w14:textId="77777777" w:rsidR="00AB26DC" w:rsidRDefault="00AB26DC" w:rsidP="00A76D14">
      <w:pPr>
        <w:spacing w:before="0" w:line="276" w:lineRule="auto"/>
        <w:rPr>
          <w:b/>
          <w:sz w:val="20"/>
          <w:szCs w:val="20"/>
          <w:lang w:val="en-US"/>
        </w:rPr>
      </w:pPr>
    </w:p>
    <w:p w14:paraId="584EE294" w14:textId="2A6052BC" w:rsidR="00AB26DC" w:rsidRDefault="00AB26DC" w:rsidP="00A76D14">
      <w:pPr>
        <w:spacing w:before="0" w:line="276" w:lineRule="auto"/>
        <w:rPr>
          <w:b/>
          <w:sz w:val="20"/>
          <w:szCs w:val="20"/>
          <w:lang w:val="en-US"/>
        </w:rPr>
      </w:pPr>
    </w:p>
    <w:p w14:paraId="4C52B04A" w14:textId="1B41F75A" w:rsidR="007B52BF" w:rsidRDefault="007B52BF" w:rsidP="00A76D14">
      <w:pPr>
        <w:spacing w:before="0" w:line="276" w:lineRule="auto"/>
        <w:rPr>
          <w:b/>
          <w:sz w:val="20"/>
          <w:szCs w:val="20"/>
          <w:lang w:val="en-US"/>
        </w:rPr>
      </w:pPr>
    </w:p>
    <w:p w14:paraId="4CBB03D2" w14:textId="77777777" w:rsidR="007B52BF" w:rsidRDefault="007B52BF" w:rsidP="00A76D14">
      <w:pPr>
        <w:spacing w:before="0" w:line="276" w:lineRule="auto"/>
        <w:rPr>
          <w:b/>
          <w:sz w:val="20"/>
          <w:szCs w:val="20"/>
          <w:lang w:val="en-US"/>
        </w:rPr>
      </w:pPr>
    </w:p>
    <w:p w14:paraId="776D00F2" w14:textId="77777777" w:rsidR="00C15382" w:rsidRPr="007B52BF" w:rsidRDefault="00C15382" w:rsidP="007B52BF">
      <w:pPr>
        <w:spacing w:before="0" w:line="276" w:lineRule="auto"/>
        <w:jc w:val="both"/>
        <w:rPr>
          <w:sz w:val="16"/>
          <w:szCs w:val="20"/>
          <w:lang w:val="en-US"/>
        </w:rPr>
      </w:pPr>
    </w:p>
    <w:p w14:paraId="60D1F5D5" w14:textId="7E9074C9" w:rsidR="00A76D14" w:rsidRPr="00457094" w:rsidRDefault="00A76D14" w:rsidP="00457094">
      <w:pPr>
        <w:spacing w:before="20" w:after="20" w:line="360" w:lineRule="auto"/>
        <w:rPr>
          <w:rFonts w:ascii="Arial" w:hAnsi="Arial" w:cs="Arial"/>
          <w:sz w:val="24"/>
          <w:lang w:val="en-US"/>
        </w:rPr>
      </w:pPr>
      <w:r w:rsidRPr="004E48F0">
        <w:rPr>
          <w:sz w:val="16"/>
          <w:lang w:val="en-US"/>
        </w:rPr>
        <w:br w:type="page"/>
      </w:r>
    </w:p>
    <w:p w14:paraId="7DFACA90" w14:textId="68A2DDFB" w:rsidR="00457094" w:rsidRDefault="00457094" w:rsidP="00EE19DF">
      <w:pPr>
        <w:spacing w:before="20" w:after="20" w:line="360" w:lineRule="auto"/>
        <w:jc w:val="both"/>
        <w:rPr>
          <w:rFonts w:ascii="Arial" w:hAnsi="Arial" w:cs="Arial"/>
          <w:sz w:val="22"/>
          <w:lang w:val="en-US"/>
        </w:rPr>
      </w:pPr>
    </w:p>
    <w:p w14:paraId="4B2ADE12" w14:textId="77777777" w:rsidR="00480B81" w:rsidRPr="006D3D40" w:rsidRDefault="00480B81" w:rsidP="00EE19DF">
      <w:pPr>
        <w:spacing w:before="20" w:after="20" w:line="360" w:lineRule="auto"/>
        <w:jc w:val="both"/>
        <w:rPr>
          <w:rFonts w:ascii="Arial" w:hAnsi="Arial" w:cs="Arial"/>
          <w:sz w:val="22"/>
          <w:lang w:val="en-US"/>
        </w:rPr>
      </w:pPr>
    </w:p>
    <w:p>
      <w:r>
        <w:br w:type="page"/>
      </w:r>
    </w:p>
    <w:p>
      <w:pPr>
        <w:keepNext/>
        <w:spacing w:before="360" w:after="160"/>
      </w:pPr>
      <w:r>
        <w:rPr>
          <w:b/>
          <w:color w:val="1F2A44"/>
          <w:sz w:val="30"/>
          <w:szCs w:val="30"/>
        </w:rPr>
        <w:t xml:space="preserve">Part A — Functional Requirements Document</w:t>
      </w:r>
    </w:p>
    <w:p>
      <w:pPr>
        <w:spacing w:before="0" w:after="120"/>
      </w:pPr>
      <w:r>
        <w:rPr>
          <w:sz w:val="20"/>
          <w:szCs w:val="20"/>
        </w:rPr>
        <w:t xml:space="preserve">This document specifies a quantitative investment thesis and the application that implements it. Everything below was built and is running: the dashboard is published on GitHub Pages, the repository is public, and every figure in this document is read from the application's committed data files rather than typed in.</w:t>
      </w:r>
    </w:p>
    <w:p>
      <w:pPr>
        <w:spacing w:before="0" w:after="120"/>
      </w:pPr>
      <w:r>
        <w:rPr>
          <w:b/>
          <w:sz w:val="20"/>
          <w:szCs w:val="20"/>
        </w:rPr>
        <w:t xml:space="preserve">Live application: </w:t>
      </w:r>
      <w:r>
        <w:rPr>
          <w:sz w:val="20"/>
          <w:szCs w:val="20"/>
        </w:rPr>
        <w:t xml:space="preserve">https://jakobhofer-kg16.github.io/equity-lens/#/portfolio</w:t>
      </w:r>
    </w:p>
    <w:p>
      <w:pPr>
        <w:spacing w:before="0" w:after="120"/>
      </w:pPr>
      <w:r>
        <w:rPr>
          <w:b/>
          <w:sz w:val="20"/>
          <w:szCs w:val="20"/>
        </w:rPr>
        <w:t xml:space="preserve">Repository: </w:t>
      </w:r>
      <w:r>
        <w:rPr>
          <w:sz w:val="20"/>
          <w:szCs w:val="20"/>
        </w:rPr>
        <w:t xml:space="preserve">https://github.com/jakobhofer-kg16/equity-lens</w:t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1. Investment thesis</w:t>
      </w:r>
    </w:p>
    <w:p>
      <w:pPr>
        <w:spacing w:before="0" w:after="120"/>
      </w:pPr>
      <w:r>
        <w:rPr>
          <w:b/>
          <w:sz w:val="20"/>
          <w:szCs w:val="20"/>
        </w:rPr>
        <w:t xml:space="preserve">Name. </w:t>
      </w:r>
      <w:r>
        <w:rPr>
          <w:sz w:val="20"/>
          <w:szCs w:val="20"/>
        </w:rPr>
        <w:t xml:space="preserve">“Cheap against peers, confirmed by the call.”</w:t>
      </w:r>
    </w:p>
    <w:p>
      <w:pPr>
        <w:spacing w:before="0" w:after="120"/>
      </w:pPr>
      <w:r>
        <w:rPr>
          <w:sz w:val="20"/>
          <w:szCs w:val="20"/>
        </w:rPr>
        <w:t xml:space="preserve">Buy S&amp;P 500 companies that trade at a discount to their own industry peers on earnings and cash-flow multiples, whose most recent earnings call reads at least neutral and is not deteriorating, and whose share price is in a confirmed uptrend. Hold a diversified basket of 15–30 such names, weighted by a maximum-Sharpe optimisation within bands, and re-screen quarterly after each earnings season.</w:t>
      </w:r>
    </w:p>
    <w:p>
      <w:pPr>
        <w:spacing w:before="0" w:after="120"/>
      </w:pPr>
      <w:r>
        <w:rPr>
          <w:b/>
          <w:sz w:val="20"/>
          <w:szCs w:val="20"/>
        </w:rPr>
        <w:t xml:space="preserve">Why this and not something else. </w:t>
      </w:r>
      <w:r>
        <w:rPr>
          <w:sz w:val="20"/>
          <w:szCs w:val="20"/>
        </w:rPr>
        <w:t xml:space="preserve">The thesis is not chosen from conviction; it is chosen from evidence produced by the same application. Before writing the thesis I backtested a five-factor fundamental score (growth, profitability, valuation versus peers, financial health, momentum) on 359 S&amp;P 500 companies as of 2025-01-31 against their excess return over SPY in the following 252 trading days. The total score had no predictive power (rank correlation 0.00). One category did: </w:t>
      </w:r>
      <w:r>
        <w:rPr>
          <w:b/>
          <w:sz w:val="20"/>
          <w:szCs w:val="20"/>
        </w:rPr>
        <w:t xml:space="preserve">valuation versus industry peers, ρ = +0.14</w:t>
      </w:r>
      <w:r>
        <w:rPr>
          <w:sz w:val="20"/>
          <w:szCs w:val="20"/>
        </w:rPr>
        <w:t xml:space="preserve">, above the ±0.11 noise floor for that sample. Profitability was </w:t>
      </w:r>
      <w:r>
        <w:rPr>
          <w:b/>
          <w:sz w:val="20"/>
          <w:szCs w:val="20"/>
        </w:rPr>
        <w:t xml:space="preserve">negatively</w:t>
      </w:r>
      <w:r>
        <w:rPr>
          <w:sz w:val="20"/>
          <w:szCs w:val="20"/>
        </w:rPr>
        <w:t xml:space="preserve"> related to subsequent returns (ρ = -0.13) — quality had already been priced. So the thesis keeps the one factor that showed signal, drops the one that hurt, and adds two things the score did not have: a text signal from the earnings call and a technical entry filter.</w:t>
      </w:r>
    </w:p>
    <w:p>
      <w:pPr>
        <w:spacing w:before="0" w:after="120"/>
      </w:pPr>
      <w:r>
        <w:rPr>
          <w:b/>
          <w:sz w:val="20"/>
          <w:szCs w:val="20"/>
        </w:rPr>
        <w:t xml:space="preserve">What the text signal adds. </w:t>
      </w:r>
      <w:r>
        <w:rPr>
          <w:sz w:val="20"/>
          <w:szCs w:val="20"/>
        </w:rPr>
        <w:t xml:space="preserve">A low multiple is either an opportunity or a warning. The earnings call is where management has to defend the quarter to analysts. Scoring the call with a finance-specific word list (positive/negative polarity, hedging rate, legal vocabulary) and requiring the latest call to be at least neutral and not worse than the prior one is a cheap way of separating “cheap because ignored” from “cheap because in trouble”.</w:t>
      </w:r>
    </w:p>
    <w:p>
      <w:pPr>
        <w:spacing w:before="0" w:after="120"/>
      </w:pPr>
      <w:r>
        <w:rPr>
          <w:b/>
          <w:sz w:val="20"/>
          <w:szCs w:val="20"/>
        </w:rPr>
        <w:t xml:space="preserve">What the technical filter adds. </w:t>
      </w:r>
      <w:r>
        <w:rPr>
          <w:sz w:val="20"/>
          <w:szCs w:val="20"/>
        </w:rPr>
        <w:t xml:space="preserve">Value stocks can stay cheap for years. The golden-cross and RSI rules taught in the module are used strictly as an entry timing filter: a name enters only when its 50-day average is above its 200-day average, the price is above the 200-day average, and RSI(14) is below 70. The filter does not select; it gates.</w:t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2. Equity universe</w:t>
      </w:r>
    </w:p>
    <w:p>
      <w:pPr>
        <w:spacing w:before="0" w:after="120"/>
      </w:pPr>
      <w:r>
        <w:rPr>
          <w:b/>
          <w:sz w:val="20"/>
          <w:szCs w:val="20"/>
        </w:rPr>
        <w:t xml:space="preserve">Screening universe. </w:t>
      </w:r>
      <w:r>
        <w:rPr>
          <w:sz w:val="20"/>
          <w:szCs w:val="20"/>
        </w:rPr>
        <w:t xml:space="preserve">The 383 S&amp;P 500 companies that have earnings-call transcripts in the course archive (kwartler/vienna-genai-finance-course). This is the widest set for which the text signal can be computed without a paid transcript API. 372 of them have Finnhub fundamentals.</w:t>
      </w:r>
    </w:p>
    <w:p>
      <w:pPr>
        <w:spacing w:before="0" w:after="120"/>
      </w:pPr>
      <w:r>
        <w:rPr>
          <w:b/>
          <w:sz w:val="20"/>
          <w:szCs w:val="20"/>
        </w:rPr>
        <w:t xml:space="preserve">Core universe (10 stocks). </w:t>
      </w:r>
      <w:r>
        <w:rPr>
          <w:sz w:val="20"/>
          <w:szCs w:val="20"/>
        </w:rPr>
        <w:t xml:space="preserve">The ten highest-ranked names on the composite score, shown here with the figures that put them there. They are the reference set the functional requirements below are written against; the portfolio in Part B widens the selection to all names that pass the rules.</w:t>
      </w:r>
    </w:p>
    <w:tbl>
      <w:tblPr>
        <w:tblW w:w="9700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80" w:type="dxa"/>
          <w:right w:w="80" w:type="dxa"/>
        </w:tblCellMar>
      </w:tblPr>
      <w:tblGrid>
        <w:gridCol w:w="900"/>
        <w:gridCol w:w="2100"/>
        <w:gridCol w:w="1900"/>
        <w:gridCol w:w="1300"/>
        <w:gridCol w:w="1500"/>
        <w:gridCol w:w="1300"/>
        <w:gridCol w:w="700"/>
      </w:tblGrid>
      <w:tr>
        <w:trPr>
          <w:tblHeader/>
        </w:trPr>
        <w:tc>
          <w:tcPr>
            <w:tcW w:w="9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Ticker</w:t>
            </w:r>
          </w:p>
        </w:tc>
        <w:tc>
          <w:tcPr>
            <w:tcW w:w="21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Company</w:t>
            </w:r>
          </w:p>
        </w:tc>
        <w:tc>
          <w:tcPr>
            <w:tcW w:w="19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Industry</w:t>
            </w:r>
          </w:p>
        </w:tc>
        <w:tc>
          <w:tcPr>
            <w:tcW w:w="13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P/E vs peer</w:t>
            </w:r>
          </w:p>
        </w:tc>
        <w:tc>
          <w:tcPr>
            <w:tcW w:w="15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EV/EBITDA vs peer</w:t>
            </w:r>
          </w:p>
        </w:tc>
        <w:tc>
          <w:tcPr>
            <w:tcW w:w="13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Call tone (Δ)</w:t>
            </w:r>
          </w:p>
        </w:tc>
        <w:tc>
          <w:tcPr>
            <w:tcW w:w="7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RSI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GEN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Gen Digital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17.7 / 27.7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11.3 / 22.5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0.93 (+0.06)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Allstate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Insurance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5.0 / 13.1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4.3 / 10.3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0.71 (+0.11)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INCY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Incyte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Biotechnology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16.1 / 20.3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12.2 / 22.0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0.87 (+0.02)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DAL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Delta Air Lines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Airlines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13.1 / 23.0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7.6 / 15.7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0.80 (+0.04)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NVDA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NVIDIA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Semiconductors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28.0 / 36.1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26.9 / 34.3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0.90 (+0.09)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Cigna Group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Health Care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11.6 / 26.1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8.6 / 16.9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0.82 (-0.01)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FRT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Federal Realty Investment Tr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Real Estate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23.5 / 36.1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14.5 / 19.4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0.87 (+0.03)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AES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AES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Utilities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5.6 / 21.0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11.3 / 13.3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0.80 (-0.00)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SPG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Simon Property Group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Real Estate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14.8 / 36.1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19.4 / 19.4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0.81 (+0.03)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w="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BBY</w:t>
            </w:r>
          </w:p>
        </w:tc>
        <w:tc>
          <w:tcPr>
            <w:tcW w:w="2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Best Buy Co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Retail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14.6 / 20.3</w:t>
            </w:r>
          </w:p>
        </w:tc>
        <w:tc>
          <w:tcPr>
            <w:tcW w:w="15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9.1 / 13.4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0.77 (+0.17)</w:t>
            </w:r>
          </w:p>
        </w:tc>
        <w:tc>
          <w:tcPr>
            <w:tcW w:w="7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</w:tr>
    </w:tbl>
    <w:p>
      <w:pPr>
        <w:spacing w:before="0" w:after="120"/>
      </w:pPr>
      <w:r>
        <w:rPr>
          <w:sz w:val="20"/>
          <w:szCs w:val="20"/>
        </w:rPr>
        <w:t xml:space="preserve"/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3. Selection criteria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3.1 Fundamental rules (the thesis)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b/>
          <w:sz w:val="20"/>
          <w:szCs w:val="20"/>
        </w:rPr>
        <w:t xml:space="preserve">Cheaper than peers. </w:t>
      </w:r>
      <w:r>
        <w:rPr>
          <w:sz w:val="20"/>
          <w:szCs w:val="20"/>
        </w:rPr>
        <w:t xml:space="preserve">Trailing P/E below the median of the company's Finnhub industry within the universe, or EV/EBITDA below the industry median. Both multiples must be positive (loss-making companies are excluded). Where an industry has fewer than four members the universe median is used.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b/>
          <w:sz w:val="20"/>
          <w:szCs w:val="20"/>
        </w:rPr>
        <w:t xml:space="preserve">Profitable. </w:t>
      </w:r>
      <w:r>
        <w:rPr>
          <w:sz w:val="20"/>
          <w:szCs w:val="20"/>
        </w:rPr>
        <w:t xml:space="preserve">Trailing operating margin above zero.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3.2 Text signal (earnings-call tone)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b/>
          <w:sz w:val="20"/>
          <w:szCs w:val="20"/>
        </w:rPr>
        <w:t xml:space="preserve">Tone level. </w:t>
      </w:r>
      <w:r>
        <w:rPr>
          <w:sz w:val="20"/>
          <w:szCs w:val="20"/>
        </w:rPr>
        <w:t xml:space="preserve">Polarity of the latest call — (positive − negative) ÷ (positive + negative) words over a finance lexicon — of at least 0.20. Management and analysts are separated by employer, not job title; operator lines are dropped; boilerplate (safe-harbour language, welcome) is excluded from highlights.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b/>
          <w:sz w:val="20"/>
          <w:szCs w:val="20"/>
        </w:rPr>
        <w:t xml:space="preserve">Not deteriorating. </w:t>
      </w:r>
      <w:r>
        <w:rPr>
          <w:sz w:val="20"/>
          <w:szCs w:val="20"/>
        </w:rPr>
        <w:t xml:space="preserve">Polarity change versus the prior call no worse than −0.10.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b/>
          <w:sz w:val="20"/>
          <w:szCs w:val="20"/>
        </w:rPr>
        <w:t xml:space="preserve">Not evasive. </w:t>
      </w:r>
      <w:r>
        <w:rPr>
          <w:sz w:val="20"/>
          <w:szCs w:val="20"/>
        </w:rPr>
        <w:t xml:space="preserve">Hedging words (may, could, uncertain, …) below 1.5% of all words.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3.3 Technical rules (entry filter, as taught)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Golden cross: 50-day simple moving average above the 200-day.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Price above the 200-day average.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RSI(14) below 70 — not overbought at entry.</w:t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3.4 Ranking</w:t>
      </w:r>
    </w:p>
    <w:p>
      <w:pPr>
        <w:spacing w:before="0" w:after="120"/>
      </w:pPr>
      <w:r>
        <w:rPr>
          <w:sz w:val="20"/>
          <w:szCs w:val="20"/>
        </w:rPr>
        <w:t xml:space="preserve">Names that pass all rules are ranked by a composite: 50% average valuation discount to peers, 30% call-tone level, 20% call-tone change, each as a percentile rank. The industry cap (at most four per Finnhub industry) is applied on the way in.</w:t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4. Data sources</w:t>
      </w:r>
    </w:p>
    <w:tbl>
      <w:tblPr>
        <w:tblW w:w="9700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80" w:type="dxa"/>
          <w:right w:w="80" w:type="dxa"/>
        </w:tblCellMar>
      </w:tblPr>
      <w:tblGrid>
        <w:gridCol w:w="1700"/>
        <w:gridCol w:w="3300"/>
        <w:gridCol w:w="1900"/>
        <w:gridCol w:w="2800"/>
      </w:tblGrid>
      <w:tr>
        <w:trPr>
          <w:tblHeader/>
        </w:trPr>
        <w:tc>
          <w:tcPr>
            <w:tcW w:w="17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Source</w:t>
            </w:r>
          </w:p>
        </w:tc>
        <w:tc>
          <w:tcPr>
            <w:tcW w:w="33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Used for</w:t>
            </w:r>
          </w:p>
        </w:tc>
        <w:tc>
          <w:tcPr>
            <w:tcW w:w="19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Access</w:t>
            </w:r>
          </w:p>
        </w:tc>
        <w:tc>
          <w:tcPr>
            <w:tcW w:w="28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Limit that shaped the design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Finnhub (finnhub.io)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Company profile, 133 TTM metrics incl. P/E, EV/EBITDA, margins; industry; peers; quotes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Free API key, entered at run time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60 requests/minute; price history, price targets and transcripts are premium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Twelve Data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Daily OHLCV for the technical rules, the two-year return series for optimisation, and SPY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Free API key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8 requests/minute, 800/day; some symbols not on the free plan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Course transcript archive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Earnings-call transcripts (2,899 calls, 383 companies) for the text signal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Public GitHub, no key, CORS-enabled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Coverage stops at the archive's last quarter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OpenRouter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Executive commentary and thesis drafting (google/gemini-2.5-flash)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Personal API key, optional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Output is labelled AI-generated; never used for selection</w:t>
            </w:r>
          </w:p>
        </w:tc>
      </w:tr>
      <w:tr>
        <w:tc>
          <w:tcPr>
            <w:tcW w:w="1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Alpha Vantage</w:t>
            </w:r>
          </w:p>
        </w:tc>
        <w:tc>
          <w:tcPr>
            <w:tcW w:w="33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Consensus price target only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Free key, optional</w:t>
            </w:r>
          </w:p>
        </w:tc>
        <w:tc>
          <w:tcPr>
            <w:tcW w:w="2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25 requests/day; one request per company</w:t>
            </w:r>
          </w:p>
        </w:tc>
      </w:tr>
    </w:tbl>
    <w:p>
      <w:pPr>
        <w:spacing w:before="0" w:after="12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sz w:val="20"/>
          <w:szCs w:val="20"/>
        </w:rPr>
        <w:t xml:space="preserve">Keys are entered in the application and stored in the browser only. The repository and the deployed bundle contain no key; this was verified with a search of the full Git history and of the published JavaScript.</w:t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5. Portfolio construction rules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Hold every name that passes the rules, capped at 30 and floored at 15. Current count: 16.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Weights from the maximum-Sharpe-ratio optimisation (the method chosen), long-only, between 2% and 10% per name. Minimum-variance and equal-weight are computed on the same holdings for comparison.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Inputs: 504 trading days of daily log returns ending 2026-09-03; annualised mean and covariance; risk-free rate 4%.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Re-screen quarterly after earnings season; exit a name when it breaks the 200-day average or its call tone falls below zero.</w:t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6. Application behaviour (functional requirements)</w:t>
      </w:r>
    </w:p>
    <w:tbl>
      <w:tblPr>
        <w:tblW w:w="9700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80" w:type="dxa"/>
          <w:right w:w="80" w:type="dxa"/>
        </w:tblCellMar>
      </w:tblPr>
      <w:tblGrid>
        <w:gridCol w:w="700"/>
        <w:gridCol w:w="3900"/>
        <w:gridCol w:w="5100"/>
      </w:tblGrid>
      <w:tr>
        <w:trPr>
          <w:tblHeader/>
        </w:trPr>
        <w:tc>
          <w:tcPr>
            <w:tcW w:w="7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ID</w:t>
            </w:r>
          </w:p>
        </w:tc>
        <w:tc>
          <w:tcPr>
            <w:tcW w:w="39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Requirement</w:t>
            </w:r>
          </w:p>
        </w:tc>
        <w:tc>
          <w:tcPr>
            <w:tcW w:w="51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Acceptance criterion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FR-1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On load, fetch a live quote for every holding from Finnhub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All holdings show a price and day change within 10 seconds; failures are shown as “stale” with the last close, never hidden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FR-2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Display optimised weights and the equivalent $1M allocation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Weights sum to 100%; the user can switch between max-Sharpe, min-variance and equal weight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FR-3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Show a trading-signal summary per holding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Golden/death cross, RSI(14), MACD histogram sign and call tone with change are shown, with the as-of date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FR-4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Render an LLM executive commentary on load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With an OpenRouter key: four paragraphs written from the live quotes and signals, labelled with the model. Without a key: a computed signal summary and no pre-written text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FR-5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Compare the weighting methods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Expected return, volatility and Sharpe for all three methods and SPY over the same window, labelled in-sample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FR-6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Link every holding to the full research dossier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Clicking a ticker opens the company view with score, chart, peers, analysts, news and call sentiment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FR-7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Show the model's own track record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The backtest section states the rank correlation, quintile returns and per-category signal; its headline sentence is derived from the numbers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FR-8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Handle keys safely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Keys live in localStorage only; the setup screen appears when no Finnhub key is present; a bad key degrades one section, not the page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FR-9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Respect provider limits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Finnhub burst limit handled with one retry; Twelve Data used only in the offline build; nothing is fetched twice within six hours</w:t>
            </w:r>
          </w:p>
        </w:tc>
      </w:tr>
      <w:tr>
        <w:tc>
          <w:tcPr>
            <w:tcW w:w="7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FR-10</w:t>
            </w:r>
          </w:p>
        </w:tc>
        <w:tc>
          <w:tcPr>
            <w:tcW w:w="3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Publish via GitHub Pages</w:t>
            </w:r>
          </w:p>
        </w:tc>
        <w:tc>
          <w:tcPr>
            <w:tcW w:w="5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Every push to main builds and deploys; the URL is public</w:t>
            </w:r>
          </w:p>
        </w:tc>
      </w:tr>
    </w:tbl>
    <w:p>
      <w:pPr>
        <w:spacing w:before="0" w:after="120"/>
      </w:pPr>
      <w:r>
        <w:rPr>
          <w:sz w:val="20"/>
          <w:szCs w:val="20"/>
        </w:rPr>
        <w:t xml:space="preserve"/>
      </w:r>
    </w:p>
    <w:p>
      <w:pPr>
        <w:keepNext/>
        <w:spacing w:before="160" w:after="60"/>
      </w:pPr>
      <w:r>
        <w:rPr>
          <w:b/>
          <w:sz w:val="21"/>
          <w:szCs w:val="21"/>
        </w:rPr>
        <w:t xml:space="preserve">Non-functional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Transparency: every number that is derived, reconstructed or model-generated is labelled as such next to where it appears.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No invented data: without a key the application shows a setup screen, not sample companies.</w:t>
      </w:r>
    </w:p>
    <w:p>
      <w:pPr>
        <w:spacing w:before="0" w:after="60"/>
        <w:ind w:left="360" w:hanging="240"/>
      </w:pPr>
      <w:r>
        <w:rPr>
          <w:sz w:val="20"/>
          <w:szCs w:val="20"/>
        </w:rPr>
        <w:t xml:space="preserve">–  </w:t>
      </w:r>
      <w:r>
        <w:rPr>
          <w:sz w:val="20"/>
          <w:szCs w:val="20"/>
        </w:rPr>
        <w:t xml:space="preserve">Tests: 41 unit tests over the scoring, sentiment, indicator and provider-parsing modules, including the invariant that analyst opinion changes the score by exactly zero.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F2A44"/>
          <w:sz w:val="30"/>
          <w:szCs w:val="30"/>
        </w:rPr>
        <w:t xml:space="preserve">Part B — Portfolio construction</w:t>
      </w:r>
    </w:p>
    <w:p>
      <w:pPr>
        <w:spacing w:before="0" w:after="120"/>
      </w:pPr>
      <w:r>
        <w:rPr>
          <w:sz w:val="20"/>
          <w:szCs w:val="20"/>
        </w:rPr>
        <w:t xml:space="preserve">Selection was run on 2026-09-04 with the rules in Part A. The funnel, the resulting holdings and the optimisation are below; the same numbers drive the dashboard.</w:t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1. Selection funnel</w:t>
      </w:r>
    </w:p>
    <w:tbl>
      <w:tblPr>
        <w:tblW w:w="9700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80" w:type="dxa"/>
          <w:right w:w="80" w:type="dxa"/>
        </w:tblCellMar>
      </w:tblPr>
      <w:tblGrid>
        <w:gridCol w:w="8100"/>
        <w:gridCol w:w="1600"/>
      </w:tblGrid>
      <w:tr>
        <w:trPr>
          <w:tblHeader/>
        </w:trPr>
        <w:tc>
          <w:tcPr>
            <w:tcW w:w="81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Step</w:t>
            </w:r>
          </w:p>
        </w:tc>
        <w:tc>
          <w:tcPr>
            <w:tcW w:w="16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Companies</w:t>
            </w:r>
          </w:p>
        </w:tc>
      </w:tr>
      <w:tr>
        <w:tc>
          <w:tcPr>
            <w:tcW w:w="8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S&amp;P 500 companies with an earnings-call transcript in the course archive</w:t>
            </w:r>
          </w:p>
        </w:tc>
        <w:tc>
          <w:tcPr>
            <w:tcW w:w="16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383</w:t>
            </w:r>
          </w:p>
        </w:tc>
      </w:tr>
      <w:tr>
        <w:tc>
          <w:tcPr>
            <w:tcW w:w="8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… with Finnhub fundamentals</w:t>
            </w:r>
          </w:p>
        </w:tc>
        <w:tc>
          <w:tcPr>
            <w:tcW w:w="16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372</w:t>
            </w:r>
          </w:p>
        </w:tc>
      </w:tr>
      <w:tr>
        <w:tc>
          <w:tcPr>
            <w:tcW w:w="8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… cheaper than industry peers, profitable, acceptable call tone</w:t>
            </w:r>
          </w:p>
        </w:tc>
        <w:tc>
          <w:tcPr>
            <w:tcW w:w="16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171</w:t>
            </w:r>
          </w:p>
        </w:tc>
      </w:tr>
      <w:tr>
        <w:tc>
          <w:tcPr>
            <w:tcW w:w="8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… after the industry cap (max 4 per industry), priced</w:t>
            </w:r>
          </w:p>
        </w:tc>
        <w:tc>
          <w:tcPr>
            <w:tcW w:w="16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w="8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… on a golden cross, above the 200-day average, RSI &lt; 70</w:t>
            </w:r>
          </w:p>
        </w:tc>
        <w:tc>
          <w:tcPr>
            <w:tcW w:w="16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w="81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Portfolio (top by composite rank)</w:t>
            </w:r>
          </w:p>
        </w:tc>
        <w:tc>
          <w:tcPr>
            <w:tcW w:w="16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</w:t>
            </w:r>
          </w:p>
        </w:tc>
      </w:tr>
    </w:tbl>
    <w:p>
      <w:pPr>
        <w:spacing w:before="0" w:after="12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sz w:val="20"/>
          <w:szCs w:val="20"/>
        </w:rPr>
        <w:t xml:space="preserve">The largest single reason for exclusion was not being cheaper than peers (128 companies), followed by loss-making businesses (40) and a deteriorating call (29). The technical filter then removed 24 of 40 priced candidates — cheap names that were still in a downtrend.</w:t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2. Holdings (16) and weights</w:t>
      </w:r>
    </w:p>
    <w:tbl>
      <w:tblPr>
        <w:tblW w:w="9700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80" w:type="dxa"/>
          <w:right w:w="80" w:type="dxa"/>
        </w:tblCellMar>
      </w:tblPr>
      <w:tblGrid>
        <w:gridCol w:w="800"/>
        <w:gridCol w:w="2200"/>
        <w:gridCol w:w="1900"/>
        <w:gridCol w:w="1000"/>
        <w:gridCol w:w="900"/>
        <w:gridCol w:w="1300"/>
        <w:gridCol w:w="1200"/>
        <w:gridCol w:w="400"/>
      </w:tblGrid>
      <w:tr>
        <w:trPr>
          <w:tblHeader/>
        </w:trPr>
        <w:tc>
          <w:tcPr>
            <w:tcW w:w="8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Ticker</w:t>
            </w:r>
          </w:p>
        </w:tc>
        <w:tc>
          <w:tcPr>
            <w:tcW w:w="22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Company</w:t>
            </w:r>
          </w:p>
        </w:tc>
        <w:tc>
          <w:tcPr>
            <w:tcW w:w="19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Industry</w:t>
            </w:r>
          </w:p>
        </w:tc>
        <w:tc>
          <w:tcPr>
            <w:tcW w:w="10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Max Sharpe</w:t>
            </w:r>
          </w:p>
        </w:tc>
        <w:tc>
          <w:tcPr>
            <w:tcW w:w="9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Min var</w:t>
            </w:r>
          </w:p>
        </w:tc>
        <w:tc>
          <w:tcPr>
            <w:tcW w:w="13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P/E vs peer</w:t>
            </w:r>
          </w:p>
        </w:tc>
        <w:tc>
          <w:tcPr>
            <w:tcW w:w="12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Tone (Δ)</w:t>
            </w:r>
          </w:p>
        </w:tc>
        <w:tc>
          <w:tcPr>
            <w:tcW w:w="4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RSI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ALL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Allstate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Insurance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5.0 / 13.1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0.71 (+0.11)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INCY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Incyte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Biotechnology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16.1 / 20.3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0.87 (+0.02)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DAL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Delta Air Lines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Airlines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13.1 / 23.0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0.80 (+0.04)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37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NVDA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NVIDIA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Semiconductors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8.0%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28.0 / 36.1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0.90 (+0.09)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59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SPG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Simon Property Group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Real Estate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14.8 / 36.1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0.81 (+0.03)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SOLV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Solventum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Health Care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10.3 / 26.1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0.67 (+0.06)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68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DVA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DaVita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Health Care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7.4%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13.7 / 26.1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0.59 (+0.22)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EXPE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Expedia Group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Hotels, Restaurants &amp; 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18.0 / 19.9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0.91 (+0.04)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GEN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Gen Digital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Technology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4.9%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8.7%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17.7 / 27.7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0.93 (+0.06)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OXY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Occidental Petroleum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Energy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3.1%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8.4 / 16.5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0.66 (+0.04)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Cigna Group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Health Care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11.6 / 26.1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0.82 (-0.01)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FRT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Federal Realty Investment 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Real Estate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23.5 / 36.1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0.87 (+0.03)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42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AES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AES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Utilities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3.9%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5.6 / 21.0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0.80 (-0.00)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55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BBY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Best Buy Co Inc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Retail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14.6 / 20.3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0.77 (+0.17)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56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EMN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Eastman Chemical Co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Chemicals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18.4 / 47.6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0.56 (+0.33)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w="8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DVN</w:t>
            </w:r>
          </w:p>
        </w:tc>
        <w:tc>
          <w:tcPr>
            <w:tcW w:w="22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Devon Energy Corp</w:t>
            </w:r>
          </w:p>
        </w:tc>
        <w:tc>
          <w:tcPr>
            <w:tcW w:w="19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Energy</w:t>
            </w:r>
          </w:p>
        </w:tc>
        <w:tc>
          <w:tcPr>
            <w:tcW w:w="10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9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2.0%</w:t>
            </w:r>
          </w:p>
        </w:tc>
        <w:tc>
          <w:tcPr>
            <w:tcW w:w="13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16.4 / 16.5</w:t>
            </w:r>
          </w:p>
        </w:tc>
        <w:tc>
          <w:tcPr>
            <w:tcW w:w="12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0.88 (+0.07)</w:t>
            </w:r>
          </w:p>
        </w:tc>
        <w:tc>
          <w:tcPr>
            <w:tcW w:w="4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62</w:t>
            </w:r>
          </w:p>
        </w:tc>
      </w:tr>
    </w:tbl>
    <w:p>
      <w:pPr>
        <w:spacing w:before="0" w:after="12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sz w:val="20"/>
          <w:szCs w:val="20"/>
        </w:rPr>
        <w:t xml:space="preserve">12 industries are represented; the largest weight is 10% and the top five names carry 50% of the max-Sharpe portfolio.</w:t>
      </w:r>
    </w:p>
    <w:p>
      <w:pPr>
        <w:keepNext/>
        <w:spacing w:before="240" w:after="100"/>
      </w:pPr>
      <w:r>
        <w:rPr>
          <w:b/>
          <w:color w:val="1F2A44"/>
          <w:sz w:val="24"/>
          <w:szCs w:val="24"/>
        </w:rPr>
        <w:t xml:space="preserve">3. Optimisation results (in-sample)</w:t>
      </w:r>
    </w:p>
    <w:tbl>
      <w:tblPr>
        <w:tblW w:w="9700" w:type="dxa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  <w:tblLayout w:type="fixed"/>
        <w:tblCellMar>
          <w:left w:w="80" w:type="dxa"/>
          <w:right w:w="80" w:type="dxa"/>
        </w:tblCellMar>
      </w:tblPr>
      <w:tblGrid>
        <w:gridCol w:w="3400"/>
        <w:gridCol w:w="2100"/>
        <w:gridCol w:w="2100"/>
        <w:gridCol w:w="2100"/>
      </w:tblGrid>
      <w:tr>
        <w:trPr>
          <w:tblHeader/>
        </w:trPr>
        <w:tc>
          <w:tcPr>
            <w:tcW w:w="3400" w:type="dxa"/>
            <w:shd w:val="clear" w:color="auto" w:fill="E8EDF5"/>
          </w:tcPr>
          <w:p>
            <w:pPr>
              <w:spacing w:before="20" w:after="20"/>
            </w:pPr>
            <w:r>
              <w:rPr>
                <w:b/>
                <w:sz w:val="18"/>
                <w:szCs w:val="18"/>
              </w:rPr>
              <w:t xml:space="preserve">Method</w:t>
            </w:r>
          </w:p>
        </w:tc>
        <w:tc>
          <w:tcPr>
            <w:tcW w:w="21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Expected return</w:t>
            </w:r>
          </w:p>
        </w:tc>
        <w:tc>
          <w:tcPr>
            <w:tcW w:w="21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Volatility</w:t>
            </w:r>
          </w:p>
        </w:tc>
        <w:tc>
          <w:tcPr>
            <w:tcW w:w="2100" w:type="dxa"/>
            <w:shd w:val="clear" w:color="auto" w:fill="E8EDF5"/>
          </w:tcPr>
          <w:p>
            <w:pPr>
              <w:spacing w:before="20" w:after="20"/>
              <w:jc w:val="right"/>
            </w:pPr>
            <w:r>
              <w:rPr>
                <w:b/>
                <w:sz w:val="18"/>
                <w:szCs w:val="18"/>
              </w:rPr>
              <w:t xml:space="preserve">Sharpe</w:t>
            </w:r>
          </w:p>
        </w:tc>
      </w:tr>
      <w:tr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Maximum Sharpe (chosen)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19.1%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19.0%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0.79</w:t>
            </w:r>
          </w:p>
        </w:tc>
      </w:tr>
      <w:tr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Minimum variance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10.5%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16.0%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0.41</w:t>
            </w:r>
          </w:p>
        </w:tc>
      </w:tr>
      <w:tr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Equal weight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10.4%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18.1%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tcPr>
            <w:tcW w:w="3400" w:type="dxa"/>
          </w:tcPr>
          <w:p>
            <w:pPr>
              <w:spacing w:before="20" w:after="20"/>
            </w:pPr>
            <w:r>
              <w:rPr>
                <w:sz w:val="18"/>
                <w:szCs w:val="18"/>
              </w:rPr>
              <w:t xml:space="preserve">SPY, same window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15.8%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16.5%</w:t>
            </w:r>
          </w:p>
        </w:tc>
        <w:tc>
          <w:tcPr>
            <w:tcW w:w="2100" w:type="dxa"/>
          </w:tcPr>
          <w:p>
            <w:pPr>
              <w:spacing w:before="20" w:after="20"/>
              <w:jc w:val="right"/>
            </w:pPr>
            <w:r>
              <w:rPr>
                <w:sz w:val="18"/>
                <w:szCs w:val="18"/>
              </w:rPr>
              <w:t xml:space="preserve">0.72</w:t>
            </w:r>
          </w:p>
        </w:tc>
      </w:tr>
    </w:tbl>
    <w:p>
      <w:pPr>
        <w:spacing w:before="0" w:after="12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sz w:val="20"/>
          <w:szCs w:val="20"/>
        </w:rPr>
        <w:t xml:space="preserve">The maximum-Sharpe weights are chosen for the mandate. Their expected return of 19.1% is a two-year historical mean — the weakest input in any mean-variance optimisation — which is exactly why the minimum-variance portfolio (which does not use expected returns) and equal weight are shown beside it. The 2%–10% band was added deliberately: without a floor the optimiser put ten names at the cap and nine at zero, which is a bet on last year's winners, not a diversified expression of the thesis.</w:t>
      </w:r>
    </w:p>
    <w:p>
      <w:pPr>
        <w:spacing w:before="0" w:after="120"/>
      </w:pPr>
      <w:r>
        <w:rPr>
          <w:sz w:val="20"/>
          <w:szCs w:val="20"/>
        </w:rPr>
        <w:t xml:space="preserve">Read the Sharpe ratios as a description of the fit, not a forecast: the weights were chosen on the same window they are measured on.</w:t>
      </w:r>
    </w:p>
    <w:p>
      <w:r>
        <w:br w:type="page"/>
      </w:r>
    </w:p>
    <w:p>
      <w:pPr>
        <w:keepNext/>
        <w:spacing w:before="360" w:after="160"/>
      </w:pPr>
      <w:r>
        <w:rPr>
          <w:b/>
          <w:color w:val="1F2A44"/>
          <w:sz w:val="30"/>
          <w:szCs w:val="30"/>
        </w:rPr>
        <w:t xml:space="preserve">Part C — Executive Summary</w:t>
      </w:r>
    </w:p>
    <w:p>
      <w:pPr>
        <w:spacing w:before="0" w:after="120"/>
      </w:pPr>
      <w:r>
        <w:rPr>
          <w:b/>
          <w:sz w:val="20"/>
          <w:szCs w:val="20"/>
        </w:rPr>
        <w:t xml:space="preserve">Thesis. </w:t>
      </w:r>
      <w:r>
        <w:rPr>
          <w:sz w:val="20"/>
          <w:szCs w:val="20"/>
        </w:rPr>
        <w:t xml:space="preserve">Buy S&amp;P 500 companies that are cheaper than their own industry peers and whose latest earnings call confirms the business is not deteriorating; enter only in an uptrend. 16 names, weighted by maximum Sharpe ratio within 2%–10% bands, re-screened quarterly. Mandate: $1M.</w:t>
      </w:r>
    </w:p>
    <w:p>
      <w:pPr>
        <w:spacing w:before="0" w:after="120"/>
      </w:pPr>
      <w:r>
        <w:rPr>
          <w:b/>
          <w:sz w:val="20"/>
          <w:szCs w:val="20"/>
        </w:rPr>
        <w:t xml:space="preserve">Supporting logic. </w:t>
      </w:r>
      <w:r>
        <w:rPr>
          <w:sz w:val="20"/>
          <w:szCs w:val="20"/>
        </w:rPr>
        <w:t xml:space="preserve">A backtest of a five-factor fundamental score on 359 S&amp;P 500 companies as of 2025-01-31 found no power in the total score to rank the next year's excess returns (ρ 0.00), but a signal in valuation against industry peers (ρ +0.14) and a negative one in profitability (ρ -0.13). The strategy keeps the factor that worked and adds two checks the score lacked: earnings-call tone as a text signal against value traps, and the golden-cross/RSI rules as an entry filter against buying too early.</w:t>
      </w:r>
    </w:p>
    <w:p>
      <w:pPr>
        <w:spacing w:before="0" w:after="120"/>
      </w:pPr>
      <w:r>
        <w:rPr>
          <w:b/>
          <w:sz w:val="20"/>
          <w:szCs w:val="20"/>
        </w:rPr>
        <w:t xml:space="preserve">Data sources. </w:t>
      </w:r>
      <w:r>
        <w:rPr>
          <w:sz w:val="20"/>
          <w:szCs w:val="20"/>
        </w:rPr>
        <w:t xml:space="preserve">Finnhub (fundamentals, industry, peers, live quotes; free, 60/min), Twelve Data (daily prices, free), the course transcript archive (2,899 earnings calls, no key), OpenRouter for commentary. Keys stay in the browser; none is in the repository or the published bundle.</w:t>
      </w:r>
    </w:p>
    <w:p>
      <w:pPr>
        <w:spacing w:before="0" w:after="120"/>
      </w:pPr>
      <w:r>
        <w:rPr>
          <w:b/>
          <w:sz w:val="20"/>
          <w:szCs w:val="20"/>
        </w:rPr>
        <w:t xml:space="preserve">Portfolio. </w:t>
      </w:r>
      <w:r>
        <w:rPr>
          <w:sz w:val="20"/>
          <w:szCs w:val="20"/>
        </w:rPr>
        <w:t xml:space="preserve">16 holdings across 12 industries; largest positions ALL 10%, INCY 10%, DAL 10%. In-sample: expected return 19.1%, volatility 19.0%, Sharpe 0.79 against SPY 0.72. Live at https://jakobhofer-kg16.github.io/equity-lens/#/portfolio.</w:t>
      </w:r>
    </w:p>
    <w:p>
      <w:pPr>
        <w:spacing w:before="0" w:after="120"/>
      </w:pPr>
      <w:r>
        <w:rPr>
          <w:b/>
          <w:sz w:val="20"/>
          <w:szCs w:val="20"/>
        </w:rPr>
        <w:t xml:space="preserve">Known weaknesses. </w:t>
      </w:r>
      <w:r>
        <w:rPr>
          <w:sz w:val="20"/>
          <w:szCs w:val="20"/>
        </w:rPr>
        <w:t xml:space="preserve">(1) One backtest anchor is one draw. (2) Expected returns are two-year historical means; the max-Sharpe weights inherit their noise, which is why min-variance and equal weight are shown beside them. (3) The tone score is a word count and cannot read sarcasm or negation; four calls per company is a short history. (4) Small industries fall back to the universe median. (5) In-sample statistics describe the fit, not the future.</w:t>
      </w:r>
    </w:p>
    <w:p>
      <w:pPr>
        <w:spacing w:before="0" w:after="120"/>
      </w:pPr>
      <w:r>
        <w:rPr>
          <w:b/>
          <w:sz w:val="20"/>
          <w:szCs w:val="20"/>
        </w:rPr>
        <w:t xml:space="preserve">Ideas to strengthen. </w:t>
      </w:r>
      <w:r>
        <w:rPr>
          <w:sz w:val="20"/>
          <w:szCs w:val="20"/>
        </w:rPr>
        <w:t xml:space="preserve">A second and third backtest anchor before trusting the valuation signal; shrunk or Black-Litterman expected returns; keys behind a serverless proxy plus SEC EDGAR fundamentals; the call-tone model checked against FinBERT; a turnover and cost model for the quarterly rebalance; and two quarters of paper trading before allocating.</w:t>
      </w:r>
    </w:p>
    <w:sectPr w:rsidR="00480B81" w:rsidRPr="006D3D40" w:rsidSect="00A97FB0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 w:code="9"/>
      <w:pgMar w:top="3119" w:right="1758" w:bottom="1701" w:left="1701" w:header="709" w:footer="539" w:gutter="0"/>
      <w:cols w:space="708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DCAF6" w14:textId="77777777" w:rsidR="009B1363" w:rsidRDefault="009B1363" w:rsidP="000B120B">
      <w:pPr>
        <w:spacing w:line="240" w:lineRule="auto"/>
      </w:pPr>
      <w:r>
        <w:separator/>
      </w:r>
    </w:p>
  </w:endnote>
  <w:endnote w:type="continuationSeparator" w:id="0">
    <w:p w14:paraId="0BB41E65" w14:textId="77777777" w:rsidR="009B1363" w:rsidRDefault="009B1363" w:rsidP="000B12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41B49" w14:textId="272ED891" w:rsidR="000B120B" w:rsidRDefault="000B120B" w:rsidP="000B120B">
    <w:pPr>
      <w:pStyle w:val="Fuzeile"/>
      <w:tabs>
        <w:tab w:val="clear" w:pos="4536"/>
        <w:tab w:val="clear" w:pos="9072"/>
        <w:tab w:val="center" w:pos="4253"/>
        <w:tab w:val="right" w:pos="8427"/>
      </w:tabs>
      <w:jc w:val="right"/>
    </w:pPr>
    <w:r>
      <w:fldChar w:fldCharType="begin"/>
    </w:r>
    <w:r>
      <w:instrText xml:space="preserve"> </w:instrText>
    </w:r>
    <w:r w:rsidR="00D52029">
      <w:instrText>PAGE</w:instrText>
    </w:r>
    <w:r>
      <w:instrText xml:space="preserve">   \* MERGEFORMAT </w:instrText>
    </w:r>
    <w:r>
      <w:fldChar w:fldCharType="separate"/>
    </w:r>
    <w:r w:rsidR="00480B81">
      <w:rPr>
        <w:noProof/>
      </w:rPr>
      <w:t>2</w:t>
    </w:r>
    <w:r>
      <w:fldChar w:fldCharType="end"/>
    </w:r>
    <w:bookmarkStart w:id="0" w:name="Empfänger"/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601" w:type="dxa"/>
      <w:tblLayout w:type="fixed"/>
      <w:tblLook w:val="04A0" w:firstRow="1" w:lastRow="0" w:firstColumn="1" w:lastColumn="0" w:noHBand="0" w:noVBand="1"/>
    </w:tblPr>
    <w:tblGrid>
      <w:gridCol w:w="709"/>
      <w:gridCol w:w="2127"/>
      <w:gridCol w:w="3543"/>
      <w:gridCol w:w="3544"/>
    </w:tblGrid>
    <w:tr w:rsidR="000B120B" w:rsidRPr="00921766" w14:paraId="70B75AF9" w14:textId="77777777">
      <w:trPr>
        <w:trHeight w:val="794"/>
      </w:trPr>
      <w:tc>
        <w:tcPr>
          <w:tcW w:w="709" w:type="dxa"/>
        </w:tcPr>
        <w:p w14:paraId="78D92190" w14:textId="77777777" w:rsidR="000B120B" w:rsidRPr="00D52029" w:rsidRDefault="00C668A8" w:rsidP="000B120B">
          <w:pPr>
            <w:pStyle w:val="Fuzeile"/>
            <w:spacing w:before="60"/>
            <w:ind w:left="-108"/>
            <w:jc w:val="right"/>
            <w:rPr>
              <w:rFonts w:ascii="Calibri" w:eastAsia="Calibri" w:hAnsi="Calibri"/>
              <w:b/>
              <w:caps/>
              <w:spacing w:val="4"/>
              <w:sz w:val="9"/>
              <w:szCs w:val="9"/>
            </w:rPr>
          </w:pPr>
          <w:r>
            <w:rPr>
              <w:rFonts w:ascii="Calibri" w:eastAsia="Calibri" w:hAnsi="Calibri"/>
              <w:b/>
              <w:caps/>
              <w:noProof/>
              <w:spacing w:val="4"/>
              <w:sz w:val="9"/>
              <w:szCs w:val="9"/>
              <w:lang w:eastAsia="de-AT"/>
            </w:rPr>
            <w:drawing>
              <wp:inline distT="0" distB="0" distL="0" distR="0" wp14:anchorId="318D07B4" wp14:editId="0A6D64C1">
                <wp:extent cx="304800" cy="281940"/>
                <wp:effectExtent l="0" t="0" r="0" b="3810"/>
                <wp:docPr id="1" name="Grafik 6" descr="Weltkugel f. Fa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6" descr="Weltkugel f. Fa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7" w:type="dxa"/>
        </w:tcPr>
        <w:p w14:paraId="3CE99509" w14:textId="77777777" w:rsidR="000B120B" w:rsidRPr="00A97FB0" w:rsidRDefault="000B120B" w:rsidP="000B120B">
          <w:pPr>
            <w:pStyle w:val="Fuzeile"/>
            <w:spacing w:line="150" w:lineRule="exact"/>
            <w:ind w:left="-108" w:right="133"/>
            <w:rPr>
              <w:rFonts w:ascii="Calibri" w:eastAsia="Calibri" w:hAnsi="Calibri"/>
              <w:spacing w:val="4"/>
              <w:sz w:val="9"/>
              <w:szCs w:val="9"/>
              <w:lang w:val="en-US"/>
            </w:rPr>
          </w:pPr>
          <w:r w:rsidRPr="00A97FB0">
            <w:rPr>
              <w:rFonts w:ascii="Calibri" w:eastAsia="Calibri" w:hAnsi="Calibri"/>
              <w:b/>
              <w:caps/>
              <w:spacing w:val="4"/>
              <w:sz w:val="9"/>
              <w:szCs w:val="9"/>
              <w:lang w:val="en-US"/>
            </w:rPr>
            <w:t xml:space="preserve">WU Executive Academy Wirtschaftsuniversität </w:t>
          </w:r>
          <w:r w:rsidRPr="00A97FB0">
            <w:rPr>
              <w:rFonts w:ascii="Calibri" w:eastAsia="Calibri" w:hAnsi="Calibri"/>
              <w:b/>
              <w:caps/>
              <w:spacing w:val="4"/>
              <w:sz w:val="9"/>
              <w:szCs w:val="9"/>
              <w:lang w:val="en-US"/>
            </w:rPr>
            <w:br/>
            <w:t xml:space="preserve">Wien </w:t>
          </w:r>
          <w:r w:rsidRPr="00A97FB0">
            <w:rPr>
              <w:rFonts w:ascii="Calibri" w:eastAsia="Calibri" w:hAnsi="Calibri"/>
              <w:caps/>
              <w:spacing w:val="4"/>
              <w:sz w:val="9"/>
              <w:szCs w:val="9"/>
              <w:lang w:val="en-US"/>
            </w:rPr>
            <w:t>Vienna University of Economics and Business</w:t>
          </w:r>
        </w:p>
      </w:tc>
      <w:tc>
        <w:tcPr>
          <w:tcW w:w="3543" w:type="dxa"/>
        </w:tcPr>
        <w:p w14:paraId="680760B2" w14:textId="77777777" w:rsidR="000B120B" w:rsidRPr="00A97FB0" w:rsidRDefault="000B120B" w:rsidP="000B120B">
          <w:pPr>
            <w:pStyle w:val="Fuzeile"/>
            <w:spacing w:line="150" w:lineRule="exact"/>
            <w:ind w:left="-108" w:right="-108"/>
            <w:rPr>
              <w:rFonts w:ascii="Calibri" w:eastAsia="Calibri" w:hAnsi="Calibri"/>
              <w:spacing w:val="2"/>
              <w:sz w:val="11"/>
              <w:szCs w:val="11"/>
              <w:lang w:val="en-US"/>
            </w:rPr>
          </w:pPr>
          <w:proofErr w:type="spellStart"/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>Welthandelsplatz</w:t>
          </w:r>
          <w:proofErr w:type="spellEnd"/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 xml:space="preserve"> 1, Building EA, 1020 Vienna, Austria</w:t>
          </w:r>
        </w:p>
        <w:p w14:paraId="7E15721D" w14:textId="77777777" w:rsidR="000B120B" w:rsidRPr="00A97FB0" w:rsidRDefault="000B120B" w:rsidP="000B120B">
          <w:pPr>
            <w:pStyle w:val="Fuzeile"/>
            <w:spacing w:line="150" w:lineRule="exact"/>
            <w:ind w:left="-108" w:right="-108"/>
            <w:rPr>
              <w:rFonts w:ascii="Calibri" w:eastAsia="Calibri" w:hAnsi="Calibri"/>
              <w:spacing w:val="2"/>
              <w:sz w:val="11"/>
              <w:szCs w:val="11"/>
              <w:lang w:val="en-US"/>
            </w:rPr>
          </w:pPr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>T +43-1-313 36-4816, F +43-1-313 36-</w:t>
          </w:r>
          <w:r w:rsidRPr="00A97FB0">
            <w:rPr>
              <w:rFonts w:ascii="Calibri" w:eastAsia="Calibri" w:hAnsi="Calibri" w:cs="Verdana"/>
              <w:sz w:val="11"/>
              <w:szCs w:val="24"/>
              <w:lang w:val="en-US"/>
            </w:rPr>
            <w:t>904816</w:t>
          </w:r>
        </w:p>
        <w:p w14:paraId="17C7C07E" w14:textId="77777777" w:rsidR="000B120B" w:rsidRPr="00A97FB0" w:rsidRDefault="000B120B" w:rsidP="000B120B">
          <w:pPr>
            <w:pStyle w:val="Fuzeile"/>
            <w:spacing w:line="150" w:lineRule="exact"/>
            <w:ind w:left="-108" w:right="-108"/>
            <w:rPr>
              <w:rFonts w:ascii="Calibri" w:eastAsia="Calibri" w:hAnsi="Calibri"/>
              <w:spacing w:val="2"/>
              <w:sz w:val="11"/>
              <w:szCs w:val="11"/>
              <w:lang w:val="en-US"/>
            </w:rPr>
          </w:pPr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>executiveacademy@wu.ac.at</w:t>
          </w:r>
        </w:p>
        <w:p w14:paraId="65306249" w14:textId="77777777" w:rsidR="000B120B" w:rsidRPr="00A97FB0" w:rsidRDefault="000B120B" w:rsidP="000B120B">
          <w:pPr>
            <w:pStyle w:val="Fuzeile"/>
            <w:spacing w:line="150" w:lineRule="exact"/>
            <w:ind w:left="-108" w:right="113"/>
            <w:rPr>
              <w:rFonts w:ascii="Calibri" w:eastAsia="Calibri" w:hAnsi="Calibri"/>
              <w:sz w:val="11"/>
              <w:szCs w:val="11"/>
              <w:lang w:val="en-US"/>
            </w:rPr>
          </w:pPr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>executiveacademy.at</w:t>
          </w:r>
        </w:p>
      </w:tc>
      <w:tc>
        <w:tcPr>
          <w:tcW w:w="3544" w:type="dxa"/>
        </w:tcPr>
        <w:p w14:paraId="0C37736C" w14:textId="77777777" w:rsidR="000B120B" w:rsidRPr="00A97FB0" w:rsidRDefault="000B120B" w:rsidP="000B120B">
          <w:pPr>
            <w:pStyle w:val="Fuzeile"/>
            <w:tabs>
              <w:tab w:val="clear" w:pos="4536"/>
            </w:tabs>
            <w:spacing w:line="150" w:lineRule="exact"/>
            <w:ind w:left="-71" w:right="-108"/>
            <w:rPr>
              <w:rFonts w:ascii="Calibri" w:eastAsia="Calibri" w:hAnsi="Calibri"/>
              <w:spacing w:val="2"/>
              <w:sz w:val="11"/>
              <w:szCs w:val="11"/>
              <w:lang w:val="en-US"/>
            </w:rPr>
          </w:pPr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 xml:space="preserve">Bank: </w:t>
          </w:r>
          <w:r w:rsidR="00250561" w:rsidRPr="00250561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>UniCredit Bank Austria AG, BLZ: 11000</w:t>
          </w:r>
        </w:p>
        <w:p w14:paraId="4653B519" w14:textId="77777777" w:rsidR="000B120B" w:rsidRPr="00A97FB0" w:rsidRDefault="000B120B" w:rsidP="000B120B">
          <w:pPr>
            <w:pStyle w:val="Fuzeile"/>
            <w:tabs>
              <w:tab w:val="clear" w:pos="4536"/>
            </w:tabs>
            <w:spacing w:line="150" w:lineRule="exact"/>
            <w:ind w:left="-71" w:right="-108"/>
            <w:rPr>
              <w:rFonts w:ascii="Calibri" w:eastAsia="Calibri" w:hAnsi="Calibri"/>
              <w:spacing w:val="2"/>
              <w:sz w:val="11"/>
              <w:szCs w:val="11"/>
              <w:lang w:val="en-US"/>
            </w:rPr>
          </w:pPr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>Account No.: 01364 971 000</w:t>
          </w:r>
        </w:p>
        <w:p w14:paraId="14576922" w14:textId="77777777" w:rsidR="000B120B" w:rsidRPr="00A97FB0" w:rsidRDefault="000B120B" w:rsidP="000B120B">
          <w:pPr>
            <w:pStyle w:val="Fuzeile"/>
            <w:tabs>
              <w:tab w:val="clear" w:pos="4536"/>
            </w:tabs>
            <w:spacing w:line="150" w:lineRule="exact"/>
            <w:ind w:left="-71" w:right="-108"/>
            <w:rPr>
              <w:rFonts w:ascii="Calibri" w:eastAsia="Calibri" w:hAnsi="Calibri"/>
              <w:spacing w:val="2"/>
              <w:sz w:val="11"/>
              <w:szCs w:val="11"/>
              <w:lang w:val="en-US"/>
            </w:rPr>
          </w:pPr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>SWIFT/BIC: BKAUATWW, IBAN: AT45 1100 0013 6497 1000</w:t>
          </w:r>
        </w:p>
        <w:p w14:paraId="78690A26" w14:textId="77777777" w:rsidR="000B120B" w:rsidRPr="00A97FB0" w:rsidRDefault="000B120B" w:rsidP="000B120B">
          <w:pPr>
            <w:pStyle w:val="Fuzeile"/>
            <w:tabs>
              <w:tab w:val="clear" w:pos="4536"/>
            </w:tabs>
            <w:spacing w:line="150" w:lineRule="exact"/>
            <w:ind w:left="-71" w:right="-108"/>
            <w:rPr>
              <w:rFonts w:ascii="Calibri" w:eastAsia="Calibri" w:hAnsi="Calibri"/>
              <w:spacing w:val="2"/>
              <w:sz w:val="11"/>
              <w:szCs w:val="11"/>
              <w:lang w:val="en-US"/>
            </w:rPr>
          </w:pPr>
          <w:r w:rsidRPr="00A97FB0">
            <w:rPr>
              <w:rFonts w:ascii="Calibri" w:eastAsia="Calibri" w:hAnsi="Calibri"/>
              <w:spacing w:val="2"/>
              <w:sz w:val="11"/>
              <w:szCs w:val="11"/>
              <w:lang w:val="en-US"/>
            </w:rPr>
            <w:t>VAT No.: ATU37694107, Place of jurisdiction Vienna</w:t>
          </w:r>
        </w:p>
      </w:tc>
    </w:tr>
  </w:tbl>
  <w:p w14:paraId="4529F65F" w14:textId="77777777" w:rsidR="000B120B" w:rsidRPr="00A97FB0" w:rsidRDefault="000B120B" w:rsidP="000B120B">
    <w:pPr>
      <w:pStyle w:val="Fuzeile"/>
      <w:spacing w:line="150" w:lineRule="exac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1DD55" w14:textId="77777777" w:rsidR="009B1363" w:rsidRDefault="009B1363" w:rsidP="000B120B">
      <w:pPr>
        <w:spacing w:line="240" w:lineRule="auto"/>
      </w:pPr>
      <w:r>
        <w:separator/>
      </w:r>
    </w:p>
  </w:footnote>
  <w:footnote w:type="continuationSeparator" w:id="0">
    <w:p w14:paraId="635BA5E4" w14:textId="77777777" w:rsidR="009B1363" w:rsidRDefault="009B1363" w:rsidP="000B12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7126F" w14:textId="77777777" w:rsidR="000B120B" w:rsidRDefault="00325047">
    <w:pPr>
      <w:pStyle w:val="Kopfzeile"/>
    </w:pPr>
    <w:r>
      <w:rPr>
        <w:noProof/>
        <w:lang w:eastAsia="de-AT"/>
      </w:rPr>
      <w:drawing>
        <wp:anchor distT="0" distB="0" distL="114300" distR="114300" simplePos="0" relativeHeight="251665408" behindDoc="1" locked="0" layoutInCell="1" allowOverlap="1" wp14:anchorId="70C159AF" wp14:editId="5281CDCA">
          <wp:simplePos x="0" y="0"/>
          <wp:positionH relativeFrom="page">
            <wp:posOffset>5676900</wp:posOffset>
          </wp:positionH>
          <wp:positionV relativeFrom="page">
            <wp:posOffset>400050</wp:posOffset>
          </wp:positionV>
          <wp:extent cx="1429822" cy="1533599"/>
          <wp:effectExtent l="0" t="0" r="0" b="0"/>
          <wp:wrapNone/>
          <wp:docPr id="5" name="Grafik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9822" cy="15335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12F5" w14:textId="525ED666" w:rsidR="000B120B" w:rsidRDefault="007E1593">
    <w:pPr>
      <w:pStyle w:val="Kopfzeile"/>
    </w:pPr>
    <w:r>
      <w:rPr>
        <w:noProof/>
        <w:lang w:eastAsia="de-AT"/>
      </w:rPr>
      <w:drawing>
        <wp:anchor distT="0" distB="0" distL="114300" distR="114300" simplePos="0" relativeHeight="251667456" behindDoc="1" locked="0" layoutInCell="1" allowOverlap="1" wp14:anchorId="78BD561A" wp14:editId="7A71D3AC">
          <wp:simplePos x="0" y="0"/>
          <wp:positionH relativeFrom="page">
            <wp:posOffset>5667375</wp:posOffset>
          </wp:positionH>
          <wp:positionV relativeFrom="page">
            <wp:posOffset>352425</wp:posOffset>
          </wp:positionV>
          <wp:extent cx="1465911" cy="1572308"/>
          <wp:effectExtent l="0" t="0" r="1270" b="889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5911" cy="15723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120B">
      <w:rPr>
        <w:noProof/>
        <w:lang w:val="de-DE" w:eastAsia="de-D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23E1D3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1803610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756A95A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B0BEE322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F50B294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CEA95D2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A67ED2D4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726032D2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2AF8B4C6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8FAAF13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794AA6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7160BAC"/>
    <w:multiLevelType w:val="hybridMultilevel"/>
    <w:tmpl w:val="35A6884C"/>
    <w:lvl w:ilvl="0" w:tplc="A9328930">
      <w:start w:val="1"/>
      <w:numFmt w:val="bullet"/>
      <w:pStyle w:val="FarbigeListe-Akzent1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F5477E"/>
    <w:multiLevelType w:val="hybridMultilevel"/>
    <w:tmpl w:val="CB9EE214"/>
    <w:lvl w:ilvl="0" w:tplc="8056C532">
      <w:numFmt w:val="bullet"/>
      <w:lvlText w:val=""/>
      <w:lvlJc w:val="left"/>
      <w:pPr>
        <w:ind w:left="720" w:hanging="360"/>
      </w:pPr>
      <w:rPr>
        <w:rFonts w:ascii="Symbol" w:eastAsia="Verdana" w:hAnsi="Symbol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691393">
    <w:abstractNumId w:val="11"/>
  </w:num>
  <w:num w:numId="2" w16cid:durableId="1202551409">
    <w:abstractNumId w:val="11"/>
  </w:num>
  <w:num w:numId="3" w16cid:durableId="1119106445">
    <w:abstractNumId w:val="10"/>
  </w:num>
  <w:num w:numId="4" w16cid:durableId="697124591">
    <w:abstractNumId w:val="10"/>
  </w:num>
  <w:num w:numId="5" w16cid:durableId="51469629">
    <w:abstractNumId w:val="11"/>
  </w:num>
  <w:num w:numId="6" w16cid:durableId="26414680">
    <w:abstractNumId w:val="10"/>
  </w:num>
  <w:num w:numId="7" w16cid:durableId="783227519">
    <w:abstractNumId w:val="8"/>
  </w:num>
  <w:num w:numId="8" w16cid:durableId="1550259884">
    <w:abstractNumId w:val="8"/>
  </w:num>
  <w:num w:numId="9" w16cid:durableId="1969778332">
    <w:abstractNumId w:val="7"/>
  </w:num>
  <w:num w:numId="10" w16cid:durableId="254480359">
    <w:abstractNumId w:val="7"/>
  </w:num>
  <w:num w:numId="11" w16cid:durableId="1509254735">
    <w:abstractNumId w:val="6"/>
  </w:num>
  <w:num w:numId="12" w16cid:durableId="1983389820">
    <w:abstractNumId w:val="6"/>
  </w:num>
  <w:num w:numId="13" w16cid:durableId="854003177">
    <w:abstractNumId w:val="5"/>
  </w:num>
  <w:num w:numId="14" w16cid:durableId="475414137">
    <w:abstractNumId w:val="5"/>
  </w:num>
  <w:num w:numId="15" w16cid:durableId="2147309579">
    <w:abstractNumId w:val="11"/>
  </w:num>
  <w:num w:numId="16" w16cid:durableId="64568759">
    <w:abstractNumId w:val="9"/>
  </w:num>
  <w:num w:numId="17" w16cid:durableId="1773620795">
    <w:abstractNumId w:val="9"/>
  </w:num>
  <w:num w:numId="18" w16cid:durableId="616253664">
    <w:abstractNumId w:val="4"/>
  </w:num>
  <w:num w:numId="19" w16cid:durableId="916862596">
    <w:abstractNumId w:val="4"/>
  </w:num>
  <w:num w:numId="20" w16cid:durableId="676540342">
    <w:abstractNumId w:val="3"/>
  </w:num>
  <w:num w:numId="21" w16cid:durableId="909735143">
    <w:abstractNumId w:val="3"/>
  </w:num>
  <w:num w:numId="22" w16cid:durableId="1953239483">
    <w:abstractNumId w:val="2"/>
  </w:num>
  <w:num w:numId="23" w16cid:durableId="1508638819">
    <w:abstractNumId w:val="2"/>
  </w:num>
  <w:num w:numId="24" w16cid:durableId="913198707">
    <w:abstractNumId w:val="1"/>
  </w:num>
  <w:num w:numId="25" w16cid:durableId="1961842286">
    <w:abstractNumId w:val="1"/>
  </w:num>
  <w:num w:numId="26" w16cid:durableId="1062674911">
    <w:abstractNumId w:val="10"/>
  </w:num>
  <w:num w:numId="27" w16cid:durableId="1854108865">
    <w:abstractNumId w:val="8"/>
  </w:num>
  <w:num w:numId="28" w16cid:durableId="460655174">
    <w:abstractNumId w:val="7"/>
  </w:num>
  <w:num w:numId="29" w16cid:durableId="263464504">
    <w:abstractNumId w:val="6"/>
  </w:num>
  <w:num w:numId="30" w16cid:durableId="1853101475">
    <w:abstractNumId w:val="5"/>
  </w:num>
  <w:num w:numId="31" w16cid:durableId="454370644">
    <w:abstractNumId w:val="11"/>
  </w:num>
  <w:num w:numId="32" w16cid:durableId="1915704336">
    <w:abstractNumId w:val="9"/>
  </w:num>
  <w:num w:numId="33" w16cid:durableId="1781029212">
    <w:abstractNumId w:val="4"/>
  </w:num>
  <w:num w:numId="34" w16cid:durableId="1985237771">
    <w:abstractNumId w:val="3"/>
  </w:num>
  <w:num w:numId="35" w16cid:durableId="1129519370">
    <w:abstractNumId w:val="2"/>
  </w:num>
  <w:num w:numId="36" w16cid:durableId="121965097">
    <w:abstractNumId w:val="1"/>
  </w:num>
  <w:num w:numId="37" w16cid:durableId="1438019840">
    <w:abstractNumId w:val="10"/>
  </w:num>
  <w:num w:numId="38" w16cid:durableId="598567498">
    <w:abstractNumId w:val="8"/>
  </w:num>
  <w:num w:numId="39" w16cid:durableId="251203226">
    <w:abstractNumId w:val="7"/>
  </w:num>
  <w:num w:numId="40" w16cid:durableId="690882347">
    <w:abstractNumId w:val="6"/>
  </w:num>
  <w:num w:numId="41" w16cid:durableId="1150096485">
    <w:abstractNumId w:val="5"/>
  </w:num>
  <w:num w:numId="42" w16cid:durableId="565383813">
    <w:abstractNumId w:val="11"/>
  </w:num>
  <w:num w:numId="43" w16cid:durableId="2087263425">
    <w:abstractNumId w:val="9"/>
  </w:num>
  <w:num w:numId="44" w16cid:durableId="1342659254">
    <w:abstractNumId w:val="4"/>
  </w:num>
  <w:num w:numId="45" w16cid:durableId="407579152">
    <w:abstractNumId w:val="3"/>
  </w:num>
  <w:num w:numId="46" w16cid:durableId="1025984174">
    <w:abstractNumId w:val="2"/>
  </w:num>
  <w:num w:numId="47" w16cid:durableId="1530756116">
    <w:abstractNumId w:val="1"/>
  </w:num>
  <w:num w:numId="48" w16cid:durableId="932977378">
    <w:abstractNumId w:val="0"/>
  </w:num>
  <w:num w:numId="49" w16cid:durableId="6847885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styleLockTheme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F64"/>
    <w:rsid w:val="000B120B"/>
    <w:rsid w:val="000D69F8"/>
    <w:rsid w:val="00105978"/>
    <w:rsid w:val="001577EB"/>
    <w:rsid w:val="00195AA3"/>
    <w:rsid w:val="001A6F64"/>
    <w:rsid w:val="001D0CBB"/>
    <w:rsid w:val="00250561"/>
    <w:rsid w:val="002705BA"/>
    <w:rsid w:val="00325047"/>
    <w:rsid w:val="003340F1"/>
    <w:rsid w:val="00391E73"/>
    <w:rsid w:val="003A26D7"/>
    <w:rsid w:val="003D3D5A"/>
    <w:rsid w:val="00457094"/>
    <w:rsid w:val="00480B81"/>
    <w:rsid w:val="004C03AD"/>
    <w:rsid w:val="004E48F0"/>
    <w:rsid w:val="004F6FB0"/>
    <w:rsid w:val="00607FC8"/>
    <w:rsid w:val="006D3D40"/>
    <w:rsid w:val="007B52BF"/>
    <w:rsid w:val="007E1593"/>
    <w:rsid w:val="00802670"/>
    <w:rsid w:val="00884F98"/>
    <w:rsid w:val="008E450A"/>
    <w:rsid w:val="009120A4"/>
    <w:rsid w:val="00921766"/>
    <w:rsid w:val="00924BDD"/>
    <w:rsid w:val="00930A2B"/>
    <w:rsid w:val="009657C2"/>
    <w:rsid w:val="009B1363"/>
    <w:rsid w:val="009C547C"/>
    <w:rsid w:val="00A76D14"/>
    <w:rsid w:val="00A97FB0"/>
    <w:rsid w:val="00AB26DC"/>
    <w:rsid w:val="00B63DC4"/>
    <w:rsid w:val="00BC5CD6"/>
    <w:rsid w:val="00C15382"/>
    <w:rsid w:val="00C668A8"/>
    <w:rsid w:val="00D25093"/>
    <w:rsid w:val="00D37692"/>
    <w:rsid w:val="00D52029"/>
    <w:rsid w:val="00D73248"/>
    <w:rsid w:val="00D93B88"/>
    <w:rsid w:val="00EA3B52"/>
    <w:rsid w:val="00EE19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2112AF8"/>
  <w15:docId w15:val="{2E6791FD-3ACD-4C2C-89BF-CC6A7360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A76D14"/>
    <w:pPr>
      <w:spacing w:before="200" w:line="250" w:lineRule="atLeast"/>
    </w:pPr>
    <w:rPr>
      <w:sz w:val="18"/>
      <w:szCs w:val="18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1271A"/>
    <w:pPr>
      <w:keepNext/>
      <w:keepLines/>
      <w:spacing w:before="480" w:after="240" w:line="340" w:lineRule="atLeast"/>
      <w:outlineLvl w:val="0"/>
    </w:pPr>
    <w:rPr>
      <w:rFonts w:eastAsia="Times New Roman"/>
      <w:b/>
      <w:bCs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61271A"/>
    <w:pPr>
      <w:keepNext/>
      <w:keepLines/>
      <w:spacing w:before="360" w:after="200" w:line="320" w:lineRule="atLeast"/>
      <w:outlineLvl w:val="1"/>
    </w:pPr>
    <w:rPr>
      <w:rFonts w:eastAsia="Times New Roman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61271A"/>
    <w:pPr>
      <w:keepNext/>
      <w:keepLines/>
      <w:spacing w:before="320" w:after="160" w:line="290" w:lineRule="atLeast"/>
      <w:outlineLvl w:val="2"/>
    </w:pPr>
    <w:rPr>
      <w:rFonts w:eastAsia="Times New Roman"/>
      <w:b/>
      <w:bCs/>
      <w:sz w:val="22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61271A"/>
    <w:pPr>
      <w:keepNext/>
      <w:keepLines/>
      <w:spacing w:before="280" w:after="120" w:line="290" w:lineRule="atLeast"/>
      <w:outlineLvl w:val="3"/>
    </w:pPr>
    <w:rPr>
      <w:rFonts w:eastAsia="Times New Roman"/>
      <w:b/>
      <w:bCs/>
      <w:iCs/>
      <w:sz w:val="22"/>
    </w:rPr>
  </w:style>
  <w:style w:type="paragraph" w:styleId="berschrift5">
    <w:name w:val="heading 5"/>
    <w:basedOn w:val="Standard"/>
    <w:next w:val="Standard"/>
    <w:link w:val="berschrift5Zchn"/>
    <w:uiPriority w:val="9"/>
    <w:qFormat/>
    <w:rsid w:val="0061271A"/>
    <w:pPr>
      <w:keepNext/>
      <w:keepLines/>
      <w:spacing w:after="120" w:line="270" w:lineRule="atLeast"/>
      <w:outlineLvl w:val="4"/>
    </w:pPr>
    <w:rPr>
      <w:rFonts w:eastAsia="Times New Roman"/>
      <w:b/>
      <w:sz w:val="20"/>
    </w:rPr>
  </w:style>
  <w:style w:type="paragraph" w:styleId="berschrift6">
    <w:name w:val="heading 6"/>
    <w:basedOn w:val="Standard"/>
    <w:next w:val="Standard"/>
    <w:link w:val="berschrift6Zchn"/>
    <w:uiPriority w:val="9"/>
    <w:qFormat/>
    <w:rsid w:val="0061271A"/>
    <w:pPr>
      <w:keepNext/>
      <w:keepLines/>
      <w:spacing w:after="120"/>
      <w:outlineLvl w:val="5"/>
    </w:pPr>
    <w:rPr>
      <w:rFonts w:eastAsia="Times New Roman"/>
      <w:b/>
      <w:iCs/>
    </w:rPr>
  </w:style>
  <w:style w:type="paragraph" w:styleId="berschrift7">
    <w:name w:val="heading 7"/>
    <w:basedOn w:val="Standard"/>
    <w:next w:val="Standard"/>
    <w:link w:val="berschrift7Zchn"/>
    <w:uiPriority w:val="9"/>
    <w:qFormat/>
    <w:rsid w:val="0061271A"/>
    <w:pPr>
      <w:keepNext/>
      <w:keepLines/>
      <w:spacing w:after="120"/>
      <w:outlineLvl w:val="6"/>
    </w:pPr>
    <w:rPr>
      <w:rFonts w:eastAsia="Times New Roman"/>
      <w:b/>
      <w:iCs/>
    </w:rPr>
  </w:style>
  <w:style w:type="paragraph" w:styleId="berschrift8">
    <w:name w:val="heading 8"/>
    <w:basedOn w:val="Standard"/>
    <w:next w:val="Standard"/>
    <w:link w:val="berschrift8Zchn"/>
    <w:uiPriority w:val="9"/>
    <w:qFormat/>
    <w:rsid w:val="0061271A"/>
    <w:pPr>
      <w:keepNext/>
      <w:keepLines/>
      <w:spacing w:after="120"/>
      <w:outlineLvl w:val="7"/>
    </w:pPr>
    <w:rPr>
      <w:rFonts w:eastAsia="Times New Roman"/>
      <w:b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qFormat/>
    <w:rsid w:val="0061271A"/>
    <w:pPr>
      <w:keepNext/>
      <w:keepLines/>
      <w:spacing w:after="120"/>
      <w:outlineLvl w:val="8"/>
    </w:pPr>
    <w:rPr>
      <w:rFonts w:eastAsia="Times New Roman"/>
      <w:b/>
      <w:iCs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1271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838CA"/>
  </w:style>
  <w:style w:type="paragraph" w:styleId="Fuzeile">
    <w:name w:val="footer"/>
    <w:basedOn w:val="Standard"/>
    <w:link w:val="FuzeileZchn"/>
    <w:uiPriority w:val="99"/>
    <w:unhideWhenUsed/>
    <w:rsid w:val="0061271A"/>
    <w:pPr>
      <w:tabs>
        <w:tab w:val="center" w:pos="4536"/>
        <w:tab w:val="right" w:pos="9072"/>
      </w:tabs>
      <w:spacing w:before="0" w:line="240" w:lineRule="auto"/>
    </w:pPr>
    <w:rPr>
      <w:sz w:val="16"/>
    </w:rPr>
  </w:style>
  <w:style w:type="character" w:customStyle="1" w:styleId="FuzeileZchn">
    <w:name w:val="Fußzeile Zchn"/>
    <w:link w:val="Fuzeile"/>
    <w:uiPriority w:val="99"/>
    <w:rsid w:val="00A20D9D"/>
    <w:rPr>
      <w:sz w:val="16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127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3838CA"/>
    <w:rPr>
      <w:rFonts w:ascii="Tahoma" w:hAnsi="Tahoma" w:cs="Tahoma"/>
      <w:sz w:val="16"/>
      <w:szCs w:val="16"/>
    </w:rPr>
  </w:style>
  <w:style w:type="paragraph" w:customStyle="1" w:styleId="Betreff">
    <w:name w:val="Betreff"/>
    <w:basedOn w:val="Standard"/>
    <w:unhideWhenUsed/>
    <w:rsid w:val="0061271A"/>
    <w:pPr>
      <w:spacing w:before="960" w:after="240"/>
    </w:pPr>
    <w:rPr>
      <w:rFonts w:eastAsia="Times New Roman"/>
      <w:b/>
      <w:szCs w:val="20"/>
      <w:lang w:val="de-DE" w:eastAsia="de-AT"/>
    </w:rPr>
  </w:style>
  <w:style w:type="character" w:customStyle="1" w:styleId="SchwacherVerweis1">
    <w:name w:val="Schwacher Verweis1"/>
    <w:uiPriority w:val="31"/>
    <w:semiHidden/>
    <w:unhideWhenUsed/>
    <w:qFormat/>
    <w:rsid w:val="0061271A"/>
    <w:rPr>
      <w:caps/>
      <w:color w:val="auto"/>
      <w:u w:val="none"/>
    </w:rPr>
  </w:style>
  <w:style w:type="character" w:customStyle="1" w:styleId="berschrift1Zchn">
    <w:name w:val="Überschrift 1 Zchn"/>
    <w:link w:val="berschrift1"/>
    <w:uiPriority w:val="9"/>
    <w:rsid w:val="0056423E"/>
    <w:rPr>
      <w:rFonts w:ascii="Verdana" w:eastAsia="Times New Roman" w:hAnsi="Verdana" w:cs="Times New Roman"/>
      <w:b/>
      <w:bCs/>
      <w:sz w:val="28"/>
      <w:szCs w:val="28"/>
    </w:rPr>
  </w:style>
  <w:style w:type="paragraph" w:styleId="Datum">
    <w:name w:val="Date"/>
    <w:basedOn w:val="Standard"/>
    <w:link w:val="DatumZchn"/>
    <w:rsid w:val="0061271A"/>
    <w:pPr>
      <w:tabs>
        <w:tab w:val="right" w:pos="9071"/>
      </w:tabs>
      <w:spacing w:before="1080"/>
      <w:jc w:val="right"/>
    </w:pPr>
    <w:rPr>
      <w:rFonts w:eastAsia="Times New Roman"/>
      <w:szCs w:val="20"/>
      <w:lang w:val="de-DE" w:eastAsia="de-AT"/>
    </w:rPr>
  </w:style>
  <w:style w:type="character" w:customStyle="1" w:styleId="DatumZchn">
    <w:name w:val="Datum Zchn"/>
    <w:link w:val="Datum"/>
    <w:rsid w:val="007D343F"/>
    <w:rPr>
      <w:rFonts w:eastAsia="Times New Roman" w:cs="Times New Roman"/>
      <w:szCs w:val="20"/>
      <w:lang w:val="de-DE" w:eastAsia="de-AT"/>
    </w:rPr>
  </w:style>
  <w:style w:type="paragraph" w:styleId="Anrede">
    <w:name w:val="Salutation"/>
    <w:basedOn w:val="Standard"/>
    <w:link w:val="AnredeZchn"/>
    <w:semiHidden/>
    <w:rsid w:val="0061271A"/>
    <w:pPr>
      <w:spacing w:before="480" w:after="360"/>
    </w:pPr>
    <w:rPr>
      <w:rFonts w:eastAsia="Times New Roman"/>
      <w:szCs w:val="20"/>
      <w:lang w:val="de-DE" w:eastAsia="de-AT"/>
    </w:rPr>
  </w:style>
  <w:style w:type="character" w:customStyle="1" w:styleId="AnredeZchn">
    <w:name w:val="Anrede Zchn"/>
    <w:link w:val="Anrede"/>
    <w:semiHidden/>
    <w:rsid w:val="00802B2D"/>
    <w:rPr>
      <w:rFonts w:eastAsia="Times New Roman" w:cs="Times New Roman"/>
      <w:szCs w:val="20"/>
      <w:lang w:val="de-DE" w:eastAsia="de-AT"/>
    </w:rPr>
  </w:style>
  <w:style w:type="character" w:customStyle="1" w:styleId="MittleresRaster11">
    <w:name w:val="Mittleres Raster 11"/>
    <w:uiPriority w:val="99"/>
    <w:semiHidden/>
    <w:rsid w:val="0061271A"/>
    <w:rPr>
      <w:color w:val="auto"/>
    </w:rPr>
  </w:style>
  <w:style w:type="character" w:customStyle="1" w:styleId="berschrift2Zchn">
    <w:name w:val="Überschrift 2 Zchn"/>
    <w:link w:val="berschrift2"/>
    <w:uiPriority w:val="9"/>
    <w:semiHidden/>
    <w:rsid w:val="00A20D9D"/>
    <w:rPr>
      <w:rFonts w:ascii="Verdana" w:eastAsia="Times New Roman" w:hAnsi="Verdana" w:cs="Times New Roman"/>
      <w:b/>
      <w:bCs/>
      <w:sz w:val="26"/>
      <w:szCs w:val="26"/>
    </w:rPr>
  </w:style>
  <w:style w:type="character" w:customStyle="1" w:styleId="IntensiverVerweis1">
    <w:name w:val="Intensiver Verweis1"/>
    <w:uiPriority w:val="32"/>
    <w:semiHidden/>
    <w:unhideWhenUsed/>
    <w:qFormat/>
    <w:rsid w:val="0061271A"/>
    <w:rPr>
      <w:b/>
      <w:bCs/>
      <w:caps/>
      <w:color w:val="auto"/>
      <w:spacing w:val="5"/>
      <w:u w:val="none"/>
    </w:rPr>
  </w:style>
  <w:style w:type="paragraph" w:customStyle="1" w:styleId="FarbigeListe-Akzent11">
    <w:name w:val="Farbige Liste - Akzent 11"/>
    <w:basedOn w:val="Standard"/>
    <w:uiPriority w:val="34"/>
    <w:semiHidden/>
    <w:unhideWhenUsed/>
    <w:qFormat/>
    <w:rsid w:val="0061271A"/>
    <w:pPr>
      <w:numPr>
        <w:numId w:val="42"/>
      </w:numPr>
      <w:contextualSpacing/>
    </w:pPr>
  </w:style>
  <w:style w:type="character" w:customStyle="1" w:styleId="IntensiveHervorhebung1">
    <w:name w:val="Intensive Hervorhebung1"/>
    <w:uiPriority w:val="21"/>
    <w:qFormat/>
    <w:rsid w:val="0061271A"/>
    <w:rPr>
      <w:b/>
      <w:bCs/>
      <w:iCs/>
      <w:caps/>
      <w:color w:val="auto"/>
    </w:rPr>
  </w:style>
  <w:style w:type="character" w:customStyle="1" w:styleId="SchwacheHervorhebung1">
    <w:name w:val="Schwache Hervorhebung1"/>
    <w:uiPriority w:val="19"/>
    <w:semiHidden/>
    <w:unhideWhenUsed/>
    <w:rsid w:val="0061271A"/>
    <w:rPr>
      <w:iCs/>
      <w:color w:val="auto"/>
    </w:rPr>
  </w:style>
  <w:style w:type="character" w:styleId="Hervorhebung">
    <w:name w:val="Emphasis"/>
    <w:uiPriority w:val="20"/>
    <w:qFormat/>
    <w:rsid w:val="0061271A"/>
    <w:rPr>
      <w:iCs/>
      <w:caps/>
      <w:color w:val="auto"/>
    </w:rPr>
  </w:style>
  <w:style w:type="paragraph" w:styleId="Beschriftung">
    <w:name w:val="caption"/>
    <w:basedOn w:val="Standard"/>
    <w:next w:val="Standard"/>
    <w:uiPriority w:val="35"/>
    <w:qFormat/>
    <w:rsid w:val="0061271A"/>
    <w:pPr>
      <w:spacing w:after="200"/>
    </w:pPr>
    <w:rPr>
      <w:b/>
      <w:bCs/>
    </w:rPr>
  </w:style>
  <w:style w:type="character" w:styleId="BesuchterLink">
    <w:name w:val="FollowedHyperlink"/>
    <w:uiPriority w:val="99"/>
    <w:semiHidden/>
    <w:unhideWhenUsed/>
    <w:rsid w:val="0061271A"/>
    <w:rPr>
      <w:color w:val="auto"/>
      <w:u w:val="single"/>
    </w:rPr>
  </w:style>
  <w:style w:type="paragraph" w:styleId="Blocktext">
    <w:name w:val="Block Text"/>
    <w:basedOn w:val="Standard"/>
    <w:uiPriority w:val="99"/>
    <w:semiHidden/>
    <w:unhideWhenUsed/>
    <w:rsid w:val="0061271A"/>
    <w:pPr>
      <w:pBdr>
        <w:top w:val="single" w:sz="2" w:space="10" w:color="0096D3" w:frame="1"/>
        <w:left w:val="single" w:sz="2" w:space="10" w:color="0096D3" w:frame="1"/>
        <w:bottom w:val="single" w:sz="2" w:space="10" w:color="0096D3" w:frame="1"/>
        <w:right w:val="single" w:sz="2" w:space="10" w:color="0096D3" w:frame="1"/>
      </w:pBdr>
      <w:ind w:left="1152" w:right="1152"/>
    </w:pPr>
    <w:rPr>
      <w:rFonts w:eastAsia="Times New Roman"/>
      <w:i/>
      <w:iCs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61271A"/>
    <w:pPr>
      <w:spacing w:line="240" w:lineRule="auto"/>
    </w:pPr>
    <w:rPr>
      <w:szCs w:val="20"/>
    </w:rPr>
  </w:style>
  <w:style w:type="character" w:customStyle="1" w:styleId="EndnotentextZchn">
    <w:name w:val="Endnotentext Zchn"/>
    <w:link w:val="Endnotentext"/>
    <w:uiPriority w:val="99"/>
    <w:semiHidden/>
    <w:rsid w:val="00F66133"/>
    <w:rPr>
      <w:szCs w:val="20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61271A"/>
    <w:pPr>
      <w:spacing w:line="240" w:lineRule="auto"/>
    </w:pPr>
    <w:rPr>
      <w:szCs w:val="20"/>
    </w:rPr>
  </w:style>
  <w:style w:type="character" w:customStyle="1" w:styleId="FunotentextZchn">
    <w:name w:val="Fußnotentext Zchn"/>
    <w:link w:val="Funotentext"/>
    <w:uiPriority w:val="99"/>
    <w:semiHidden/>
    <w:rsid w:val="00F66133"/>
    <w:rPr>
      <w:szCs w:val="20"/>
    </w:rPr>
  </w:style>
  <w:style w:type="table" w:styleId="MittleresRaster3-Akzent4">
    <w:name w:val="Medium Grid 3 Accent 4"/>
    <w:basedOn w:val="NormaleTabelle"/>
    <w:uiPriority w:val="60"/>
    <w:rsid w:val="0061271A"/>
    <w:rPr>
      <w:color w:val="335B77"/>
    </w:rPr>
    <w:tblPr>
      <w:tblStyleRowBandSize w:val="1"/>
      <w:tblStyleColBandSize w:val="1"/>
      <w:tblBorders>
        <w:top w:val="single" w:sz="8" w:space="0" w:color="457AA0"/>
        <w:bottom w:val="single" w:sz="8" w:space="0" w:color="457AA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57AA0"/>
          <w:left w:val="nil"/>
          <w:bottom w:val="single" w:sz="8" w:space="0" w:color="457AA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57AA0"/>
          <w:left w:val="nil"/>
          <w:bottom w:val="single" w:sz="8" w:space="0" w:color="457AA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EDEEA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EDEEA"/>
      </w:tcPr>
    </w:tblStylePr>
  </w:style>
  <w:style w:type="character" w:styleId="Hyperlink">
    <w:name w:val="Hyperlink"/>
    <w:uiPriority w:val="99"/>
    <w:unhideWhenUsed/>
    <w:rsid w:val="0061271A"/>
    <w:rPr>
      <w:color w:val="406288"/>
      <w:u w:val="single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61271A"/>
    <w:pPr>
      <w:ind w:left="181" w:hanging="181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61271A"/>
    <w:rPr>
      <w:rFonts w:eastAsia="Times New Roman"/>
      <w:b/>
      <w:bCs/>
    </w:rPr>
  </w:style>
  <w:style w:type="paragraph" w:customStyle="1" w:styleId="Inhaltsverzeichnisberschrift1">
    <w:name w:val="Inhaltsverzeichnisüberschrift1"/>
    <w:basedOn w:val="berschrift1"/>
    <w:next w:val="Standard"/>
    <w:uiPriority w:val="39"/>
    <w:semiHidden/>
    <w:unhideWhenUsed/>
    <w:qFormat/>
    <w:rsid w:val="0061271A"/>
    <w:pPr>
      <w:spacing w:line="250" w:lineRule="exact"/>
      <w:outlineLvl w:val="9"/>
    </w:pPr>
  </w:style>
  <w:style w:type="paragraph" w:customStyle="1" w:styleId="HelleSchattierung-Akzent21">
    <w:name w:val="Helle Schattierung - Akzent 21"/>
    <w:basedOn w:val="Standard"/>
    <w:next w:val="Standard"/>
    <w:link w:val="LightShading-Accent2Char"/>
    <w:uiPriority w:val="30"/>
    <w:semiHidden/>
    <w:unhideWhenUsed/>
    <w:qFormat/>
    <w:rsid w:val="0061271A"/>
    <w:pPr>
      <w:spacing w:after="280"/>
      <w:ind w:left="936" w:right="936"/>
    </w:pPr>
    <w:rPr>
      <w:b/>
      <w:bCs/>
      <w:iCs/>
    </w:rPr>
  </w:style>
  <w:style w:type="character" w:customStyle="1" w:styleId="LightShading-Accent2Char">
    <w:name w:val="Light Shading - Accent 2 Char"/>
    <w:link w:val="HelleSchattierung-Akzent21"/>
    <w:uiPriority w:val="30"/>
    <w:semiHidden/>
    <w:rsid w:val="00F66133"/>
    <w:rPr>
      <w:b/>
      <w:bCs/>
      <w:iCs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1271A"/>
    <w:pPr>
      <w:spacing w:line="240" w:lineRule="auto"/>
    </w:pPr>
    <w:rPr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F66133"/>
    <w:rPr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1271A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F66133"/>
    <w:rPr>
      <w:b/>
      <w:bCs/>
      <w:szCs w:val="20"/>
    </w:rPr>
  </w:style>
  <w:style w:type="table" w:styleId="HelleSchattierung-Akzent5">
    <w:name w:val="Light Shading Accent 5"/>
    <w:basedOn w:val="NormaleTabelle"/>
    <w:uiPriority w:val="65"/>
    <w:rsid w:val="0061271A"/>
    <w:rPr>
      <w:color w:val="000000"/>
    </w:rPr>
    <w:tblPr>
      <w:tblStyleRowBandSize w:val="1"/>
      <w:tblStyleColBandSize w:val="1"/>
      <w:tblBorders>
        <w:top w:val="single" w:sz="8" w:space="0" w:color="457AA0"/>
        <w:bottom w:val="single" w:sz="8" w:space="0" w:color="457AA0"/>
      </w:tblBorders>
    </w:tblPr>
    <w:tblStylePr w:type="firstRow">
      <w:rPr>
        <w:rFonts w:ascii="Symbol" w:eastAsia="Times New Roman" w:hAnsi="Symbol" w:cs="Times New Roman"/>
      </w:rPr>
      <w:tblPr/>
      <w:tcPr>
        <w:tcBorders>
          <w:top w:val="nil"/>
          <w:bottom w:val="single" w:sz="8" w:space="0" w:color="457AA0"/>
        </w:tcBorders>
      </w:tcPr>
    </w:tblStylePr>
    <w:tblStylePr w:type="lastRow">
      <w:rPr>
        <w:b/>
        <w:bCs/>
        <w:color w:val="002E60"/>
      </w:rPr>
      <w:tblPr/>
      <w:tcPr>
        <w:tcBorders>
          <w:top w:val="single" w:sz="8" w:space="0" w:color="457AA0"/>
          <w:bottom w:val="single" w:sz="8" w:space="0" w:color="457A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57AA0"/>
          <w:bottom w:val="single" w:sz="8" w:space="0" w:color="457AA0"/>
        </w:tcBorders>
      </w:tcPr>
    </w:tblStylePr>
    <w:tblStylePr w:type="band1Vert">
      <w:tblPr/>
      <w:tcPr>
        <w:shd w:val="clear" w:color="auto" w:fill="CEDEEA"/>
      </w:tcPr>
    </w:tblStylePr>
    <w:tblStylePr w:type="band1Horz">
      <w:tblPr/>
      <w:tcPr>
        <w:shd w:val="clear" w:color="auto" w:fill="CEDEEA"/>
      </w:tcPr>
    </w:tblStylePr>
  </w:style>
  <w:style w:type="table" w:styleId="Tabellenraster">
    <w:name w:val="Table Grid"/>
    <w:basedOn w:val="NormaleTabelle"/>
    <w:uiPriority w:val="59"/>
    <w:rsid w:val="0061271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itel">
    <w:name w:val="Title"/>
    <w:basedOn w:val="Standard"/>
    <w:next w:val="Standard"/>
    <w:link w:val="TitelZchn"/>
    <w:uiPriority w:val="10"/>
    <w:qFormat/>
    <w:rsid w:val="0061271A"/>
    <w:pPr>
      <w:pBdr>
        <w:bottom w:val="single" w:sz="8" w:space="4" w:color="auto"/>
      </w:pBdr>
      <w:spacing w:after="300" w:line="560" w:lineRule="atLeast"/>
      <w:contextualSpacing/>
    </w:pPr>
    <w:rPr>
      <w:rFonts w:eastAsia="Times New Roman"/>
      <w:b/>
      <w:caps/>
      <w:spacing w:val="5"/>
      <w:kern w:val="28"/>
      <w:sz w:val="44"/>
      <w:szCs w:val="52"/>
    </w:rPr>
  </w:style>
  <w:style w:type="character" w:customStyle="1" w:styleId="TitelZchn">
    <w:name w:val="Titel Zchn"/>
    <w:link w:val="Titel"/>
    <w:uiPriority w:val="10"/>
    <w:semiHidden/>
    <w:rsid w:val="00306AF0"/>
    <w:rPr>
      <w:rFonts w:ascii="Verdana" w:eastAsia="Times New Roman" w:hAnsi="Verdana" w:cs="Times New Roman"/>
      <w:b/>
      <w:caps/>
      <w:spacing w:val="5"/>
      <w:kern w:val="28"/>
      <w:sz w:val="44"/>
      <w:szCs w:val="52"/>
    </w:rPr>
  </w:style>
  <w:style w:type="character" w:customStyle="1" w:styleId="berschrift3Zchn">
    <w:name w:val="Überschrift 3 Zchn"/>
    <w:link w:val="berschrift3"/>
    <w:uiPriority w:val="9"/>
    <w:semiHidden/>
    <w:rsid w:val="00A20D9D"/>
    <w:rPr>
      <w:rFonts w:ascii="Verdana" w:eastAsia="Times New Roman" w:hAnsi="Verdana" w:cs="Times New Roman"/>
      <w:b/>
      <w:bCs/>
      <w:sz w:val="22"/>
    </w:rPr>
  </w:style>
  <w:style w:type="character" w:customStyle="1" w:styleId="berschrift4Zchn">
    <w:name w:val="Überschrift 4 Zchn"/>
    <w:link w:val="berschrift4"/>
    <w:uiPriority w:val="9"/>
    <w:semiHidden/>
    <w:rsid w:val="00A20D9D"/>
    <w:rPr>
      <w:rFonts w:ascii="Verdana" w:eastAsia="Times New Roman" w:hAnsi="Verdana" w:cs="Times New Roman"/>
      <w:b/>
      <w:bCs/>
      <w:iCs/>
      <w:sz w:val="22"/>
    </w:rPr>
  </w:style>
  <w:style w:type="character" w:customStyle="1" w:styleId="berschrift5Zchn">
    <w:name w:val="Überschrift 5 Zchn"/>
    <w:link w:val="berschrift5"/>
    <w:uiPriority w:val="9"/>
    <w:semiHidden/>
    <w:rsid w:val="00A20D9D"/>
    <w:rPr>
      <w:rFonts w:ascii="Verdana" w:eastAsia="Times New Roman" w:hAnsi="Verdana" w:cs="Times New Roman"/>
      <w:b/>
      <w:sz w:val="20"/>
    </w:rPr>
  </w:style>
  <w:style w:type="character" w:customStyle="1" w:styleId="berschrift6Zchn">
    <w:name w:val="Überschrift 6 Zchn"/>
    <w:link w:val="berschrift6"/>
    <w:uiPriority w:val="9"/>
    <w:semiHidden/>
    <w:rsid w:val="00A20D9D"/>
    <w:rPr>
      <w:rFonts w:ascii="Verdana" w:eastAsia="Times New Roman" w:hAnsi="Verdana" w:cs="Times New Roman"/>
      <w:b/>
      <w:iCs/>
    </w:rPr>
  </w:style>
  <w:style w:type="character" w:customStyle="1" w:styleId="berschrift7Zchn">
    <w:name w:val="Überschrift 7 Zchn"/>
    <w:link w:val="berschrift7"/>
    <w:uiPriority w:val="9"/>
    <w:semiHidden/>
    <w:rsid w:val="00A20D9D"/>
    <w:rPr>
      <w:rFonts w:ascii="Verdana" w:eastAsia="Times New Roman" w:hAnsi="Verdana" w:cs="Times New Roman"/>
      <w:b/>
      <w:iCs/>
    </w:rPr>
  </w:style>
  <w:style w:type="character" w:customStyle="1" w:styleId="berschrift8Zchn">
    <w:name w:val="Überschrift 8 Zchn"/>
    <w:link w:val="berschrift8"/>
    <w:uiPriority w:val="9"/>
    <w:semiHidden/>
    <w:rsid w:val="00A20D9D"/>
    <w:rPr>
      <w:rFonts w:ascii="Verdana" w:eastAsia="Times New Roman" w:hAnsi="Verdana" w:cs="Times New Roman"/>
      <w:b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A20D9D"/>
    <w:rPr>
      <w:rFonts w:ascii="Verdana" w:eastAsia="Times New Roman" w:hAnsi="Verdana" w:cs="Times New Roman"/>
      <w:b/>
      <w:iCs/>
      <w:szCs w:val="20"/>
    </w:rPr>
  </w:style>
  <w:style w:type="paragraph" w:styleId="Umschlagadresse">
    <w:name w:val="envelope address"/>
    <w:basedOn w:val="Standard"/>
    <w:uiPriority w:val="99"/>
    <w:semiHidden/>
    <w:unhideWhenUsed/>
    <w:rsid w:val="0061271A"/>
    <w:pPr>
      <w:framePr w:w="4320" w:h="2160" w:hRule="exact" w:hSpace="141" w:wrap="auto" w:hAnchor="page" w:xAlign="center" w:yAlign="bottom"/>
      <w:spacing w:line="240" w:lineRule="auto"/>
      <w:ind w:left="1"/>
    </w:pPr>
    <w:rPr>
      <w:rFonts w:eastAsia="Times New Roman"/>
      <w:sz w:val="22"/>
      <w:szCs w:val="24"/>
    </w:rPr>
  </w:style>
  <w:style w:type="paragraph" w:styleId="Unterschrift">
    <w:name w:val="Signature"/>
    <w:basedOn w:val="Standard"/>
    <w:link w:val="UnterschriftZchn"/>
    <w:uiPriority w:val="99"/>
    <w:semiHidden/>
    <w:unhideWhenUsed/>
    <w:rsid w:val="0061271A"/>
    <w:pPr>
      <w:ind w:left="4253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F66133"/>
  </w:style>
  <w:style w:type="paragraph" w:styleId="Untertitel">
    <w:name w:val="Subtitle"/>
    <w:basedOn w:val="Standard"/>
    <w:next w:val="Standard"/>
    <w:link w:val="UntertitelZchn"/>
    <w:uiPriority w:val="11"/>
    <w:qFormat/>
    <w:rsid w:val="0061271A"/>
    <w:pPr>
      <w:numPr>
        <w:ilvl w:val="1"/>
      </w:numPr>
    </w:pPr>
    <w:rPr>
      <w:rFonts w:eastAsia="Times New Roman"/>
      <w:iCs/>
      <w:caps/>
      <w:spacing w:val="15"/>
      <w:sz w:val="24"/>
      <w:szCs w:val="24"/>
    </w:rPr>
  </w:style>
  <w:style w:type="character" w:customStyle="1" w:styleId="UntertitelZchn">
    <w:name w:val="Untertitel Zchn"/>
    <w:link w:val="Untertitel"/>
    <w:uiPriority w:val="11"/>
    <w:semiHidden/>
    <w:rsid w:val="00306AF0"/>
    <w:rPr>
      <w:rFonts w:ascii="Verdana" w:eastAsia="Times New Roman" w:hAnsi="Verdana" w:cs="Times New Roman"/>
      <w:iCs/>
      <w:caps/>
      <w:spacing w:val="15"/>
      <w:sz w:val="24"/>
      <w:szCs w:val="24"/>
    </w:rPr>
  </w:style>
  <w:style w:type="paragraph" w:styleId="Aufzhlungszeichen">
    <w:name w:val="List Bullet"/>
    <w:basedOn w:val="Standard"/>
    <w:uiPriority w:val="98"/>
    <w:unhideWhenUsed/>
    <w:rsid w:val="0061271A"/>
    <w:pPr>
      <w:numPr>
        <w:numId w:val="37"/>
      </w:numPr>
      <w:contextualSpacing/>
    </w:p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61271A"/>
    <w:pPr>
      <w:spacing w:line="240" w:lineRule="auto"/>
    </w:pPr>
    <w:rPr>
      <w:rFonts w:cs="Tahoma"/>
      <w:sz w:val="16"/>
      <w:szCs w:val="16"/>
    </w:rPr>
  </w:style>
  <w:style w:type="character" w:customStyle="1" w:styleId="DokumentstrukturZchn">
    <w:name w:val="Dokumentstruktur Zchn"/>
    <w:link w:val="Dokumentstruktur"/>
    <w:uiPriority w:val="99"/>
    <w:semiHidden/>
    <w:rsid w:val="00EA1B0A"/>
    <w:rPr>
      <w:rFonts w:cs="Tahoma"/>
      <w:sz w:val="16"/>
      <w:szCs w:val="16"/>
    </w:rPr>
  </w:style>
  <w:style w:type="paragraph" w:styleId="E-Mail-Signatur">
    <w:name w:val="E-mail Signature"/>
    <w:basedOn w:val="Standard"/>
    <w:link w:val="E-Mail-SignaturZchn"/>
    <w:uiPriority w:val="99"/>
    <w:semiHidden/>
    <w:unhideWhenUsed/>
    <w:rsid w:val="0061271A"/>
    <w:pPr>
      <w:spacing w:line="240" w:lineRule="auto"/>
    </w:pPr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EA1B0A"/>
  </w:style>
  <w:style w:type="paragraph" w:styleId="Gruformel">
    <w:name w:val="Closing"/>
    <w:basedOn w:val="Standard"/>
    <w:link w:val="GruformelZchn"/>
    <w:uiPriority w:val="99"/>
    <w:semiHidden/>
    <w:unhideWhenUsed/>
    <w:rsid w:val="0061271A"/>
    <w:pPr>
      <w:ind w:left="4253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EA1B0A"/>
  </w:style>
  <w:style w:type="paragraph" w:styleId="Index2">
    <w:name w:val="index 2"/>
    <w:basedOn w:val="Standard"/>
    <w:next w:val="Standard"/>
    <w:autoRedefine/>
    <w:uiPriority w:val="99"/>
    <w:semiHidden/>
    <w:unhideWhenUsed/>
    <w:rsid w:val="0061271A"/>
    <w:pPr>
      <w:ind w:left="362" w:hanging="181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61271A"/>
    <w:pPr>
      <w:ind w:left="538" w:hanging="181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61271A"/>
    <w:pPr>
      <w:ind w:left="720" w:hanging="181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61271A"/>
    <w:pPr>
      <w:ind w:left="901" w:hanging="181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61271A"/>
    <w:pPr>
      <w:ind w:left="1083" w:hanging="181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61271A"/>
    <w:pPr>
      <w:ind w:left="1258" w:hanging="181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61271A"/>
    <w:pPr>
      <w:ind w:left="1440" w:hanging="181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61271A"/>
    <w:pPr>
      <w:ind w:left="1621" w:hanging="181"/>
    </w:pPr>
  </w:style>
  <w:style w:type="paragraph" w:styleId="Aufzhlungszeichen2">
    <w:name w:val="List Bullet 2"/>
    <w:basedOn w:val="Standard"/>
    <w:uiPriority w:val="99"/>
    <w:semiHidden/>
    <w:unhideWhenUsed/>
    <w:rsid w:val="0061271A"/>
    <w:pPr>
      <w:numPr>
        <w:numId w:val="38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61271A"/>
    <w:pPr>
      <w:numPr>
        <w:numId w:val="39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61271A"/>
    <w:pPr>
      <w:numPr>
        <w:numId w:val="40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61271A"/>
    <w:pPr>
      <w:numPr>
        <w:numId w:val="41"/>
      </w:numPr>
      <w:contextualSpacing/>
    </w:pPr>
  </w:style>
  <w:style w:type="paragraph" w:styleId="Liste">
    <w:name w:val="List"/>
    <w:basedOn w:val="Standard"/>
    <w:uiPriority w:val="99"/>
    <w:semiHidden/>
    <w:unhideWhenUsed/>
    <w:rsid w:val="0061271A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61271A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61271A"/>
    <w:pPr>
      <w:ind w:left="849" w:hanging="283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61271A"/>
    <w:pPr>
      <w:spacing w:after="120"/>
      <w:ind w:left="283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61271A"/>
    <w:pPr>
      <w:spacing w:after="120"/>
      <w:ind w:left="566"/>
      <w:contextualSpacing/>
    </w:pPr>
  </w:style>
  <w:style w:type="paragraph" w:styleId="Listennummer">
    <w:name w:val="List Number"/>
    <w:basedOn w:val="Standard"/>
    <w:uiPriority w:val="98"/>
    <w:unhideWhenUsed/>
    <w:rsid w:val="0061271A"/>
    <w:pPr>
      <w:numPr>
        <w:numId w:val="43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61271A"/>
    <w:pPr>
      <w:numPr>
        <w:numId w:val="44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61271A"/>
    <w:pPr>
      <w:numPr>
        <w:numId w:val="45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61271A"/>
    <w:pPr>
      <w:numPr>
        <w:numId w:val="46"/>
      </w:numPr>
      <w:contextualSpacing/>
    </w:pPr>
  </w:style>
  <w:style w:type="paragraph" w:styleId="Listennummer5">
    <w:name w:val="List Number 5"/>
    <w:basedOn w:val="Standard"/>
    <w:uiPriority w:val="99"/>
    <w:semiHidden/>
    <w:unhideWhenUsed/>
    <w:rsid w:val="0061271A"/>
    <w:pPr>
      <w:numPr>
        <w:numId w:val="47"/>
      </w:numPr>
      <w:contextualSpacing/>
    </w:pPr>
  </w:style>
  <w:style w:type="paragraph" w:customStyle="1" w:styleId="Empfngeradresse">
    <w:name w:val="Empfängeradresse"/>
    <w:basedOn w:val="Standard"/>
    <w:link w:val="EmpfngeradresseZchn"/>
    <w:qFormat/>
    <w:rsid w:val="007D343F"/>
    <w:pPr>
      <w:spacing w:before="0"/>
      <w:ind w:right="3627"/>
    </w:pPr>
  </w:style>
  <w:style w:type="character" w:customStyle="1" w:styleId="EmpfngeradresseZchn">
    <w:name w:val="Empfängeradresse Zchn"/>
    <w:basedOn w:val="Absatz-Standardschriftart"/>
    <w:link w:val="Empfngeradresse"/>
    <w:rsid w:val="007D343F"/>
  </w:style>
  <w:style w:type="paragraph" w:styleId="Listenabsatz">
    <w:name w:val="List Paragraph"/>
    <w:basedOn w:val="Standard"/>
    <w:qFormat/>
    <w:rsid w:val="00A76D14"/>
    <w:pPr>
      <w:ind w:left="720"/>
      <w:contextualSpacing/>
    </w:pPr>
  </w:style>
  <w:style w:type="character" w:styleId="Kommentarzeichen">
    <w:name w:val="annotation reference"/>
    <w:basedOn w:val="Absatz-Standardschriftart"/>
    <w:semiHidden/>
    <w:unhideWhenUsed/>
    <w:rsid w:val="00EA3B52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W:\WU\Daten\EA\12_Vorlagen\EA_Word-Vorlagen\WU-EA-Allgemein_Verdana-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WU-EA-Allgemein_Verdana-EN.dotx</Template>
  <TotalTime>0</TotalTime>
  <Pages>2</Pages>
  <Words>78</Words>
  <Characters>493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Drimmel-Consulting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Ahmadi, Nahida</dc:creator>
  <cp:lastModifiedBy>Hinterleitner, Esther</cp:lastModifiedBy>
  <cp:revision>2</cp:revision>
  <cp:lastPrinted>2009-09-03T08:08:00Z</cp:lastPrinted>
  <dcterms:created xsi:type="dcterms:W3CDTF">2026-04-23T11:00:00Z</dcterms:created>
  <dcterms:modified xsi:type="dcterms:W3CDTF">2026-04-23T11:00:00Z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0x010100BCF651A35DF3154DB01328AF51148DAE</vt:lpwstr>
  </property>
  <property fmtid="{D5CDD505-2E9C-101B-9397-08002B2CF9AE}" pid="3" name="Order">
    <vt:r8>16000</vt:r8>
  </property>
  <property fmtid="{D5CDD505-2E9C-101B-9397-08002B2CF9AE}" pid="4" name="WU Thema">
    <vt:lpwstr>403;#Corporate Design|19895bcd-b158-45ae-ab7b-f5ca217dfcec</vt:lpwstr>
  </property>
  <property fmtid="{D5CDD505-2E9C-101B-9397-08002B2CF9AE}" pid="5" name="Dokumentenart">
    <vt:lpwstr>266;#Vorlagen|17fc50ed-8ad1-47be-ab12-04243fd74ddb</vt:lpwstr>
  </property>
</Properties>
</file>