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3.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FF1A" w14:textId="77777777" w:rsidR="000C68EA" w:rsidRDefault="000C68EA" w:rsidP="000C68EA"/>
    <w:p w14:paraId="54D962F5" w14:textId="77777777" w:rsidR="000C68EA" w:rsidRDefault="000C68EA" w:rsidP="000C68EA"/>
    <w:p w14:paraId="61D0D464" w14:textId="77777777" w:rsidR="00E85014" w:rsidRDefault="00E85014" w:rsidP="000C68EA">
      <w:pPr>
        <w:jc w:val="center"/>
      </w:pPr>
    </w:p>
    <w:p w14:paraId="6DB5FC63" w14:textId="77777777" w:rsidR="004575BB" w:rsidRDefault="004575BB" w:rsidP="004575BB">
      <w:pPr>
        <w:jc w:val="center"/>
      </w:pPr>
      <w:r>
        <w:t>Problems With Predicting IQ From Pathogen Prevalence:</w:t>
      </w:r>
    </w:p>
    <w:p w14:paraId="275D8918" w14:textId="55B3CC6B" w:rsidR="004575BB" w:rsidRDefault="004575BB" w:rsidP="004575BB">
      <w:pPr>
        <w:jc w:val="center"/>
      </w:pPr>
      <w:r>
        <w:t>A Group-Level Re-Analysis in the USA</w:t>
      </w:r>
    </w:p>
    <w:p w14:paraId="5F0F00D9" w14:textId="671EE5AA" w:rsidR="000C68EA" w:rsidRDefault="000C68EA" w:rsidP="000C68EA">
      <w:pPr>
        <w:jc w:val="center"/>
      </w:pPr>
      <w:r>
        <w:t>Jakob J. Peters and Bryan L. Koenig</w:t>
      </w:r>
    </w:p>
    <w:p w14:paraId="5DA07D9D" w14:textId="77777777" w:rsidR="000C68EA" w:rsidRDefault="000C68EA" w:rsidP="000C68EA">
      <w:pPr>
        <w:jc w:val="center"/>
      </w:pPr>
      <w:r>
        <w:t>Southern Utah University</w:t>
      </w:r>
    </w:p>
    <w:p w14:paraId="70FFE8BE" w14:textId="77777777" w:rsidR="000C68EA" w:rsidRDefault="000C68EA" w:rsidP="000C68EA">
      <w:pPr>
        <w:jc w:val="center"/>
      </w:pPr>
    </w:p>
    <w:p w14:paraId="2490B2C4" w14:textId="77777777" w:rsidR="000C68EA" w:rsidRDefault="000C68EA" w:rsidP="000C68EA"/>
    <w:p w14:paraId="5E26D8DA" w14:textId="77777777" w:rsidR="000C68EA" w:rsidRDefault="000C68EA" w:rsidP="000C68EA"/>
    <w:p w14:paraId="135A0042" w14:textId="77777777" w:rsidR="000C68EA" w:rsidRDefault="000C68EA" w:rsidP="000C68EA"/>
    <w:p w14:paraId="7EC8AE60" w14:textId="77777777" w:rsidR="000C68EA" w:rsidRDefault="000C68EA" w:rsidP="000C68EA"/>
    <w:p w14:paraId="0CDAAD80" w14:textId="77777777" w:rsidR="000C68EA" w:rsidRDefault="000C68EA" w:rsidP="000C68EA"/>
    <w:p w14:paraId="3C3EAEFD" w14:textId="77777777" w:rsidR="000C68EA" w:rsidRDefault="000C68EA" w:rsidP="000C68EA"/>
    <w:p w14:paraId="4BCBEF2F" w14:textId="77777777" w:rsidR="000C68EA" w:rsidRDefault="000C68EA" w:rsidP="000C68EA">
      <w:pPr>
        <w:jc w:val="center"/>
      </w:pPr>
      <w:r>
        <w:t>Author Note</w:t>
      </w:r>
    </w:p>
    <w:p w14:paraId="69A3BEA8" w14:textId="77777777" w:rsidR="000C68EA" w:rsidRDefault="000C68EA" w:rsidP="000C68EA">
      <w:r>
        <w:tab/>
      </w:r>
      <w:bookmarkStart w:id="0" w:name="_Hlk7001856"/>
      <w:r>
        <w:t>Jakob J. Peters and Bryan L. Koenig. Department of Psychology, Southern Utah University.</w:t>
      </w:r>
    </w:p>
    <w:p w14:paraId="74C851F2" w14:textId="4A37497B" w:rsidR="000C68EA" w:rsidRDefault="000C68EA" w:rsidP="002F378D">
      <w:pPr>
        <w:ind w:left="720" w:hanging="720"/>
      </w:pPr>
      <w:r>
        <w:tab/>
        <w:t>Correspondence concerning this paper should be addressed to Bryan L. Koenig, Department of Psychology, Southern Utah University, General Classrooms 308</w:t>
      </w:r>
      <w:r w:rsidR="00DF4E35">
        <w:t>D</w:t>
      </w:r>
      <w:r>
        <w:t>, 351 W University Blvd., Cedar City, Utah 84720</w:t>
      </w:r>
      <w:r w:rsidR="00853D83">
        <w:t>, USA</w:t>
      </w:r>
      <w:r>
        <w:t xml:space="preserve">. Email: </w:t>
      </w:r>
      <w:r w:rsidRPr="00435EE5">
        <w:t>bryankoenig@suu.edu</w:t>
      </w:r>
      <w:r>
        <w:t>.</w:t>
      </w:r>
      <w:bookmarkEnd w:id="0"/>
    </w:p>
    <w:p w14:paraId="680DB5F5" w14:textId="05466336" w:rsidR="006E5F97" w:rsidRDefault="00C6249B" w:rsidP="008E7009">
      <w:r>
        <w:br w:type="page"/>
      </w:r>
    </w:p>
    <w:p w14:paraId="667536DF" w14:textId="77777777" w:rsidR="006E5F97" w:rsidRPr="006E5F97" w:rsidRDefault="006E5F97" w:rsidP="006E5F97">
      <w:pPr>
        <w:jc w:val="center"/>
        <w:rPr>
          <w:rFonts w:eastAsia="Calibri"/>
        </w:rPr>
      </w:pPr>
      <w:r w:rsidRPr="006E5F97">
        <w:rPr>
          <w:rFonts w:eastAsia="Calibri"/>
        </w:rPr>
        <w:lastRenderedPageBreak/>
        <w:t>Abstract</w:t>
      </w:r>
    </w:p>
    <w:p w14:paraId="00CD1C60" w14:textId="77777777" w:rsidR="008E7009" w:rsidRDefault="006E5F97" w:rsidP="006E5F97">
      <w:pPr>
        <w:rPr>
          <w:rFonts w:eastAsia="Calibri"/>
        </w:rPr>
      </w:pPr>
      <w:r w:rsidRPr="006E5F97">
        <w:rPr>
          <w:rFonts w:eastAsia="Calibri"/>
        </w:rPr>
        <w:t xml:space="preserve">Analyzing aggregate data may produce inaccurate inferences if the research question is about phenomena at a non-aggregate level. Previous research has shown this </w:t>
      </w:r>
      <w:proofErr w:type="spellStart"/>
      <w:r w:rsidRPr="006E5F97">
        <w:rPr>
          <w:rFonts w:eastAsia="Calibri"/>
        </w:rPr>
        <w:t>misaggregation</w:t>
      </w:r>
      <w:proofErr w:type="spellEnd"/>
      <w:r w:rsidRPr="006E5F97">
        <w:rPr>
          <w:rFonts w:eastAsia="Calibri"/>
        </w:rPr>
        <w:t xml:space="preserve"> to have occurred in Fincher and Thornhill’s (2012a) use of Parasite Stress USA, an index ostensibly of pathogen prevalence but whose variation results mostly from the percent of state residents who are black (Hackman &amp; </w:t>
      </w:r>
      <w:proofErr w:type="spellStart"/>
      <w:r w:rsidRPr="006E5F97">
        <w:rPr>
          <w:rFonts w:eastAsia="Calibri"/>
        </w:rPr>
        <w:t>Hruschka</w:t>
      </w:r>
      <w:proofErr w:type="spellEnd"/>
      <w:r w:rsidRPr="006E5F97">
        <w:rPr>
          <w:rFonts w:eastAsia="Calibri"/>
        </w:rPr>
        <w:t xml:space="preserve">, 2013; Koenig, van Leeuwen, &amp; Park, 2017). The current paper highlights how </w:t>
      </w:r>
      <w:proofErr w:type="spellStart"/>
      <w:r w:rsidRPr="006E5F97">
        <w:rPr>
          <w:rFonts w:eastAsia="Calibri"/>
        </w:rPr>
        <w:t>misaggregation</w:t>
      </w:r>
      <w:proofErr w:type="spellEnd"/>
      <w:r w:rsidRPr="006E5F97">
        <w:rPr>
          <w:rFonts w:eastAsia="Calibri"/>
        </w:rPr>
        <w:t xml:space="preserve"> can be problematic by re-evaluating the use of this index in </w:t>
      </w:r>
      <w:proofErr w:type="spellStart"/>
      <w:r w:rsidRPr="006E5F97">
        <w:rPr>
          <w:rFonts w:eastAsia="Calibri"/>
        </w:rPr>
        <w:t>Eppig</w:t>
      </w:r>
      <w:proofErr w:type="spellEnd"/>
      <w:r w:rsidRPr="006E5F97">
        <w:rPr>
          <w:rFonts w:eastAsia="Calibri"/>
        </w:rPr>
        <w:t>, Fincher, &amp; Thornhill’s (2011) reported association (</w:t>
      </w:r>
      <w:r w:rsidRPr="006E5F97">
        <w:rPr>
          <w:rFonts w:eastAsia="Calibri"/>
          <w:i/>
        </w:rPr>
        <w:t>r</w:t>
      </w:r>
      <w:r w:rsidRPr="006E5F97">
        <w:rPr>
          <w:rFonts w:eastAsia="Calibri"/>
        </w:rPr>
        <w:t xml:space="preserve"> = -.67) between Parasite Stress USA and state IQ. We re-analyzed the state-level data controlling for racial/ethnic subgroups using group-mean-centered variables. We found that (a) the association between pathogen prevalence and IQ is </w:t>
      </w:r>
      <w:proofErr w:type="spellStart"/>
      <w:r w:rsidRPr="006E5F97">
        <w:rPr>
          <w:rFonts w:eastAsia="Calibri"/>
        </w:rPr>
        <w:t>misaggregated</w:t>
      </w:r>
      <w:proofErr w:type="spellEnd"/>
      <w:r w:rsidRPr="006E5F97">
        <w:rPr>
          <w:rFonts w:eastAsia="Calibri"/>
        </w:rPr>
        <w:t xml:space="preserve"> across racial/ethnic subgroups, (b) when predicting IQ, racial/ethnic subgroups alone explained slightly more variance (</w:t>
      </w:r>
      <w:r w:rsidRPr="006E5F97">
        <w:rPr>
          <w:rFonts w:eastAsia="Calibri"/>
          <w:szCs w:val="24"/>
        </w:rPr>
        <w:t xml:space="preserve">adj. </w:t>
      </w:r>
      <w:r w:rsidRPr="006E5F97">
        <w:rPr>
          <w:rFonts w:eastAsia="Calibri"/>
          <w:i/>
          <w:iCs/>
          <w:szCs w:val="24"/>
        </w:rPr>
        <w:t>R</w:t>
      </w:r>
      <w:r w:rsidRPr="006E5F97">
        <w:rPr>
          <w:rFonts w:eastAsia="Calibri"/>
          <w:szCs w:val="24"/>
          <w:vertAlign w:val="superscript"/>
        </w:rPr>
        <w:t>2</w:t>
      </w:r>
      <w:r w:rsidRPr="006E5F97">
        <w:rPr>
          <w:rFonts w:eastAsia="Calibri"/>
        </w:rPr>
        <w:t xml:space="preserve"> = .79) than pathogen prevalence alone (</w:t>
      </w:r>
      <w:r w:rsidRPr="006E5F97">
        <w:rPr>
          <w:rFonts w:eastAsia="Calibri"/>
          <w:szCs w:val="24"/>
        </w:rPr>
        <w:t xml:space="preserve">adj. </w:t>
      </w:r>
      <w:r w:rsidRPr="006E5F97">
        <w:rPr>
          <w:rFonts w:eastAsia="Calibri"/>
          <w:i/>
          <w:iCs/>
          <w:szCs w:val="24"/>
        </w:rPr>
        <w:t>R</w:t>
      </w:r>
      <w:r w:rsidRPr="006E5F97">
        <w:rPr>
          <w:rFonts w:eastAsia="Calibri"/>
          <w:szCs w:val="24"/>
          <w:vertAlign w:val="superscript"/>
        </w:rPr>
        <w:t>2</w:t>
      </w:r>
      <w:r w:rsidRPr="006E5F97">
        <w:rPr>
          <w:rFonts w:eastAsia="Calibri"/>
        </w:rPr>
        <w:t xml:space="preserve"> = .75), (c) while controlling for racial/ethnic subgroups, the strength of association between pathogen prevalence and IQ (</w:t>
      </w:r>
      <w:r w:rsidRPr="006E5F97">
        <w:rPr>
          <w:rFonts w:eastAsia="Calibri"/>
          <w:szCs w:val="24"/>
        </w:rPr>
        <w:t>std. β</w:t>
      </w:r>
      <w:r w:rsidRPr="006E5F97">
        <w:rPr>
          <w:rFonts w:eastAsia="Calibri"/>
        </w:rPr>
        <w:t xml:space="preserve"> = -.33) is substantially weaker than that reported by </w:t>
      </w:r>
      <w:proofErr w:type="spellStart"/>
      <w:r w:rsidRPr="006E5F97">
        <w:rPr>
          <w:rFonts w:eastAsia="Calibri"/>
        </w:rPr>
        <w:t>Eppig</w:t>
      </w:r>
      <w:proofErr w:type="spellEnd"/>
      <w:r w:rsidRPr="006E5F97">
        <w:rPr>
          <w:rFonts w:eastAsia="Calibri"/>
        </w:rPr>
        <w:t xml:space="preserve"> and colleagues (2011), and (d) after accounting for the proportion of variance explained by racial/ethnic subgroup, wealth, and life expectancy, pathogen prevalence uniquely explained only 7% of the variance in IQ. Given the apparent trend of systematic overestimation of effect sizes in publications reporting associations at the aggregate level, we advise researchers, editors, and reviewers to be skeptical of effect sizes resulting from correlations at the incorrect level of analysis.</w:t>
      </w:r>
    </w:p>
    <w:p w14:paraId="39C704B8" w14:textId="7858C6BC" w:rsidR="006E5F97" w:rsidRPr="006E5F97" w:rsidRDefault="006E5F97" w:rsidP="006E5F97">
      <w:pPr>
        <w:rPr>
          <w:rFonts w:eastAsia="Calibri"/>
        </w:rPr>
      </w:pPr>
      <w:r w:rsidRPr="006E5F97">
        <w:rPr>
          <w:rFonts w:eastAsia="Calibri"/>
        </w:rPr>
        <w:br w:type="page"/>
      </w:r>
    </w:p>
    <w:p w14:paraId="230CDC6A" w14:textId="77777777" w:rsidR="006E5F97" w:rsidRPr="006E5F97" w:rsidRDefault="006E5F97" w:rsidP="006E5F97">
      <w:pPr>
        <w:jc w:val="center"/>
        <w:rPr>
          <w:rFonts w:eastAsia="Calibri"/>
        </w:rPr>
      </w:pPr>
      <w:r w:rsidRPr="006E5F97">
        <w:rPr>
          <w:rFonts w:eastAsia="Calibri"/>
        </w:rPr>
        <w:t>Problems With Predicting IQ From Pathogen Prevalence:</w:t>
      </w:r>
    </w:p>
    <w:p w14:paraId="3F70929E" w14:textId="77777777" w:rsidR="006E5F97" w:rsidRPr="006E5F97" w:rsidRDefault="006E5F97" w:rsidP="006E5F97">
      <w:pPr>
        <w:jc w:val="center"/>
        <w:rPr>
          <w:rFonts w:eastAsia="Calibri"/>
        </w:rPr>
      </w:pPr>
      <w:r w:rsidRPr="006E5F97">
        <w:rPr>
          <w:rFonts w:eastAsia="Calibri"/>
        </w:rPr>
        <w:t>A Group-Level Re-Analysis in the USA</w:t>
      </w:r>
    </w:p>
    <w:p w14:paraId="5CB59582" w14:textId="77777777" w:rsidR="006E5F97" w:rsidRPr="006E5F97" w:rsidRDefault="006E5F97" w:rsidP="006E5F97">
      <w:pPr>
        <w:rPr>
          <w:rFonts w:eastAsia="Calibri"/>
        </w:rPr>
      </w:pPr>
      <w:r w:rsidRPr="006E5F97">
        <w:rPr>
          <w:rFonts w:eastAsia="Calibri"/>
        </w:rPr>
        <w:tab/>
      </w:r>
      <w:proofErr w:type="spellStart"/>
      <w:r w:rsidRPr="006E5F97">
        <w:rPr>
          <w:rFonts w:eastAsia="Calibri"/>
        </w:rPr>
        <w:t>Misaggregation</w:t>
      </w:r>
      <w:proofErr w:type="spellEnd"/>
      <w:r w:rsidRPr="006E5F97">
        <w:rPr>
          <w:rFonts w:eastAsia="Calibri"/>
        </w:rPr>
        <w:t xml:space="preserve"> occurs when analyses with aggregated data lead to invalid conclusions with respect to individual-level data (Koenig, van Leeuwen, &amp; Park, 2017). Aggregation can simplify data collection and analyses, but the inherent loss of information may undermine the validity of resulting claims. We use the term </w:t>
      </w:r>
      <w:proofErr w:type="spellStart"/>
      <w:r w:rsidRPr="006E5F97">
        <w:rPr>
          <w:rFonts w:eastAsia="Calibri"/>
          <w:i/>
        </w:rPr>
        <w:t>misaggregation</w:t>
      </w:r>
      <w:proofErr w:type="spellEnd"/>
      <w:r w:rsidRPr="006E5F97">
        <w:rPr>
          <w:rFonts w:eastAsia="Calibri"/>
        </w:rPr>
        <w:t xml:space="preserve"> to refer to erroneous aggregation of non-collapsible data. A measure of association is non-collapsible if the aggregated measure of association differs from the weighted average of the stratified measures of association (</w:t>
      </w:r>
      <w:proofErr w:type="spellStart"/>
      <w:r w:rsidRPr="006E5F97">
        <w:rPr>
          <w:rFonts w:eastAsia="Calibri"/>
        </w:rPr>
        <w:t>Huitfeldt</w:t>
      </w:r>
      <w:proofErr w:type="spellEnd"/>
      <w:r w:rsidRPr="006E5F97">
        <w:rPr>
          <w:rFonts w:eastAsia="Calibri"/>
        </w:rPr>
        <w:t xml:space="preserve">, </w:t>
      </w:r>
      <w:proofErr w:type="spellStart"/>
      <w:r w:rsidRPr="006E5F97">
        <w:rPr>
          <w:rFonts w:eastAsia="Calibri"/>
        </w:rPr>
        <w:t>Stensrud</w:t>
      </w:r>
      <w:proofErr w:type="spellEnd"/>
      <w:r w:rsidRPr="006E5F97">
        <w:rPr>
          <w:rFonts w:eastAsia="Calibri"/>
        </w:rPr>
        <w:t xml:space="preserve">, &amp; Suzuki, 2019). Non-collapsibility causes several related phenomena, including the widely known Simpson’s paradox (Simpson, 1951) and the ecological fallacy (Robinson, 1950). In application, non-collapsibility becomes troublesome when researchers make inaccurate claims based on analyses of aggregated data. The presence of </w:t>
      </w:r>
      <w:proofErr w:type="spellStart"/>
      <w:r w:rsidRPr="006E5F97">
        <w:rPr>
          <w:rFonts w:eastAsia="Calibri"/>
        </w:rPr>
        <w:t>misaggregation</w:t>
      </w:r>
      <w:proofErr w:type="spellEnd"/>
      <w:r w:rsidRPr="006E5F97">
        <w:rPr>
          <w:rFonts w:eastAsia="Calibri"/>
        </w:rPr>
        <w:t xml:space="preserve"> in any situation depends on whether the association demonstrates non-collapsibility and whether aggregated analysis is the correct representation of the purported association. The scope of </w:t>
      </w:r>
      <w:proofErr w:type="spellStart"/>
      <w:r w:rsidRPr="006E5F97">
        <w:rPr>
          <w:rFonts w:eastAsia="Calibri"/>
        </w:rPr>
        <w:t>misaggregation</w:t>
      </w:r>
      <w:proofErr w:type="spellEnd"/>
      <w:r w:rsidRPr="006E5F97">
        <w:rPr>
          <w:rFonts w:eastAsia="Calibri"/>
        </w:rPr>
        <w:t xml:space="preserve"> includes a full reversal in direction of an association, an elimination of an association, or a diminishment/ enhancement of an association’s strength.</w:t>
      </w:r>
    </w:p>
    <w:p w14:paraId="3D357B76" w14:textId="77777777" w:rsidR="006E5F97" w:rsidRPr="006E5F97" w:rsidRDefault="006E5F97" w:rsidP="006E5F97">
      <w:pPr>
        <w:ind w:firstLine="720"/>
        <w:rPr>
          <w:rFonts w:eastAsia="Calibri"/>
        </w:rPr>
      </w:pPr>
      <w:r w:rsidRPr="006E5F97">
        <w:rPr>
          <w:rFonts w:eastAsia="Calibri"/>
        </w:rPr>
        <w:t xml:space="preserve">A well-known example of </w:t>
      </w:r>
      <w:proofErr w:type="spellStart"/>
      <w:r w:rsidRPr="006E5F97">
        <w:rPr>
          <w:rFonts w:eastAsia="Calibri"/>
        </w:rPr>
        <w:t>misaggregation</w:t>
      </w:r>
      <w:proofErr w:type="spellEnd"/>
      <w:r w:rsidRPr="006E5F97">
        <w:rPr>
          <w:rFonts w:eastAsia="Calibri"/>
        </w:rPr>
        <w:t xml:space="preserve"> is when UC Berkeley graduate admissions data was misinterpreted to show a gender bias. In 1973, 44% of male applicants gained admission schoolwide, whereas only 35% of female applicants gained admission. Bickel, Hammel, and </w:t>
      </w:r>
      <w:proofErr w:type="spellStart"/>
      <w:r w:rsidRPr="006E5F97">
        <w:rPr>
          <w:rFonts w:eastAsia="Calibri"/>
        </w:rPr>
        <w:t>O’Connel</w:t>
      </w:r>
      <w:proofErr w:type="spellEnd"/>
      <w:r w:rsidRPr="006E5F97">
        <w:rPr>
          <w:rFonts w:eastAsia="Calibri"/>
        </w:rPr>
        <w:t xml:space="preserve"> (1975) found no evidence of discrimination when the data was analyzed at the department-level because women tended to apply to more competitive departments than men. By doing so, fewer women overall gained admission while men were more readily accepted into less competitive departments. In this case, UC Berkeley’s graduate admissions data was </w:t>
      </w:r>
      <w:proofErr w:type="spellStart"/>
      <w:r w:rsidRPr="006E5F97">
        <w:rPr>
          <w:rFonts w:eastAsia="Calibri"/>
        </w:rPr>
        <w:t>misaggregated</w:t>
      </w:r>
      <w:proofErr w:type="spellEnd"/>
      <w:r w:rsidRPr="006E5F97">
        <w:rPr>
          <w:rFonts w:eastAsia="Calibri"/>
        </w:rPr>
        <w:t xml:space="preserve"> across departments. Other scenarios may demonstrate non-collapsibility, but not be </w:t>
      </w:r>
      <w:proofErr w:type="spellStart"/>
      <w:r w:rsidRPr="006E5F97">
        <w:rPr>
          <w:rFonts w:eastAsia="Calibri"/>
        </w:rPr>
        <w:t>misaggregated</w:t>
      </w:r>
      <w:proofErr w:type="spellEnd"/>
      <w:r w:rsidRPr="006E5F97">
        <w:rPr>
          <w:rFonts w:eastAsia="Calibri"/>
        </w:rPr>
        <w:t xml:space="preserve"> if the aggregated data is the correct level of analysis. For example, it is valid to say that UC Berkeley admitted a higher percentage of male applicants than female applicants to their graduate programs in 1973. The current paper highlights how </w:t>
      </w:r>
      <w:proofErr w:type="spellStart"/>
      <w:r w:rsidRPr="006E5F97">
        <w:rPr>
          <w:rFonts w:eastAsia="Calibri"/>
        </w:rPr>
        <w:t>misaggregation</w:t>
      </w:r>
      <w:proofErr w:type="spellEnd"/>
      <w:r w:rsidRPr="006E5F97">
        <w:rPr>
          <w:rFonts w:eastAsia="Calibri"/>
        </w:rPr>
        <w:t xml:space="preserve"> can be problematic for researchers. It does so by re-analyzing a previous finding based on aggregated data.</w:t>
      </w:r>
    </w:p>
    <w:p w14:paraId="47CE3289" w14:textId="77777777" w:rsidR="006E5F97" w:rsidRPr="006E5F97" w:rsidRDefault="006E5F97" w:rsidP="006E5F97">
      <w:pPr>
        <w:jc w:val="center"/>
        <w:rPr>
          <w:rFonts w:eastAsia="Calibri"/>
          <w:b/>
          <w:bCs/>
        </w:rPr>
      </w:pPr>
      <w:r w:rsidRPr="006E5F97">
        <w:rPr>
          <w:rFonts w:eastAsia="Calibri"/>
          <w:b/>
          <w:bCs/>
        </w:rPr>
        <w:t>Parasite Stress Theory</w:t>
      </w:r>
    </w:p>
    <w:p w14:paraId="4C759559" w14:textId="77777777" w:rsidR="006E5F97" w:rsidRPr="006E5F97" w:rsidRDefault="006E5F97" w:rsidP="006E5F97">
      <w:pPr>
        <w:rPr>
          <w:rFonts w:eastAsia="Calibri"/>
        </w:rPr>
      </w:pPr>
      <w:r w:rsidRPr="006E5F97">
        <w:rPr>
          <w:rFonts w:eastAsia="Calibri"/>
        </w:rPr>
        <w:tab/>
        <w:t xml:space="preserve">Parasite stress theory is a compelling example for which analyses of aggregated data have been frequently published. This theory posits that historical trends of parasite stress have broadly impacted human cultures, values, and behaviors (Fincher, Thornhill, Murray, &amp; Schaller, 2008; Schaller &amp; Murray, 2008; Thornhill, Fincher, Murray, &amp; Schaller, 2010). Indeed, parasite stress theory has been proposed as a general theory of culture and sociality (Fincher &amp; Thornhill, 2012b; Thornhill &amp; Fincher, 2014, 2015). However, scholars have leveled numerous criticisms on the theoretical foundation of parasite stress theory and its empirical support, such as failure to adequately investigate alternative hypotheses (Figueredo, Gladden, &amp; Black, 2012; Hackman &amp; </w:t>
      </w:r>
      <w:proofErr w:type="spellStart"/>
      <w:r w:rsidRPr="006E5F97">
        <w:rPr>
          <w:rFonts w:eastAsia="Calibri"/>
        </w:rPr>
        <w:t>Hruschka</w:t>
      </w:r>
      <w:proofErr w:type="spellEnd"/>
      <w:r w:rsidRPr="006E5F97">
        <w:rPr>
          <w:rFonts w:eastAsia="Calibri"/>
        </w:rPr>
        <w:t xml:space="preserve">, 2013). Other criticisms point to statistical concerns, with variation in cultural traits accounted for by factors other than parasite stress such as non-independence in the data, non-equivalence of measurement, non-representative samples, </w:t>
      </w:r>
      <w:proofErr w:type="spellStart"/>
      <w:r w:rsidRPr="006E5F97">
        <w:rPr>
          <w:rFonts w:eastAsia="Calibri"/>
        </w:rPr>
        <w:t>misaggregation</w:t>
      </w:r>
      <w:proofErr w:type="spellEnd"/>
      <w:r w:rsidRPr="006E5F97">
        <w:rPr>
          <w:rFonts w:eastAsia="Calibri"/>
        </w:rPr>
        <w:t xml:space="preserve">, clustered data, and confounding/covariation (Bromham, Hua, Cardillo, Schneemann, &amp; Greenhill, 2018; Currie &amp; Mace, 2012; Hackman &amp; </w:t>
      </w:r>
      <w:proofErr w:type="spellStart"/>
      <w:r w:rsidRPr="006E5F97">
        <w:rPr>
          <w:rFonts w:eastAsia="Calibri"/>
        </w:rPr>
        <w:t>Hruschka</w:t>
      </w:r>
      <w:proofErr w:type="spellEnd"/>
      <w:r w:rsidRPr="006E5F97">
        <w:rPr>
          <w:rFonts w:eastAsia="Calibri"/>
        </w:rPr>
        <w:t xml:space="preserve">, 2013; </w:t>
      </w:r>
      <w:proofErr w:type="spellStart"/>
      <w:r w:rsidRPr="006E5F97">
        <w:rPr>
          <w:rFonts w:eastAsia="Calibri"/>
        </w:rPr>
        <w:t>Hruschka</w:t>
      </w:r>
      <w:proofErr w:type="spellEnd"/>
      <w:r w:rsidRPr="006E5F97">
        <w:rPr>
          <w:rFonts w:eastAsia="Calibri"/>
        </w:rPr>
        <w:t xml:space="preserve"> &amp; Hackman, 2014; Koenig, van Leeuwen, &amp; Park, 2017; </w:t>
      </w:r>
      <w:proofErr w:type="spellStart"/>
      <w:r w:rsidRPr="006E5F97">
        <w:rPr>
          <w:rFonts w:eastAsia="Calibri"/>
        </w:rPr>
        <w:t>Pollet</w:t>
      </w:r>
      <w:proofErr w:type="spellEnd"/>
      <w:r w:rsidRPr="006E5F97">
        <w:rPr>
          <w:rFonts w:eastAsia="Calibri"/>
        </w:rPr>
        <w:t xml:space="preserve">, </w:t>
      </w:r>
      <w:proofErr w:type="spellStart"/>
      <w:r w:rsidRPr="006E5F97">
        <w:rPr>
          <w:rFonts w:eastAsia="Calibri"/>
        </w:rPr>
        <w:t>Tybur</w:t>
      </w:r>
      <w:proofErr w:type="spellEnd"/>
      <w:r w:rsidRPr="006E5F97">
        <w:rPr>
          <w:rFonts w:eastAsia="Calibri"/>
        </w:rPr>
        <w:t xml:space="preserve">, </w:t>
      </w:r>
      <w:proofErr w:type="spellStart"/>
      <w:r w:rsidRPr="006E5F97">
        <w:rPr>
          <w:rFonts w:eastAsia="Calibri"/>
        </w:rPr>
        <w:t>Frankenhuis</w:t>
      </w:r>
      <w:proofErr w:type="spellEnd"/>
      <w:r w:rsidRPr="006E5F97">
        <w:rPr>
          <w:rFonts w:eastAsia="Calibri"/>
        </w:rPr>
        <w:t xml:space="preserve">, &amp; Rickard, 2014; Van de </w:t>
      </w:r>
      <w:proofErr w:type="spellStart"/>
      <w:r w:rsidRPr="006E5F97">
        <w:rPr>
          <w:rFonts w:eastAsia="Calibri"/>
        </w:rPr>
        <w:t>Vliert</w:t>
      </w:r>
      <w:proofErr w:type="spellEnd"/>
      <w:r w:rsidRPr="006E5F97">
        <w:rPr>
          <w:rFonts w:eastAsia="Calibri"/>
        </w:rPr>
        <w:t xml:space="preserve">, &amp; </w:t>
      </w:r>
      <w:proofErr w:type="spellStart"/>
      <w:r w:rsidRPr="006E5F97">
        <w:rPr>
          <w:rFonts w:eastAsia="Calibri"/>
        </w:rPr>
        <w:t>Postmes</w:t>
      </w:r>
      <w:proofErr w:type="spellEnd"/>
      <w:r w:rsidRPr="006E5F97">
        <w:rPr>
          <w:rFonts w:eastAsia="Calibri"/>
        </w:rPr>
        <w:t>, 2012). Each of these criticisms could affect the validity of parasite stress theory’s research if not properly addressed.</w:t>
      </w:r>
    </w:p>
    <w:p w14:paraId="55EF6088" w14:textId="77777777" w:rsidR="006E5F97" w:rsidRPr="006E5F97" w:rsidRDefault="006E5F97" w:rsidP="006E5F97">
      <w:pPr>
        <w:rPr>
          <w:rFonts w:eastAsia="Calibri"/>
          <w:b/>
          <w:bCs/>
          <w:iCs/>
        </w:rPr>
      </w:pPr>
      <w:r w:rsidRPr="006E5F97">
        <w:rPr>
          <w:rFonts w:eastAsia="Calibri"/>
          <w:b/>
          <w:bCs/>
          <w:i/>
        </w:rPr>
        <w:t>Parasite Stress USA</w:t>
      </w:r>
    </w:p>
    <w:p w14:paraId="5B571C25" w14:textId="77777777" w:rsidR="006E5F97" w:rsidRPr="006E5F97" w:rsidRDefault="006E5F97" w:rsidP="006E5F97">
      <w:pPr>
        <w:ind w:firstLine="720"/>
        <w:rPr>
          <w:rFonts w:eastAsia="Calibri"/>
        </w:rPr>
      </w:pPr>
      <w:r w:rsidRPr="006E5F97">
        <w:rPr>
          <w:rFonts w:eastAsia="Calibri"/>
        </w:rPr>
        <w:t xml:space="preserve">Fincher and Thornhill (2012a) created an index of state-level pathogen prevalence in the United States—Parasite Stress USA—which has been used to support parasite stress theory. However, Hackman and </w:t>
      </w:r>
      <w:proofErr w:type="spellStart"/>
      <w:r w:rsidRPr="006E5F97">
        <w:rPr>
          <w:rFonts w:eastAsia="Calibri"/>
        </w:rPr>
        <w:t>Hruschka</w:t>
      </w:r>
      <w:proofErr w:type="spellEnd"/>
      <w:r w:rsidRPr="006E5F97">
        <w:rPr>
          <w:rFonts w:eastAsia="Calibri"/>
        </w:rPr>
        <w:t xml:space="preserve"> (2013) found that black people in the United States have substantially different rates of pathogen prevalence within states as compared with white people, so the percentage of black residents within a state (hereafter “percent black”) disproportionally affects that state’s aggregate pathogen rate. Koenig and colleagues (2017) further demonstrated that Parasite Stress USA is </w:t>
      </w:r>
      <w:proofErr w:type="spellStart"/>
      <w:r w:rsidRPr="006E5F97">
        <w:rPr>
          <w:rFonts w:eastAsia="Calibri"/>
        </w:rPr>
        <w:t>misaggregated</w:t>
      </w:r>
      <w:proofErr w:type="spellEnd"/>
      <w:r w:rsidRPr="006E5F97">
        <w:rPr>
          <w:rFonts w:eastAsia="Calibri"/>
        </w:rPr>
        <w:t xml:space="preserve"> via the use of four red-flag checks. Parasite Stress USA failed all four red-flag checks, suggesting that the literature may contain erroneous results from publications using Parasite Stress USA or similar measures. One candidate is the predicted negative association between parasite stress and intelligence (</w:t>
      </w:r>
      <w:proofErr w:type="spellStart"/>
      <w:r w:rsidRPr="006E5F97">
        <w:rPr>
          <w:rFonts w:eastAsia="Calibri"/>
        </w:rPr>
        <w:t>Eppig</w:t>
      </w:r>
      <w:proofErr w:type="spellEnd"/>
      <w:r w:rsidRPr="006E5F97">
        <w:rPr>
          <w:rFonts w:eastAsia="Calibri"/>
        </w:rPr>
        <w:t>, Fincher, &amp; Thornhill, 2011; hereafter “EFT”). For that association, the researchers reasoned that since the human brain is metabolically expensive to develop and maintain, fending off pathogens leaves fewer metabolic resources available for brain development and maintenance. Geographic areas with high pathogen prevalence are thus predicted to have worse cognitive ability.</w:t>
      </w:r>
    </w:p>
    <w:p w14:paraId="37DF9002" w14:textId="77777777" w:rsidR="006E5F97" w:rsidRPr="006E5F97" w:rsidRDefault="006E5F97" w:rsidP="006E5F97">
      <w:pPr>
        <w:ind w:firstLine="720"/>
        <w:rPr>
          <w:rFonts w:eastAsia="Calibri"/>
        </w:rPr>
      </w:pPr>
      <w:r w:rsidRPr="006E5F97">
        <w:rPr>
          <w:rFonts w:eastAsia="Calibri"/>
        </w:rPr>
        <w:t>Supporting this prediction, EFT reported a strong negative association between Parasite Stress USA and state-level IQ, even when controlling for wealth and education. The researchers did not control for racial/ethnic subgroups in their analyses, citing three reasons. First, they discount the importance of percent black because its distribution closely follows climate-related variation in pathogen prevalence. Second, percent black correlated more with Parasite Stress USA (</w:t>
      </w:r>
      <w:r w:rsidRPr="006E5F97">
        <w:rPr>
          <w:rFonts w:eastAsia="Calibri"/>
          <w:i/>
          <w:iCs/>
        </w:rPr>
        <w:t>r</w:t>
      </w:r>
      <w:r w:rsidRPr="006E5F97">
        <w:rPr>
          <w:rFonts w:eastAsia="Calibri"/>
        </w:rPr>
        <w:t xml:space="preserve"> = .90, </w:t>
      </w:r>
      <w:r w:rsidRPr="006E5F97">
        <w:rPr>
          <w:rFonts w:eastAsia="Calibri"/>
          <w:i/>
          <w:iCs/>
        </w:rPr>
        <w:t>p</w:t>
      </w:r>
      <w:r w:rsidRPr="006E5F97">
        <w:rPr>
          <w:rFonts w:eastAsia="Calibri"/>
        </w:rPr>
        <w:t xml:space="preserve"> &lt; .001, N = 50) than with state IQ (</w:t>
      </w:r>
      <w:r w:rsidRPr="006E5F97">
        <w:rPr>
          <w:rFonts w:eastAsia="Calibri"/>
          <w:i/>
          <w:iCs/>
        </w:rPr>
        <w:t>r</w:t>
      </w:r>
      <w:r w:rsidRPr="006E5F97">
        <w:rPr>
          <w:rFonts w:eastAsia="Calibri"/>
        </w:rPr>
        <w:t xml:space="preserve"> = -.51, </w:t>
      </w:r>
      <w:r w:rsidRPr="006E5F97">
        <w:rPr>
          <w:rFonts w:eastAsia="Calibri"/>
          <w:i/>
          <w:iCs/>
        </w:rPr>
        <w:t>p</w:t>
      </w:r>
      <w:r w:rsidRPr="006E5F97">
        <w:rPr>
          <w:rFonts w:eastAsia="Calibri"/>
        </w:rPr>
        <w:t xml:space="preserve"> &lt; .001, N = 50). Finally, percent black added little additional explanatory power (</w:t>
      </w:r>
      <w:r w:rsidRPr="006E5F97">
        <w:rPr>
          <w:rFonts w:eastAsia="Calibri"/>
          <w:i/>
          <w:iCs/>
        </w:rPr>
        <w:t>R</w:t>
      </w:r>
      <w:r w:rsidRPr="006E5F97">
        <w:rPr>
          <w:rFonts w:eastAsia="Calibri"/>
          <w:vertAlign w:val="superscript"/>
        </w:rPr>
        <w:t>2</w:t>
      </w:r>
      <w:r w:rsidRPr="006E5F97">
        <w:rPr>
          <w:rFonts w:eastAsia="Calibri"/>
        </w:rPr>
        <w:t xml:space="preserve">-change) in a multiple regression with Parasite Stress USA and percent black predicting state IQ. </w:t>
      </w:r>
    </w:p>
    <w:p w14:paraId="16A46B08" w14:textId="77777777" w:rsidR="006E5F97" w:rsidRPr="006E5F97" w:rsidRDefault="006E5F97" w:rsidP="006E5F97">
      <w:pPr>
        <w:ind w:firstLine="720"/>
        <w:rPr>
          <w:rFonts w:eastAsia="Calibri"/>
        </w:rPr>
      </w:pPr>
      <w:r w:rsidRPr="006E5F97">
        <w:rPr>
          <w:rFonts w:eastAsia="Calibri"/>
        </w:rPr>
        <w:t xml:space="preserve">We found EFT’s conceptual arguments inconclusive due to the strong correlations of percent black with both Parasite Stress USA and state IQ, which suggest the possibility of </w:t>
      </w:r>
      <w:proofErr w:type="spellStart"/>
      <w:r w:rsidRPr="006E5F97">
        <w:rPr>
          <w:rFonts w:eastAsia="Calibri"/>
        </w:rPr>
        <w:t>misaggregation</w:t>
      </w:r>
      <w:proofErr w:type="spellEnd"/>
      <w:r w:rsidRPr="006E5F97">
        <w:rPr>
          <w:rFonts w:eastAsia="Calibri"/>
        </w:rPr>
        <w:t xml:space="preserve"> across racial/ethnic subgroups. Therefore, we wanted to </w:t>
      </w:r>
      <w:r w:rsidRPr="006E5F97">
        <w:rPr>
          <w:rFonts w:eastAsia="Calibri"/>
          <w:i/>
        </w:rPr>
        <w:t>empirically</w:t>
      </w:r>
      <w:r w:rsidRPr="006E5F97">
        <w:rPr>
          <w:rFonts w:eastAsia="Calibri"/>
        </w:rPr>
        <w:t xml:space="preserve"> test the association when controlling for racial/ethnic subgroup differences. If parasite stress indeed reduces cognitive ability, we could still see a strong correlation between pathogen prevalence and IQ at the subgroup-level. We therefore investigated possible </w:t>
      </w:r>
      <w:proofErr w:type="spellStart"/>
      <w:r w:rsidRPr="006E5F97">
        <w:rPr>
          <w:rFonts w:eastAsia="Calibri"/>
        </w:rPr>
        <w:t>misaggregation</w:t>
      </w:r>
      <w:proofErr w:type="spellEnd"/>
      <w:r w:rsidRPr="006E5F97">
        <w:rPr>
          <w:rFonts w:eastAsia="Calibri"/>
        </w:rPr>
        <w:t xml:space="preserve"> across racial/ethnic subgroups in EFT’s finding that pathogen prevalence is a strong predictor of IQ at the state-level. </w:t>
      </w:r>
    </w:p>
    <w:p w14:paraId="3CAABE44" w14:textId="77777777" w:rsidR="006E5F97" w:rsidRPr="006E5F97" w:rsidRDefault="006E5F97" w:rsidP="006E5F97">
      <w:pPr>
        <w:jc w:val="center"/>
        <w:rPr>
          <w:rFonts w:eastAsia="Calibri"/>
          <w:b/>
        </w:rPr>
      </w:pPr>
      <w:r w:rsidRPr="006E5F97">
        <w:rPr>
          <w:rFonts w:eastAsia="Calibri"/>
          <w:b/>
        </w:rPr>
        <w:t>Method</w:t>
      </w:r>
    </w:p>
    <w:p w14:paraId="7D51FE8E" w14:textId="77777777" w:rsidR="006E5F97" w:rsidRPr="006E5F97" w:rsidRDefault="006E5F97" w:rsidP="006E5F97">
      <w:pPr>
        <w:rPr>
          <w:rFonts w:eastAsia="Calibri"/>
        </w:rPr>
      </w:pPr>
      <w:r w:rsidRPr="006E5F97">
        <w:rPr>
          <w:rFonts w:eastAsia="Calibri"/>
        </w:rPr>
        <w:tab/>
        <w:t xml:space="preserve">Parasite Stress USA does not have available data that is also stratified by racial/ethnic subgroups, so Hackman and </w:t>
      </w:r>
      <w:proofErr w:type="spellStart"/>
      <w:r w:rsidRPr="006E5F97">
        <w:rPr>
          <w:rFonts w:eastAsia="Calibri"/>
        </w:rPr>
        <w:t>Hruschka</w:t>
      </w:r>
      <w:proofErr w:type="spellEnd"/>
      <w:r w:rsidRPr="006E5F97">
        <w:rPr>
          <w:rFonts w:eastAsia="Calibri"/>
        </w:rPr>
        <w:t xml:space="preserve"> (2013) created statistically equivalent race-stratified indices based on rates of chlamydia and gonorrhea obtained from the U.S. Department of Health and Human Services (2011). Koenig and colleagues (2017) recreated those indices, which we used for measures of pathogen prevalence at both the aggregate level (</w:t>
      </w:r>
      <w:proofErr w:type="spellStart"/>
      <w:r w:rsidRPr="006E5F97">
        <w:rPr>
          <w:rFonts w:eastAsia="Calibri"/>
        </w:rPr>
        <w:t>CG</w:t>
      </w:r>
      <w:r w:rsidRPr="006E5F97">
        <w:rPr>
          <w:rFonts w:eastAsia="Calibri"/>
          <w:vertAlign w:val="subscript"/>
        </w:rPr>
        <w:t>aggregate</w:t>
      </w:r>
      <w:proofErr w:type="spellEnd"/>
      <w:r w:rsidRPr="006E5F97">
        <w:rPr>
          <w:rFonts w:eastAsia="Calibri"/>
        </w:rPr>
        <w:t>) and racial/ethnic subgroup level (</w:t>
      </w:r>
      <w:proofErr w:type="spellStart"/>
      <w:r w:rsidRPr="006E5F97">
        <w:rPr>
          <w:rFonts w:eastAsia="Calibri"/>
        </w:rPr>
        <w:t>CG</w:t>
      </w:r>
      <w:r w:rsidRPr="006E5F97">
        <w:rPr>
          <w:rFonts w:eastAsia="Calibri"/>
          <w:vertAlign w:val="subscript"/>
        </w:rPr>
        <w:t>white</w:t>
      </w:r>
      <w:proofErr w:type="spellEnd"/>
      <w:r w:rsidRPr="006E5F97">
        <w:rPr>
          <w:rFonts w:eastAsia="Calibri"/>
        </w:rPr>
        <w:t xml:space="preserve">, </w:t>
      </w:r>
      <w:proofErr w:type="spellStart"/>
      <w:r w:rsidRPr="006E5F97">
        <w:rPr>
          <w:rFonts w:eastAsia="Calibri"/>
        </w:rPr>
        <w:t>CG</w:t>
      </w:r>
      <w:r w:rsidRPr="006E5F97">
        <w:rPr>
          <w:rFonts w:eastAsia="Calibri"/>
          <w:vertAlign w:val="subscript"/>
        </w:rPr>
        <w:t>black</w:t>
      </w:r>
      <w:proofErr w:type="spellEnd"/>
      <w:r w:rsidRPr="006E5F97">
        <w:rPr>
          <w:rFonts w:eastAsia="Calibri"/>
        </w:rPr>
        <w:t xml:space="preserve">, </w:t>
      </w:r>
      <w:proofErr w:type="spellStart"/>
      <w:r w:rsidRPr="006E5F97">
        <w:rPr>
          <w:rFonts w:eastAsia="Calibri"/>
        </w:rPr>
        <w:t>CG</w:t>
      </w:r>
      <w:r w:rsidRPr="006E5F97">
        <w:rPr>
          <w:rFonts w:eastAsia="Calibri"/>
          <w:vertAlign w:val="subscript"/>
        </w:rPr>
        <w:t>hispanic</w:t>
      </w:r>
      <w:proofErr w:type="spellEnd"/>
      <w:r w:rsidRPr="006E5F97">
        <w:rPr>
          <w:rFonts w:eastAsia="Calibri"/>
        </w:rPr>
        <w:t xml:space="preserve">, </w:t>
      </w:r>
      <w:proofErr w:type="spellStart"/>
      <w:r w:rsidRPr="006E5F97">
        <w:rPr>
          <w:rFonts w:eastAsia="Calibri"/>
        </w:rPr>
        <w:t>CG</w:t>
      </w:r>
      <w:r w:rsidRPr="006E5F97">
        <w:rPr>
          <w:rFonts w:eastAsia="Calibri"/>
          <w:vertAlign w:val="subscript"/>
        </w:rPr>
        <w:t>asian</w:t>
      </w:r>
      <w:proofErr w:type="spellEnd"/>
      <w:r w:rsidRPr="006E5F97">
        <w:rPr>
          <w:rFonts w:eastAsia="Calibri"/>
        </w:rPr>
        <w:t xml:space="preserve">, </w:t>
      </w:r>
      <w:proofErr w:type="spellStart"/>
      <w:r w:rsidRPr="006E5F97">
        <w:rPr>
          <w:rFonts w:eastAsia="Calibri"/>
        </w:rPr>
        <w:t>CG</w:t>
      </w:r>
      <w:r w:rsidRPr="006E5F97">
        <w:rPr>
          <w:rFonts w:eastAsia="Calibri"/>
          <w:vertAlign w:val="subscript"/>
        </w:rPr>
        <w:t>native</w:t>
      </w:r>
      <w:proofErr w:type="spellEnd"/>
      <w:r w:rsidRPr="006E5F97">
        <w:rPr>
          <w:rFonts w:eastAsia="Calibri"/>
        </w:rPr>
        <w:t>). We also calculated measures of percent population for each racial/ethnic subgroup (%White, %Black, %Hispanic, %Asian, %Native). EFT used estimates created by McDaniel (2006) as a measure of state IQ (</w:t>
      </w:r>
      <w:proofErr w:type="spellStart"/>
      <w:r w:rsidRPr="006E5F97">
        <w:rPr>
          <w:rFonts w:eastAsia="Calibri"/>
        </w:rPr>
        <w:t>IQ</w:t>
      </w:r>
      <w:r w:rsidRPr="006E5F97">
        <w:rPr>
          <w:rFonts w:eastAsia="Calibri"/>
          <w:vertAlign w:val="subscript"/>
        </w:rPr>
        <w:t>McDaniel</w:t>
      </w:r>
      <w:proofErr w:type="spellEnd"/>
      <w:r w:rsidRPr="006E5F97">
        <w:rPr>
          <w:rFonts w:eastAsia="Calibri"/>
        </w:rPr>
        <w:t>). We recreated this at both the aggregate level (</w:t>
      </w:r>
      <w:proofErr w:type="spellStart"/>
      <w:r w:rsidRPr="006E5F97">
        <w:rPr>
          <w:rFonts w:eastAsia="Calibri"/>
        </w:rPr>
        <w:t>IQ</w:t>
      </w:r>
      <w:r w:rsidRPr="006E5F97">
        <w:rPr>
          <w:rFonts w:eastAsia="Calibri"/>
          <w:vertAlign w:val="subscript"/>
        </w:rPr>
        <w:t>aggregate</w:t>
      </w:r>
      <w:proofErr w:type="spellEnd"/>
      <w:r w:rsidRPr="006E5F97">
        <w:rPr>
          <w:rFonts w:eastAsia="Calibri"/>
        </w:rPr>
        <w:t>) and racial/ethnic subgroup level (</w:t>
      </w:r>
      <w:proofErr w:type="spellStart"/>
      <w:r w:rsidRPr="006E5F97">
        <w:rPr>
          <w:rFonts w:eastAsia="Calibri"/>
        </w:rPr>
        <w:t>IQ</w:t>
      </w:r>
      <w:r w:rsidRPr="006E5F97">
        <w:rPr>
          <w:rFonts w:eastAsia="Calibri"/>
          <w:vertAlign w:val="subscript"/>
        </w:rPr>
        <w:t>white</w:t>
      </w:r>
      <w:proofErr w:type="spellEnd"/>
      <w:r w:rsidRPr="006E5F97">
        <w:rPr>
          <w:rFonts w:eastAsia="Calibri"/>
        </w:rPr>
        <w:t xml:space="preserve">, </w:t>
      </w:r>
      <w:proofErr w:type="spellStart"/>
      <w:r w:rsidRPr="006E5F97">
        <w:rPr>
          <w:rFonts w:eastAsia="Calibri"/>
        </w:rPr>
        <w:t>IQ</w:t>
      </w:r>
      <w:r w:rsidRPr="006E5F97">
        <w:rPr>
          <w:rFonts w:eastAsia="Calibri"/>
          <w:vertAlign w:val="subscript"/>
        </w:rPr>
        <w:t>black</w:t>
      </w:r>
      <w:proofErr w:type="spellEnd"/>
      <w:r w:rsidRPr="006E5F97">
        <w:rPr>
          <w:rFonts w:eastAsia="Calibri"/>
        </w:rPr>
        <w:t xml:space="preserve">, </w:t>
      </w:r>
      <w:proofErr w:type="spellStart"/>
      <w:r w:rsidRPr="006E5F97">
        <w:rPr>
          <w:rFonts w:eastAsia="Calibri"/>
        </w:rPr>
        <w:t>IQ</w:t>
      </w:r>
      <w:r w:rsidRPr="006E5F97">
        <w:rPr>
          <w:rFonts w:eastAsia="Calibri"/>
          <w:vertAlign w:val="subscript"/>
        </w:rPr>
        <w:t>hispanic</w:t>
      </w:r>
      <w:proofErr w:type="spellEnd"/>
      <w:r w:rsidRPr="006E5F97">
        <w:rPr>
          <w:rFonts w:eastAsia="Calibri"/>
        </w:rPr>
        <w:t xml:space="preserve">, </w:t>
      </w:r>
      <w:proofErr w:type="spellStart"/>
      <w:r w:rsidRPr="006E5F97">
        <w:rPr>
          <w:rFonts w:eastAsia="Calibri"/>
        </w:rPr>
        <w:t>IQ</w:t>
      </w:r>
      <w:r w:rsidRPr="006E5F97">
        <w:rPr>
          <w:rFonts w:eastAsia="Calibri"/>
          <w:vertAlign w:val="subscript"/>
        </w:rPr>
        <w:t>asian</w:t>
      </w:r>
      <w:proofErr w:type="spellEnd"/>
      <w:r w:rsidRPr="006E5F97">
        <w:rPr>
          <w:rFonts w:eastAsia="Calibri"/>
        </w:rPr>
        <w:t xml:space="preserve">, </w:t>
      </w:r>
      <w:proofErr w:type="spellStart"/>
      <w:r w:rsidRPr="006E5F97">
        <w:rPr>
          <w:rFonts w:eastAsia="Calibri"/>
        </w:rPr>
        <w:t>IQ</w:t>
      </w:r>
      <w:r w:rsidRPr="006E5F97">
        <w:rPr>
          <w:rFonts w:eastAsia="Calibri"/>
          <w:vertAlign w:val="subscript"/>
        </w:rPr>
        <w:t>native</w:t>
      </w:r>
      <w:proofErr w:type="spellEnd"/>
      <w:r w:rsidRPr="006E5F97">
        <w:rPr>
          <w:rFonts w:eastAsia="Calibri"/>
        </w:rPr>
        <w:t>) using data from the National Assessment of Educational Progress (U.S. Department of Education). We validated these measures by comparing their correlations with other variables to those previously published.</w:t>
      </w:r>
    </w:p>
    <w:p w14:paraId="4D9F9535" w14:textId="77777777" w:rsidR="006E5F97" w:rsidRPr="006E5F97" w:rsidRDefault="006E5F97" w:rsidP="006E5F97">
      <w:pPr>
        <w:rPr>
          <w:rFonts w:eastAsia="Calibri"/>
          <w:b/>
          <w:bCs/>
          <w:i/>
          <w:iCs/>
        </w:rPr>
      </w:pPr>
      <w:r w:rsidRPr="006E5F97">
        <w:rPr>
          <w:rFonts w:eastAsia="Calibri"/>
          <w:b/>
          <w:bCs/>
          <w:i/>
          <w:iCs/>
        </w:rPr>
        <w:t>Analysis Strategy</w:t>
      </w:r>
    </w:p>
    <w:p w14:paraId="7E2BE366" w14:textId="77777777" w:rsidR="006E5F97" w:rsidRPr="006E5F97" w:rsidRDefault="006E5F97" w:rsidP="006E5F97">
      <w:pPr>
        <w:rPr>
          <w:rFonts w:eastAsia="Calibri"/>
          <w:b/>
          <w:bCs/>
        </w:rPr>
      </w:pPr>
      <w:r w:rsidRPr="006E5F97">
        <w:rPr>
          <w:rFonts w:eastAsia="Calibri"/>
          <w:b/>
          <w:bCs/>
        </w:rPr>
        <w:tab/>
      </w:r>
      <w:r w:rsidRPr="006E5F97">
        <w:rPr>
          <w:rFonts w:eastAsia="Calibri"/>
        </w:rPr>
        <w:t xml:space="preserve">We first tested whether state IQ failed the four red-flag checks for </w:t>
      </w:r>
      <w:proofErr w:type="spellStart"/>
      <w:r w:rsidRPr="006E5F97">
        <w:rPr>
          <w:rFonts w:eastAsia="Calibri"/>
        </w:rPr>
        <w:t>misaggregation</w:t>
      </w:r>
      <w:proofErr w:type="spellEnd"/>
      <w:r w:rsidRPr="006E5F97">
        <w:rPr>
          <w:rFonts w:eastAsia="Calibri"/>
        </w:rPr>
        <w:t xml:space="preserve"> put forth by Koenig and colleagues (2017). Next, for state-level pathogen prevalence and IQ, we compared the aggregated correlation with correlations from each racial/ethnic subgroup both alone and weighted by each subgroup’s proportion to the overall population</w:t>
      </w:r>
      <w:r w:rsidRPr="006E5F97">
        <w:rPr>
          <w:rFonts w:eastAsia="Calibri"/>
          <w:b/>
          <w:bCs/>
        </w:rPr>
        <w:t xml:space="preserve">. </w:t>
      </w:r>
      <w:r w:rsidRPr="006E5F97">
        <w:rPr>
          <w:rFonts w:eastAsia="Calibri"/>
        </w:rPr>
        <w:t>After affirming the need for further analyses (see results), we attempted multilevel modeling (not reported). However, there were too few level-two groups (racial/ethnic subgroups) to estimate the random effect of the grouping variable on the level-one model (Garson, 2020). We identified the fixed effects approach to multiple regression as an alternative when analyzing hierarchical data with a small number of level-two groups (</w:t>
      </w:r>
      <w:proofErr w:type="spellStart"/>
      <w:r w:rsidRPr="006E5F97">
        <w:rPr>
          <w:rFonts w:eastAsia="Calibri"/>
        </w:rPr>
        <w:t>McNeish</w:t>
      </w:r>
      <w:proofErr w:type="spellEnd"/>
      <w:r w:rsidRPr="006E5F97">
        <w:rPr>
          <w:rFonts w:eastAsia="Calibri"/>
        </w:rPr>
        <w:t xml:space="preserve"> &amp; Stapleton, 2016; </w:t>
      </w:r>
      <w:proofErr w:type="spellStart"/>
      <w:r w:rsidRPr="006E5F97">
        <w:rPr>
          <w:rFonts w:eastAsia="Calibri"/>
        </w:rPr>
        <w:t>Möhring</w:t>
      </w:r>
      <w:proofErr w:type="spellEnd"/>
      <w:r w:rsidRPr="006E5F97">
        <w:rPr>
          <w:rFonts w:eastAsia="Calibri"/>
        </w:rPr>
        <w:t xml:space="preserve">, 2012). Our fixed effects model used variables centered on national means of racial/ethnic subgroups to control for subgroup differences. To use as control variables, we recreated EFT’s measure of wealth (U.S. Census Bureau, 2000) and obtained a measure of life expectancy (Lewis &amp; </w:t>
      </w:r>
      <w:proofErr w:type="spellStart"/>
      <w:r w:rsidRPr="006E5F97">
        <w:rPr>
          <w:rFonts w:eastAsia="Calibri"/>
        </w:rPr>
        <w:t>Burd</w:t>
      </w:r>
      <w:proofErr w:type="spellEnd"/>
      <w:r w:rsidRPr="006E5F97">
        <w:rPr>
          <w:rFonts w:eastAsia="Calibri"/>
        </w:rPr>
        <w:t xml:space="preserve">-Sharps, 2014), each stratified at the racial/ethnic subgroup level. In selecting these control variables, we wanted to recreate the variables used by </w:t>
      </w:r>
      <w:proofErr w:type="spellStart"/>
      <w:r w:rsidRPr="006E5F97">
        <w:rPr>
          <w:rFonts w:eastAsia="Calibri"/>
        </w:rPr>
        <w:t>Eppig</w:t>
      </w:r>
      <w:proofErr w:type="spellEnd"/>
      <w:r w:rsidRPr="006E5F97">
        <w:rPr>
          <w:rFonts w:eastAsia="Calibri"/>
        </w:rPr>
        <w:t xml:space="preserve">, Fincher, and Thornhill (2011) as closely as possible. We also </w:t>
      </w:r>
      <w:proofErr w:type="gramStart"/>
      <w:r w:rsidRPr="006E5F97">
        <w:rPr>
          <w:rFonts w:eastAsia="Calibri"/>
        </w:rPr>
        <w:t>made an effort</w:t>
      </w:r>
      <w:proofErr w:type="gramEnd"/>
      <w:r w:rsidRPr="006E5F97">
        <w:rPr>
          <w:rFonts w:eastAsia="Calibri"/>
        </w:rPr>
        <w:t xml:space="preserve"> to be theoretically comprehensive by considering several other constructs as potential control variables. We were unable to obtain a measure of educational quality that was </w:t>
      </w:r>
      <w:proofErr w:type="gramStart"/>
      <w:r w:rsidRPr="006E5F97">
        <w:rPr>
          <w:rFonts w:eastAsia="Calibri"/>
        </w:rPr>
        <w:t>similar to</w:t>
      </w:r>
      <w:proofErr w:type="gramEnd"/>
      <w:r w:rsidRPr="006E5F97">
        <w:rPr>
          <w:rFonts w:eastAsia="Calibri"/>
        </w:rPr>
        <w:t xml:space="preserve"> those used by EFT and stratified by racial/ethnic subgroup.</w:t>
      </w:r>
    </w:p>
    <w:p w14:paraId="74BFB564" w14:textId="77777777" w:rsidR="006E5F97" w:rsidRPr="006E5F97" w:rsidRDefault="006E5F97" w:rsidP="006E5F97">
      <w:pPr>
        <w:jc w:val="center"/>
        <w:rPr>
          <w:rFonts w:eastAsia="Calibri"/>
          <w:b/>
          <w:bCs/>
        </w:rPr>
      </w:pPr>
      <w:r w:rsidRPr="006E5F97">
        <w:rPr>
          <w:rFonts w:eastAsia="Calibri"/>
          <w:b/>
          <w:bCs/>
        </w:rPr>
        <w:t>Results</w:t>
      </w:r>
    </w:p>
    <w:p w14:paraId="799EA88C" w14:textId="77777777" w:rsidR="006E5F97" w:rsidRPr="006E5F97" w:rsidRDefault="006E5F97" w:rsidP="006E5F97">
      <w:pPr>
        <w:ind w:firstLine="720"/>
        <w:rPr>
          <w:rFonts w:eastAsia="Calibri"/>
        </w:rPr>
      </w:pPr>
      <w:r w:rsidRPr="006E5F97">
        <w:rPr>
          <w:rFonts w:eastAsia="Calibri"/>
        </w:rPr>
        <w:t xml:space="preserve">Koenig and colleagues (2017) demonstrated that Parasite Stress USA failed all four red-flag checks for </w:t>
      </w:r>
      <w:proofErr w:type="spellStart"/>
      <w:r w:rsidRPr="006E5F97">
        <w:rPr>
          <w:rFonts w:eastAsia="Calibri"/>
        </w:rPr>
        <w:t>misaggregation</w:t>
      </w:r>
      <w:proofErr w:type="spellEnd"/>
      <w:r w:rsidRPr="006E5F97">
        <w:rPr>
          <w:rFonts w:eastAsia="Calibri"/>
        </w:rPr>
        <w:t xml:space="preserve">: “Aggregated rates that correlate strongly with the relative size of one or more subgroup(s), unequal sample sizes across subgroups, unequal rates or mean values across subgroups, and aggregated rates that do not correlate with subgroup rates” (p. 16). We likewise found that </w:t>
      </w:r>
      <w:proofErr w:type="spellStart"/>
      <w:r w:rsidRPr="006E5F97">
        <w:rPr>
          <w:rFonts w:eastAsia="Calibri"/>
        </w:rPr>
        <w:t>IQ</w:t>
      </w:r>
      <w:r w:rsidRPr="006E5F97">
        <w:rPr>
          <w:rFonts w:eastAsia="Calibri"/>
          <w:vertAlign w:val="subscript"/>
        </w:rPr>
        <w:t>McDaniel</w:t>
      </w:r>
      <w:proofErr w:type="spellEnd"/>
      <w:r w:rsidRPr="006E5F97">
        <w:rPr>
          <w:rFonts w:eastAsia="Calibri"/>
        </w:rPr>
        <w:t xml:space="preserve"> failed all four red-flag checks. Check 1: </w:t>
      </w:r>
      <w:proofErr w:type="spellStart"/>
      <w:r w:rsidRPr="006E5F97">
        <w:rPr>
          <w:rFonts w:eastAsia="Calibri"/>
        </w:rPr>
        <w:t>IQ</w:t>
      </w:r>
      <w:r w:rsidRPr="006E5F97">
        <w:rPr>
          <w:rFonts w:eastAsia="Calibri"/>
          <w:vertAlign w:val="subscript"/>
        </w:rPr>
        <w:t>McDaniel</w:t>
      </w:r>
      <w:proofErr w:type="spellEnd"/>
      <w:r w:rsidRPr="006E5F97">
        <w:rPr>
          <w:rFonts w:eastAsia="Calibri"/>
        </w:rPr>
        <w:t xml:space="preserve"> correlated strongly with %White (</w:t>
      </w:r>
      <w:r w:rsidRPr="006E5F97">
        <w:rPr>
          <w:rFonts w:eastAsia="Calibri"/>
          <w:i/>
          <w:iCs/>
        </w:rPr>
        <w:t>r</w:t>
      </w:r>
      <w:r w:rsidRPr="006E5F97">
        <w:rPr>
          <w:rFonts w:eastAsia="Calibri"/>
        </w:rPr>
        <w:t xml:space="preserve"> = .71, </w:t>
      </w:r>
      <w:r w:rsidRPr="006E5F97">
        <w:rPr>
          <w:rFonts w:eastAsia="Calibri"/>
          <w:i/>
          <w:iCs/>
        </w:rPr>
        <w:t>p</w:t>
      </w:r>
      <w:r w:rsidRPr="006E5F97">
        <w:rPr>
          <w:rFonts w:eastAsia="Calibri"/>
        </w:rPr>
        <w:t xml:space="preserve"> &lt; .001, N = 50), moderately with %Black (</w:t>
      </w:r>
      <w:r w:rsidRPr="006E5F97">
        <w:rPr>
          <w:rFonts w:eastAsia="Calibri"/>
          <w:i/>
          <w:iCs/>
        </w:rPr>
        <w:t>r</w:t>
      </w:r>
      <w:r w:rsidRPr="006E5F97">
        <w:rPr>
          <w:rFonts w:eastAsia="Calibri"/>
        </w:rPr>
        <w:t xml:space="preserve"> = -.51, </w:t>
      </w:r>
      <w:r w:rsidRPr="006E5F97">
        <w:rPr>
          <w:rFonts w:eastAsia="Calibri"/>
          <w:i/>
          <w:iCs/>
        </w:rPr>
        <w:t>p</w:t>
      </w:r>
      <w:r w:rsidRPr="006E5F97">
        <w:rPr>
          <w:rFonts w:eastAsia="Calibri"/>
        </w:rPr>
        <w:t xml:space="preserve"> &lt; .001, N = 50), and weakly with %Hispanic (</w:t>
      </w:r>
      <w:r w:rsidRPr="006E5F97">
        <w:rPr>
          <w:rFonts w:eastAsia="Calibri"/>
          <w:i/>
          <w:iCs/>
        </w:rPr>
        <w:t>r</w:t>
      </w:r>
      <w:r w:rsidRPr="006E5F97">
        <w:rPr>
          <w:rFonts w:eastAsia="Calibri"/>
        </w:rPr>
        <w:t xml:space="preserve"> = -.32, </w:t>
      </w:r>
      <w:r w:rsidRPr="006E5F97">
        <w:rPr>
          <w:rFonts w:eastAsia="Calibri"/>
          <w:i/>
          <w:iCs/>
        </w:rPr>
        <w:t>p</w:t>
      </w:r>
      <w:r w:rsidRPr="006E5F97">
        <w:rPr>
          <w:rFonts w:eastAsia="Calibri"/>
        </w:rPr>
        <w:t xml:space="preserve"> = .023, N = 50). Check 2: The percent population of each state’s racial/ethnic subgroups are unequal in size (Friedman Test, χ2 = 143.02, </w:t>
      </w:r>
      <w:r w:rsidRPr="006E5F97">
        <w:rPr>
          <w:rFonts w:eastAsia="Calibri"/>
          <w:i/>
          <w:iCs/>
        </w:rPr>
        <w:t>p</w:t>
      </w:r>
      <w:r w:rsidRPr="006E5F97">
        <w:rPr>
          <w:rFonts w:eastAsia="Calibri"/>
        </w:rPr>
        <w:t xml:space="preserve"> &lt; .001, N = 50). Check 3: For the 10 states that had IQ data for all racial/ethnic subgroups, the IQ scores for state’s racial/ethnic subgroups have unequal mean values (Friedman Test, χ2 = 30.69, </w:t>
      </w:r>
      <w:r w:rsidRPr="006E5F97">
        <w:rPr>
          <w:rFonts w:eastAsia="Calibri"/>
          <w:i/>
          <w:iCs/>
        </w:rPr>
        <w:t>p</w:t>
      </w:r>
      <w:r w:rsidRPr="006E5F97">
        <w:rPr>
          <w:rFonts w:eastAsia="Calibri"/>
        </w:rPr>
        <w:t xml:space="preserve"> &lt; .001, N = 10). Check 4: </w:t>
      </w:r>
      <w:proofErr w:type="spellStart"/>
      <w:r w:rsidRPr="006E5F97">
        <w:rPr>
          <w:rFonts w:eastAsia="Calibri"/>
        </w:rPr>
        <w:t>IQ</w:t>
      </w:r>
      <w:r w:rsidRPr="006E5F97">
        <w:rPr>
          <w:rFonts w:eastAsia="Calibri"/>
          <w:vertAlign w:val="subscript"/>
        </w:rPr>
        <w:t>McDaniel</w:t>
      </w:r>
      <w:proofErr w:type="spellEnd"/>
      <w:r w:rsidRPr="006E5F97">
        <w:rPr>
          <w:rFonts w:eastAsia="Calibri"/>
        </w:rPr>
        <w:t xml:space="preserve"> is not strongly or significantly correlated with </w:t>
      </w:r>
      <w:proofErr w:type="spellStart"/>
      <w:r w:rsidRPr="006E5F97">
        <w:rPr>
          <w:rFonts w:eastAsia="Calibri"/>
        </w:rPr>
        <w:t>IQ</w:t>
      </w:r>
      <w:r w:rsidRPr="006E5F97">
        <w:rPr>
          <w:rFonts w:eastAsia="Calibri"/>
          <w:vertAlign w:val="subscript"/>
        </w:rPr>
        <w:t>hispanic</w:t>
      </w:r>
      <w:proofErr w:type="spellEnd"/>
      <w:r w:rsidRPr="006E5F97">
        <w:rPr>
          <w:rFonts w:eastAsia="Calibri"/>
        </w:rPr>
        <w:t xml:space="preserve"> (</w:t>
      </w:r>
      <w:r w:rsidRPr="006E5F97">
        <w:rPr>
          <w:rFonts w:eastAsia="Calibri"/>
          <w:i/>
          <w:iCs/>
        </w:rPr>
        <w:t>r</w:t>
      </w:r>
      <w:r w:rsidRPr="006E5F97">
        <w:rPr>
          <w:rFonts w:eastAsia="Calibri"/>
        </w:rPr>
        <w:t xml:space="preserve"> = .30, </w:t>
      </w:r>
      <w:r w:rsidRPr="006E5F97">
        <w:rPr>
          <w:rFonts w:eastAsia="Calibri"/>
          <w:i/>
          <w:iCs/>
        </w:rPr>
        <w:t>p</w:t>
      </w:r>
      <w:r w:rsidRPr="006E5F97">
        <w:rPr>
          <w:rFonts w:eastAsia="Calibri"/>
        </w:rPr>
        <w:t xml:space="preserve"> = .052, N = 42), </w:t>
      </w:r>
      <w:proofErr w:type="spellStart"/>
      <w:r w:rsidRPr="006E5F97">
        <w:rPr>
          <w:rFonts w:eastAsia="Calibri"/>
        </w:rPr>
        <w:t>IQ</w:t>
      </w:r>
      <w:r w:rsidRPr="006E5F97">
        <w:rPr>
          <w:rFonts w:eastAsia="Calibri"/>
          <w:vertAlign w:val="subscript"/>
        </w:rPr>
        <w:t>asian</w:t>
      </w:r>
      <w:proofErr w:type="spellEnd"/>
      <w:r w:rsidRPr="006E5F97">
        <w:rPr>
          <w:rFonts w:eastAsia="Calibri"/>
        </w:rPr>
        <w:t xml:space="preserve"> (</w:t>
      </w:r>
      <w:r w:rsidRPr="006E5F97">
        <w:rPr>
          <w:rFonts w:eastAsia="Calibri"/>
          <w:i/>
          <w:iCs/>
        </w:rPr>
        <w:t>r</w:t>
      </w:r>
      <w:r w:rsidRPr="006E5F97">
        <w:rPr>
          <w:rFonts w:eastAsia="Calibri"/>
        </w:rPr>
        <w:t xml:space="preserve"> = .30, </w:t>
      </w:r>
      <w:r w:rsidRPr="006E5F97">
        <w:rPr>
          <w:rFonts w:eastAsia="Calibri"/>
          <w:i/>
          <w:iCs/>
        </w:rPr>
        <w:t>p</w:t>
      </w:r>
      <w:r w:rsidRPr="006E5F97">
        <w:rPr>
          <w:rFonts w:eastAsia="Calibri"/>
        </w:rPr>
        <w:t xml:space="preserve"> =.112, N = 29), and </w:t>
      </w:r>
      <w:proofErr w:type="spellStart"/>
      <w:r w:rsidRPr="006E5F97">
        <w:rPr>
          <w:rFonts w:eastAsia="Calibri"/>
        </w:rPr>
        <w:t>IQ</w:t>
      </w:r>
      <w:r w:rsidRPr="006E5F97">
        <w:rPr>
          <w:rFonts w:eastAsia="Calibri"/>
          <w:vertAlign w:val="subscript"/>
        </w:rPr>
        <w:t>native</w:t>
      </w:r>
      <w:proofErr w:type="spellEnd"/>
      <w:r w:rsidRPr="006E5F97">
        <w:rPr>
          <w:rFonts w:eastAsia="Calibri"/>
        </w:rPr>
        <w:t xml:space="preserve"> (</w:t>
      </w:r>
      <w:r w:rsidRPr="006E5F97">
        <w:rPr>
          <w:rFonts w:eastAsia="Calibri"/>
          <w:i/>
          <w:iCs/>
        </w:rPr>
        <w:t>r</w:t>
      </w:r>
      <w:r w:rsidRPr="006E5F97">
        <w:rPr>
          <w:rFonts w:eastAsia="Calibri"/>
        </w:rPr>
        <w:t xml:space="preserve"> = .35, </w:t>
      </w:r>
      <w:r w:rsidRPr="006E5F97">
        <w:rPr>
          <w:rFonts w:eastAsia="Calibri"/>
          <w:i/>
          <w:iCs/>
        </w:rPr>
        <w:t>p</w:t>
      </w:r>
      <w:r w:rsidRPr="006E5F97">
        <w:rPr>
          <w:rFonts w:eastAsia="Calibri"/>
        </w:rPr>
        <w:t xml:space="preserve"> = .169, N = 17). Since both Parasite Stress USA and </w:t>
      </w:r>
      <w:proofErr w:type="spellStart"/>
      <w:r w:rsidRPr="006E5F97">
        <w:rPr>
          <w:rFonts w:eastAsia="Calibri"/>
        </w:rPr>
        <w:t>IQ</w:t>
      </w:r>
      <w:r w:rsidRPr="006E5F97">
        <w:rPr>
          <w:rFonts w:eastAsia="Calibri"/>
          <w:vertAlign w:val="subscript"/>
        </w:rPr>
        <w:t>McDaniel</w:t>
      </w:r>
      <w:proofErr w:type="spellEnd"/>
      <w:r w:rsidRPr="006E5F97">
        <w:rPr>
          <w:rFonts w:eastAsia="Calibri"/>
        </w:rPr>
        <w:t xml:space="preserve"> each fail all four red-flag checks, there is a strong risk of </w:t>
      </w:r>
      <w:proofErr w:type="spellStart"/>
      <w:r w:rsidRPr="006E5F97">
        <w:rPr>
          <w:rFonts w:eastAsia="Calibri"/>
        </w:rPr>
        <w:t>misaggregation</w:t>
      </w:r>
      <w:proofErr w:type="spellEnd"/>
      <w:r w:rsidRPr="006E5F97">
        <w:rPr>
          <w:rFonts w:eastAsia="Calibri"/>
        </w:rPr>
        <w:t xml:space="preserve"> for analyses including these measures.</w:t>
      </w:r>
    </w:p>
    <w:p w14:paraId="56B5005D" w14:textId="77777777" w:rsidR="006E5F97" w:rsidRPr="006E5F97" w:rsidRDefault="006E5F97" w:rsidP="006E5F97">
      <w:pPr>
        <w:ind w:firstLine="720"/>
        <w:rPr>
          <w:rFonts w:eastAsia="Calibri"/>
        </w:rPr>
      </w:pPr>
      <w:r w:rsidRPr="006E5F97">
        <w:rPr>
          <w:rFonts w:eastAsia="Calibri"/>
        </w:rPr>
        <w:t xml:space="preserve">We predicted IQ from pathogen prevalence separately for each racial/ethnic subgroup (see Table 1, Models 2-6). All standardized betas (correlations) were negative. However, all but one correlation had a substantially weaker association than the </w:t>
      </w:r>
      <w:r w:rsidRPr="006E5F97">
        <w:rPr>
          <w:rFonts w:eastAsia="Calibri"/>
          <w:i/>
          <w:iCs/>
        </w:rPr>
        <w:t>r</w:t>
      </w:r>
      <w:r w:rsidRPr="006E5F97">
        <w:rPr>
          <w:rFonts w:eastAsia="Calibri"/>
        </w:rPr>
        <w:t xml:space="preserve"> = -.67 reported by EFT. The weighted average (across racial/ethnic groups, weighted by %population) association strength (</w:t>
      </w:r>
      <w:r w:rsidRPr="006E5F97">
        <w:rPr>
          <w:rFonts w:eastAsia="Calibri"/>
          <w:i/>
          <w:iCs/>
        </w:rPr>
        <w:t>r</w:t>
      </w:r>
      <w:r w:rsidRPr="006E5F97">
        <w:rPr>
          <w:rFonts w:eastAsia="Calibri"/>
        </w:rPr>
        <w:t xml:space="preserve"> = -.36) is also much smaller than EFT’s aggregated association strength (</w:t>
      </w:r>
      <w:r w:rsidRPr="006E5F97">
        <w:rPr>
          <w:rFonts w:eastAsia="Calibri"/>
          <w:i/>
          <w:iCs/>
        </w:rPr>
        <w:t>r</w:t>
      </w:r>
      <w:r w:rsidRPr="006E5F97">
        <w:rPr>
          <w:rFonts w:eastAsia="Calibri"/>
        </w:rPr>
        <w:t xml:space="preserve"> = -.67), meaning that the association between pathogen prevalence and IQ is non-collapsible.</w:t>
      </w:r>
    </w:p>
    <w:p w14:paraId="78DBD336" w14:textId="77777777" w:rsidR="006E5F97" w:rsidRPr="006E5F97" w:rsidRDefault="006E5F97" w:rsidP="006E5F97">
      <w:pPr>
        <w:rPr>
          <w:rFonts w:eastAsia="Calibri"/>
        </w:rPr>
      </w:pPr>
    </w:p>
    <w:tbl>
      <w:tblPr>
        <w:tblStyle w:val="TableGrid1"/>
        <w:tblW w:w="0" w:type="auto"/>
        <w:tblInd w:w="0" w:type="dxa"/>
        <w:tblLook w:val="04A0" w:firstRow="1" w:lastRow="0" w:firstColumn="1" w:lastColumn="0" w:noHBand="0" w:noVBand="1"/>
      </w:tblPr>
      <w:tblGrid>
        <w:gridCol w:w="843"/>
        <w:gridCol w:w="2469"/>
        <w:gridCol w:w="1020"/>
        <w:gridCol w:w="1080"/>
        <w:gridCol w:w="576"/>
      </w:tblGrid>
      <w:tr w:rsidR="006E5F97" w:rsidRPr="006E5F97" w14:paraId="2FD5EDA8" w14:textId="77777777" w:rsidTr="006E5F97">
        <w:trPr>
          <w:trHeight w:val="274"/>
        </w:trPr>
        <w:tc>
          <w:tcPr>
            <w:tcW w:w="0" w:type="auto"/>
            <w:gridSpan w:val="5"/>
            <w:tcBorders>
              <w:top w:val="nil"/>
              <w:left w:val="nil"/>
              <w:bottom w:val="single" w:sz="12" w:space="0" w:color="auto"/>
              <w:right w:val="nil"/>
            </w:tcBorders>
            <w:vAlign w:val="center"/>
            <w:hideMark/>
          </w:tcPr>
          <w:p w14:paraId="2442C03F" w14:textId="77777777" w:rsidR="006E5F97" w:rsidRPr="006E5F97" w:rsidRDefault="006E5F97" w:rsidP="006E5F97">
            <w:pPr>
              <w:spacing w:after="60"/>
              <w:rPr>
                <w:i/>
                <w:iCs/>
                <w:szCs w:val="24"/>
              </w:rPr>
            </w:pPr>
            <w:r w:rsidRPr="006E5F97">
              <w:rPr>
                <w:szCs w:val="24"/>
              </w:rPr>
              <w:t>Table 1</w:t>
            </w:r>
            <w:r w:rsidRPr="006E5F97">
              <w:rPr>
                <w:iCs/>
                <w:szCs w:val="24"/>
              </w:rPr>
              <w:t xml:space="preserve">. </w:t>
            </w:r>
            <w:r w:rsidRPr="006E5F97">
              <w:rPr>
                <w:i/>
                <w:iCs/>
                <w:szCs w:val="24"/>
              </w:rPr>
              <w:t>Regression Models Predicting IQ</w:t>
            </w:r>
          </w:p>
        </w:tc>
      </w:tr>
      <w:tr w:rsidR="006E5F97" w:rsidRPr="006E5F97" w14:paraId="7F9FF87A" w14:textId="77777777" w:rsidTr="006E5F97">
        <w:trPr>
          <w:trHeight w:val="360"/>
        </w:trPr>
        <w:tc>
          <w:tcPr>
            <w:tcW w:w="0" w:type="auto"/>
            <w:tcBorders>
              <w:top w:val="single" w:sz="4" w:space="0" w:color="auto"/>
              <w:left w:val="nil"/>
              <w:bottom w:val="single" w:sz="8" w:space="0" w:color="auto"/>
              <w:right w:val="nil"/>
            </w:tcBorders>
            <w:vAlign w:val="center"/>
            <w:hideMark/>
          </w:tcPr>
          <w:p w14:paraId="3D0B056C" w14:textId="77777777" w:rsidR="006E5F97" w:rsidRPr="006E5F97" w:rsidRDefault="006E5F97" w:rsidP="006E5F97">
            <w:pPr>
              <w:rPr>
                <w:szCs w:val="24"/>
              </w:rPr>
            </w:pPr>
            <w:r w:rsidRPr="006E5F97">
              <w:rPr>
                <w:szCs w:val="24"/>
              </w:rPr>
              <w:t>Model</w:t>
            </w:r>
          </w:p>
        </w:tc>
        <w:tc>
          <w:tcPr>
            <w:tcW w:w="0" w:type="auto"/>
            <w:tcBorders>
              <w:top w:val="single" w:sz="4" w:space="0" w:color="auto"/>
              <w:left w:val="nil"/>
              <w:bottom w:val="single" w:sz="8" w:space="0" w:color="auto"/>
              <w:right w:val="nil"/>
            </w:tcBorders>
            <w:vAlign w:val="center"/>
            <w:hideMark/>
          </w:tcPr>
          <w:p w14:paraId="6ADBCD55" w14:textId="77777777" w:rsidR="006E5F97" w:rsidRPr="006E5F97" w:rsidRDefault="006E5F97" w:rsidP="006E5F97">
            <w:pPr>
              <w:rPr>
                <w:szCs w:val="24"/>
              </w:rPr>
            </w:pPr>
            <w:r w:rsidRPr="006E5F97">
              <w:rPr>
                <w:szCs w:val="24"/>
              </w:rPr>
              <w:t>Predictors</w:t>
            </w:r>
          </w:p>
        </w:tc>
        <w:tc>
          <w:tcPr>
            <w:tcW w:w="0" w:type="auto"/>
            <w:tcBorders>
              <w:top w:val="single" w:sz="4" w:space="0" w:color="auto"/>
              <w:left w:val="nil"/>
              <w:bottom w:val="single" w:sz="8" w:space="0" w:color="auto"/>
              <w:right w:val="nil"/>
            </w:tcBorders>
            <w:vAlign w:val="center"/>
            <w:hideMark/>
          </w:tcPr>
          <w:p w14:paraId="0D613290" w14:textId="77777777" w:rsidR="006E5F97" w:rsidRPr="006E5F97" w:rsidRDefault="006E5F97" w:rsidP="006E5F97">
            <w:pPr>
              <w:rPr>
                <w:szCs w:val="24"/>
                <w:vertAlign w:val="superscript"/>
              </w:rPr>
            </w:pPr>
            <w:r w:rsidRPr="006E5F97">
              <w:rPr>
                <w:szCs w:val="24"/>
              </w:rPr>
              <w:t xml:space="preserve">adj. </w:t>
            </w:r>
            <w:r w:rsidRPr="006E5F97">
              <w:rPr>
                <w:i/>
                <w:iCs/>
                <w:szCs w:val="24"/>
              </w:rPr>
              <w:t>R</w:t>
            </w:r>
            <w:r w:rsidRPr="006E5F97">
              <w:rPr>
                <w:szCs w:val="24"/>
                <w:vertAlign w:val="superscript"/>
              </w:rPr>
              <w:t>2</w:t>
            </w:r>
          </w:p>
        </w:tc>
        <w:tc>
          <w:tcPr>
            <w:tcW w:w="0" w:type="auto"/>
            <w:tcBorders>
              <w:top w:val="single" w:sz="4" w:space="0" w:color="auto"/>
              <w:left w:val="nil"/>
              <w:bottom w:val="single" w:sz="8" w:space="0" w:color="auto"/>
              <w:right w:val="nil"/>
            </w:tcBorders>
            <w:vAlign w:val="center"/>
            <w:hideMark/>
          </w:tcPr>
          <w:p w14:paraId="64DD7B61" w14:textId="77777777" w:rsidR="006E5F97" w:rsidRPr="006E5F97" w:rsidRDefault="006E5F97" w:rsidP="006E5F97">
            <w:pPr>
              <w:rPr>
                <w:szCs w:val="24"/>
              </w:rPr>
            </w:pPr>
            <w:r w:rsidRPr="006E5F97">
              <w:rPr>
                <w:szCs w:val="24"/>
              </w:rPr>
              <w:t>std. β</w:t>
            </w:r>
          </w:p>
        </w:tc>
        <w:tc>
          <w:tcPr>
            <w:tcW w:w="0" w:type="auto"/>
            <w:tcBorders>
              <w:top w:val="single" w:sz="4" w:space="0" w:color="auto"/>
              <w:left w:val="nil"/>
              <w:bottom w:val="single" w:sz="8" w:space="0" w:color="auto"/>
              <w:right w:val="nil"/>
            </w:tcBorders>
            <w:vAlign w:val="center"/>
            <w:hideMark/>
          </w:tcPr>
          <w:p w14:paraId="1FD31381" w14:textId="77777777" w:rsidR="006E5F97" w:rsidRPr="006E5F97" w:rsidRDefault="006E5F97" w:rsidP="006E5F97">
            <w:pPr>
              <w:rPr>
                <w:szCs w:val="24"/>
              </w:rPr>
            </w:pPr>
            <w:r w:rsidRPr="006E5F97">
              <w:rPr>
                <w:szCs w:val="24"/>
              </w:rPr>
              <w:t>N</w:t>
            </w:r>
          </w:p>
        </w:tc>
      </w:tr>
      <w:tr w:rsidR="006E5F97" w:rsidRPr="006E5F97" w14:paraId="458B7E5E" w14:textId="77777777" w:rsidTr="006E5F97">
        <w:trPr>
          <w:trHeight w:val="360"/>
        </w:trPr>
        <w:tc>
          <w:tcPr>
            <w:tcW w:w="0" w:type="auto"/>
            <w:tcBorders>
              <w:top w:val="nil"/>
              <w:left w:val="nil"/>
              <w:bottom w:val="single" w:sz="4" w:space="0" w:color="auto"/>
              <w:right w:val="nil"/>
            </w:tcBorders>
            <w:vAlign w:val="center"/>
            <w:hideMark/>
          </w:tcPr>
          <w:p w14:paraId="370C5E80" w14:textId="77777777" w:rsidR="006E5F97" w:rsidRPr="006E5F97" w:rsidRDefault="006E5F97" w:rsidP="006E5F97">
            <w:pPr>
              <w:rPr>
                <w:szCs w:val="24"/>
              </w:rPr>
            </w:pPr>
            <w:r w:rsidRPr="006E5F97">
              <w:rPr>
                <w:szCs w:val="24"/>
              </w:rPr>
              <w:t>1</w:t>
            </w:r>
          </w:p>
        </w:tc>
        <w:tc>
          <w:tcPr>
            <w:tcW w:w="0" w:type="auto"/>
            <w:tcBorders>
              <w:top w:val="nil"/>
              <w:left w:val="nil"/>
              <w:bottom w:val="single" w:sz="4" w:space="0" w:color="auto"/>
              <w:right w:val="nil"/>
            </w:tcBorders>
            <w:vAlign w:val="center"/>
            <w:hideMark/>
          </w:tcPr>
          <w:p w14:paraId="709229D7" w14:textId="77777777" w:rsidR="006E5F97" w:rsidRPr="006E5F97" w:rsidRDefault="006E5F97" w:rsidP="006E5F97">
            <w:pPr>
              <w:rPr>
                <w:szCs w:val="24"/>
                <w:vertAlign w:val="superscript"/>
              </w:rPr>
            </w:pPr>
            <w:r w:rsidRPr="006E5F97">
              <w:rPr>
                <w:szCs w:val="24"/>
              </w:rPr>
              <w:t>Parasite Stress USA</w:t>
            </w:r>
            <w:r w:rsidRPr="006E5F97">
              <w:rPr>
                <w:szCs w:val="24"/>
                <w:vertAlign w:val="superscript"/>
              </w:rPr>
              <w:t>1</w:t>
            </w:r>
          </w:p>
        </w:tc>
        <w:tc>
          <w:tcPr>
            <w:tcW w:w="0" w:type="auto"/>
            <w:tcBorders>
              <w:top w:val="nil"/>
              <w:left w:val="nil"/>
              <w:bottom w:val="single" w:sz="4" w:space="0" w:color="auto"/>
              <w:right w:val="nil"/>
            </w:tcBorders>
            <w:vAlign w:val="center"/>
            <w:hideMark/>
          </w:tcPr>
          <w:p w14:paraId="325C190A" w14:textId="77777777" w:rsidR="006E5F97" w:rsidRPr="006E5F97" w:rsidRDefault="006E5F97" w:rsidP="006E5F97">
            <w:pPr>
              <w:tabs>
                <w:tab w:val="decimal" w:pos="144"/>
              </w:tabs>
              <w:rPr>
                <w:szCs w:val="24"/>
              </w:rPr>
            </w:pPr>
            <w:r w:rsidRPr="006E5F97">
              <w:rPr>
                <w:szCs w:val="24"/>
              </w:rPr>
              <w:t>.43***</w:t>
            </w:r>
          </w:p>
        </w:tc>
        <w:tc>
          <w:tcPr>
            <w:tcW w:w="0" w:type="auto"/>
            <w:tcBorders>
              <w:top w:val="nil"/>
              <w:left w:val="nil"/>
              <w:bottom w:val="single" w:sz="4" w:space="0" w:color="auto"/>
              <w:right w:val="nil"/>
            </w:tcBorders>
            <w:vAlign w:val="center"/>
            <w:hideMark/>
          </w:tcPr>
          <w:p w14:paraId="123958E5" w14:textId="77777777" w:rsidR="006E5F97" w:rsidRPr="006E5F97" w:rsidRDefault="006E5F97" w:rsidP="006E5F97">
            <w:pPr>
              <w:tabs>
                <w:tab w:val="decimal" w:pos="204"/>
              </w:tabs>
              <w:rPr>
                <w:szCs w:val="24"/>
              </w:rPr>
            </w:pPr>
            <w:r w:rsidRPr="006E5F97">
              <w:rPr>
                <w:szCs w:val="24"/>
              </w:rPr>
              <w:t>-.67***</w:t>
            </w:r>
          </w:p>
        </w:tc>
        <w:tc>
          <w:tcPr>
            <w:tcW w:w="0" w:type="auto"/>
            <w:tcBorders>
              <w:top w:val="nil"/>
              <w:left w:val="nil"/>
              <w:bottom w:val="single" w:sz="4" w:space="0" w:color="auto"/>
              <w:right w:val="nil"/>
            </w:tcBorders>
            <w:vAlign w:val="center"/>
            <w:hideMark/>
          </w:tcPr>
          <w:p w14:paraId="3D140EE0" w14:textId="77777777" w:rsidR="006E5F97" w:rsidRPr="006E5F97" w:rsidRDefault="006E5F97" w:rsidP="006E5F97">
            <w:pPr>
              <w:tabs>
                <w:tab w:val="decimal" w:pos="84"/>
              </w:tabs>
              <w:rPr>
                <w:szCs w:val="24"/>
              </w:rPr>
            </w:pPr>
            <w:r w:rsidRPr="006E5F97">
              <w:rPr>
                <w:szCs w:val="24"/>
              </w:rPr>
              <w:t>50</w:t>
            </w:r>
          </w:p>
        </w:tc>
      </w:tr>
      <w:tr w:rsidR="006E5F97" w:rsidRPr="006E5F97" w14:paraId="7FEDD0BE" w14:textId="77777777" w:rsidTr="006E5F97">
        <w:trPr>
          <w:trHeight w:val="360"/>
        </w:trPr>
        <w:tc>
          <w:tcPr>
            <w:tcW w:w="0" w:type="auto"/>
            <w:tcBorders>
              <w:top w:val="single" w:sz="4" w:space="0" w:color="auto"/>
              <w:left w:val="nil"/>
              <w:bottom w:val="nil"/>
              <w:right w:val="nil"/>
            </w:tcBorders>
            <w:vAlign w:val="center"/>
            <w:hideMark/>
          </w:tcPr>
          <w:p w14:paraId="137BB192" w14:textId="77777777" w:rsidR="006E5F97" w:rsidRPr="006E5F97" w:rsidRDefault="006E5F97" w:rsidP="006E5F97">
            <w:pPr>
              <w:rPr>
                <w:szCs w:val="24"/>
              </w:rPr>
            </w:pPr>
            <w:r w:rsidRPr="006E5F97">
              <w:rPr>
                <w:szCs w:val="24"/>
              </w:rPr>
              <w:t>2</w:t>
            </w:r>
          </w:p>
        </w:tc>
        <w:tc>
          <w:tcPr>
            <w:tcW w:w="0" w:type="auto"/>
            <w:tcBorders>
              <w:top w:val="single" w:sz="4" w:space="0" w:color="auto"/>
              <w:left w:val="nil"/>
              <w:bottom w:val="nil"/>
              <w:right w:val="nil"/>
            </w:tcBorders>
            <w:vAlign w:val="center"/>
            <w:hideMark/>
          </w:tcPr>
          <w:p w14:paraId="0B57E437" w14:textId="77777777" w:rsidR="006E5F97" w:rsidRPr="006E5F97" w:rsidRDefault="006E5F97" w:rsidP="006E5F97">
            <w:pPr>
              <w:rPr>
                <w:szCs w:val="24"/>
                <w:vertAlign w:val="superscript"/>
              </w:rPr>
            </w:pPr>
            <w:r w:rsidRPr="006E5F97">
              <w:rPr>
                <w:szCs w:val="24"/>
              </w:rPr>
              <w:t>CG</w:t>
            </w:r>
            <w:r w:rsidRPr="006E5F97">
              <w:rPr>
                <w:szCs w:val="24"/>
                <w:vertAlign w:val="subscript"/>
              </w:rPr>
              <w:t>white</w:t>
            </w:r>
            <w:r w:rsidRPr="006E5F97">
              <w:rPr>
                <w:szCs w:val="24"/>
                <w:vertAlign w:val="superscript"/>
              </w:rPr>
              <w:t>2</w:t>
            </w:r>
          </w:p>
        </w:tc>
        <w:tc>
          <w:tcPr>
            <w:tcW w:w="0" w:type="auto"/>
            <w:tcBorders>
              <w:top w:val="single" w:sz="4" w:space="0" w:color="auto"/>
              <w:left w:val="nil"/>
              <w:bottom w:val="nil"/>
              <w:right w:val="nil"/>
            </w:tcBorders>
            <w:vAlign w:val="center"/>
            <w:hideMark/>
          </w:tcPr>
          <w:p w14:paraId="45DAD1F8" w14:textId="77777777" w:rsidR="006E5F97" w:rsidRPr="006E5F97" w:rsidRDefault="006E5F97" w:rsidP="006E5F97">
            <w:pPr>
              <w:tabs>
                <w:tab w:val="decimal" w:pos="144"/>
              </w:tabs>
              <w:rPr>
                <w:szCs w:val="24"/>
              </w:rPr>
            </w:pPr>
            <w:r w:rsidRPr="006E5F97">
              <w:rPr>
                <w:szCs w:val="24"/>
              </w:rPr>
              <w:t>.11*</w:t>
            </w:r>
          </w:p>
        </w:tc>
        <w:tc>
          <w:tcPr>
            <w:tcW w:w="0" w:type="auto"/>
            <w:tcBorders>
              <w:top w:val="single" w:sz="4" w:space="0" w:color="auto"/>
              <w:left w:val="nil"/>
              <w:bottom w:val="nil"/>
              <w:right w:val="nil"/>
            </w:tcBorders>
            <w:vAlign w:val="center"/>
            <w:hideMark/>
          </w:tcPr>
          <w:p w14:paraId="76B5F593" w14:textId="77777777" w:rsidR="006E5F97" w:rsidRPr="006E5F97" w:rsidRDefault="006E5F97" w:rsidP="006E5F97">
            <w:pPr>
              <w:tabs>
                <w:tab w:val="decimal" w:pos="204"/>
              </w:tabs>
              <w:rPr>
                <w:szCs w:val="24"/>
              </w:rPr>
            </w:pPr>
            <w:r w:rsidRPr="006E5F97">
              <w:rPr>
                <w:szCs w:val="24"/>
              </w:rPr>
              <w:t>-.35*</w:t>
            </w:r>
          </w:p>
        </w:tc>
        <w:tc>
          <w:tcPr>
            <w:tcW w:w="0" w:type="auto"/>
            <w:tcBorders>
              <w:top w:val="single" w:sz="4" w:space="0" w:color="auto"/>
              <w:left w:val="nil"/>
              <w:bottom w:val="nil"/>
              <w:right w:val="nil"/>
            </w:tcBorders>
            <w:vAlign w:val="center"/>
            <w:hideMark/>
          </w:tcPr>
          <w:p w14:paraId="3D9B0A7A" w14:textId="77777777" w:rsidR="006E5F97" w:rsidRPr="006E5F97" w:rsidRDefault="006E5F97" w:rsidP="006E5F97">
            <w:pPr>
              <w:tabs>
                <w:tab w:val="decimal" w:pos="84"/>
              </w:tabs>
              <w:rPr>
                <w:szCs w:val="24"/>
              </w:rPr>
            </w:pPr>
            <w:r w:rsidRPr="006E5F97">
              <w:rPr>
                <w:szCs w:val="24"/>
              </w:rPr>
              <w:t>50</w:t>
            </w:r>
          </w:p>
        </w:tc>
      </w:tr>
      <w:tr w:rsidR="006E5F97" w:rsidRPr="006E5F97" w14:paraId="419948F0" w14:textId="77777777" w:rsidTr="006E5F97">
        <w:trPr>
          <w:trHeight w:val="360"/>
        </w:trPr>
        <w:tc>
          <w:tcPr>
            <w:tcW w:w="0" w:type="auto"/>
            <w:tcBorders>
              <w:top w:val="nil"/>
              <w:left w:val="nil"/>
              <w:bottom w:val="nil"/>
              <w:right w:val="nil"/>
            </w:tcBorders>
            <w:vAlign w:val="center"/>
            <w:hideMark/>
          </w:tcPr>
          <w:p w14:paraId="616E14D7" w14:textId="77777777" w:rsidR="006E5F97" w:rsidRPr="006E5F97" w:rsidRDefault="006E5F97" w:rsidP="006E5F97">
            <w:pPr>
              <w:rPr>
                <w:szCs w:val="24"/>
              </w:rPr>
            </w:pPr>
            <w:r w:rsidRPr="006E5F97">
              <w:rPr>
                <w:szCs w:val="24"/>
              </w:rPr>
              <w:t>3</w:t>
            </w:r>
          </w:p>
        </w:tc>
        <w:tc>
          <w:tcPr>
            <w:tcW w:w="0" w:type="auto"/>
            <w:tcBorders>
              <w:top w:val="nil"/>
              <w:left w:val="nil"/>
              <w:bottom w:val="nil"/>
              <w:right w:val="nil"/>
            </w:tcBorders>
            <w:vAlign w:val="center"/>
            <w:hideMark/>
          </w:tcPr>
          <w:p w14:paraId="572253D8" w14:textId="77777777" w:rsidR="006E5F97" w:rsidRPr="006E5F97" w:rsidRDefault="006E5F97" w:rsidP="006E5F97">
            <w:pPr>
              <w:rPr>
                <w:szCs w:val="24"/>
                <w:vertAlign w:val="superscript"/>
              </w:rPr>
            </w:pPr>
            <w:r w:rsidRPr="006E5F97">
              <w:rPr>
                <w:szCs w:val="24"/>
              </w:rPr>
              <w:t>CG</w:t>
            </w:r>
            <w:r w:rsidRPr="006E5F97">
              <w:rPr>
                <w:szCs w:val="24"/>
                <w:vertAlign w:val="subscript"/>
              </w:rPr>
              <w:t>black</w:t>
            </w:r>
            <w:r w:rsidRPr="006E5F97">
              <w:rPr>
                <w:szCs w:val="24"/>
                <w:vertAlign w:val="superscript"/>
              </w:rPr>
              <w:t>2</w:t>
            </w:r>
          </w:p>
        </w:tc>
        <w:tc>
          <w:tcPr>
            <w:tcW w:w="0" w:type="auto"/>
            <w:tcBorders>
              <w:top w:val="nil"/>
              <w:left w:val="nil"/>
              <w:bottom w:val="nil"/>
              <w:right w:val="nil"/>
            </w:tcBorders>
            <w:vAlign w:val="center"/>
            <w:hideMark/>
          </w:tcPr>
          <w:p w14:paraId="5AF77A35" w14:textId="77777777" w:rsidR="006E5F97" w:rsidRPr="006E5F97" w:rsidRDefault="006E5F97" w:rsidP="006E5F97">
            <w:pPr>
              <w:tabs>
                <w:tab w:val="decimal" w:pos="144"/>
              </w:tabs>
              <w:rPr>
                <w:szCs w:val="24"/>
              </w:rPr>
            </w:pPr>
            <w:r w:rsidRPr="006E5F97">
              <w:rPr>
                <w:szCs w:val="24"/>
              </w:rPr>
              <w:t>.05</w:t>
            </w:r>
          </w:p>
        </w:tc>
        <w:tc>
          <w:tcPr>
            <w:tcW w:w="0" w:type="auto"/>
            <w:tcBorders>
              <w:top w:val="nil"/>
              <w:left w:val="nil"/>
              <w:bottom w:val="nil"/>
              <w:right w:val="nil"/>
            </w:tcBorders>
            <w:vAlign w:val="center"/>
            <w:hideMark/>
          </w:tcPr>
          <w:p w14:paraId="63181CF1" w14:textId="77777777" w:rsidR="006E5F97" w:rsidRPr="006E5F97" w:rsidRDefault="006E5F97" w:rsidP="006E5F97">
            <w:pPr>
              <w:tabs>
                <w:tab w:val="decimal" w:pos="204"/>
              </w:tabs>
              <w:rPr>
                <w:szCs w:val="24"/>
              </w:rPr>
            </w:pPr>
            <w:r w:rsidRPr="006E5F97">
              <w:rPr>
                <w:szCs w:val="24"/>
              </w:rPr>
              <w:t>-.26</w:t>
            </w:r>
          </w:p>
        </w:tc>
        <w:tc>
          <w:tcPr>
            <w:tcW w:w="0" w:type="auto"/>
            <w:tcBorders>
              <w:top w:val="nil"/>
              <w:left w:val="nil"/>
              <w:bottom w:val="nil"/>
              <w:right w:val="nil"/>
            </w:tcBorders>
            <w:vAlign w:val="center"/>
            <w:hideMark/>
          </w:tcPr>
          <w:p w14:paraId="2F1B33A7" w14:textId="77777777" w:rsidR="006E5F97" w:rsidRPr="006E5F97" w:rsidRDefault="006E5F97" w:rsidP="006E5F97">
            <w:pPr>
              <w:tabs>
                <w:tab w:val="decimal" w:pos="84"/>
              </w:tabs>
              <w:rPr>
                <w:szCs w:val="24"/>
              </w:rPr>
            </w:pPr>
            <w:r w:rsidRPr="006E5F97">
              <w:rPr>
                <w:szCs w:val="24"/>
              </w:rPr>
              <w:t>42</w:t>
            </w:r>
          </w:p>
        </w:tc>
      </w:tr>
      <w:tr w:rsidR="006E5F97" w:rsidRPr="006E5F97" w14:paraId="6D5F84EC" w14:textId="77777777" w:rsidTr="006E5F97">
        <w:trPr>
          <w:trHeight w:val="360"/>
        </w:trPr>
        <w:tc>
          <w:tcPr>
            <w:tcW w:w="0" w:type="auto"/>
            <w:tcBorders>
              <w:top w:val="nil"/>
              <w:left w:val="nil"/>
              <w:bottom w:val="nil"/>
              <w:right w:val="nil"/>
            </w:tcBorders>
            <w:vAlign w:val="center"/>
            <w:hideMark/>
          </w:tcPr>
          <w:p w14:paraId="308FECAA" w14:textId="77777777" w:rsidR="006E5F97" w:rsidRPr="006E5F97" w:rsidRDefault="006E5F97" w:rsidP="006E5F97">
            <w:pPr>
              <w:rPr>
                <w:szCs w:val="24"/>
              </w:rPr>
            </w:pPr>
            <w:r w:rsidRPr="006E5F97">
              <w:rPr>
                <w:szCs w:val="24"/>
              </w:rPr>
              <w:t>4</w:t>
            </w:r>
          </w:p>
        </w:tc>
        <w:tc>
          <w:tcPr>
            <w:tcW w:w="0" w:type="auto"/>
            <w:tcBorders>
              <w:top w:val="nil"/>
              <w:left w:val="nil"/>
              <w:bottom w:val="nil"/>
              <w:right w:val="nil"/>
            </w:tcBorders>
            <w:vAlign w:val="center"/>
            <w:hideMark/>
          </w:tcPr>
          <w:p w14:paraId="1C77088E" w14:textId="77777777" w:rsidR="006E5F97" w:rsidRPr="006E5F97" w:rsidRDefault="006E5F97" w:rsidP="006E5F97">
            <w:pPr>
              <w:rPr>
                <w:szCs w:val="24"/>
                <w:vertAlign w:val="superscript"/>
              </w:rPr>
            </w:pPr>
            <w:r w:rsidRPr="006E5F97">
              <w:rPr>
                <w:szCs w:val="24"/>
              </w:rPr>
              <w:t>CG</w:t>
            </w:r>
            <w:r w:rsidRPr="006E5F97">
              <w:rPr>
                <w:szCs w:val="24"/>
                <w:vertAlign w:val="subscript"/>
              </w:rPr>
              <w:t>hispanic</w:t>
            </w:r>
            <w:r w:rsidRPr="006E5F97">
              <w:rPr>
                <w:szCs w:val="24"/>
                <w:vertAlign w:val="superscript"/>
              </w:rPr>
              <w:t>2</w:t>
            </w:r>
          </w:p>
        </w:tc>
        <w:tc>
          <w:tcPr>
            <w:tcW w:w="0" w:type="auto"/>
            <w:tcBorders>
              <w:top w:val="nil"/>
              <w:left w:val="nil"/>
              <w:bottom w:val="nil"/>
              <w:right w:val="nil"/>
            </w:tcBorders>
            <w:vAlign w:val="center"/>
            <w:hideMark/>
          </w:tcPr>
          <w:p w14:paraId="1D8FFE6A" w14:textId="77777777" w:rsidR="006E5F97" w:rsidRPr="006E5F97" w:rsidRDefault="006E5F97" w:rsidP="006E5F97">
            <w:pPr>
              <w:tabs>
                <w:tab w:val="decimal" w:pos="144"/>
              </w:tabs>
              <w:rPr>
                <w:szCs w:val="24"/>
              </w:rPr>
            </w:pPr>
            <w:r w:rsidRPr="006E5F97">
              <w:rPr>
                <w:szCs w:val="24"/>
              </w:rPr>
              <w:t>.18**</w:t>
            </w:r>
          </w:p>
        </w:tc>
        <w:tc>
          <w:tcPr>
            <w:tcW w:w="0" w:type="auto"/>
            <w:tcBorders>
              <w:top w:val="nil"/>
              <w:left w:val="nil"/>
              <w:bottom w:val="nil"/>
              <w:right w:val="nil"/>
            </w:tcBorders>
            <w:vAlign w:val="center"/>
            <w:hideMark/>
          </w:tcPr>
          <w:p w14:paraId="381FDF48" w14:textId="77777777" w:rsidR="006E5F97" w:rsidRPr="006E5F97" w:rsidRDefault="006E5F97" w:rsidP="006E5F97">
            <w:pPr>
              <w:tabs>
                <w:tab w:val="decimal" w:pos="204"/>
              </w:tabs>
              <w:rPr>
                <w:szCs w:val="24"/>
              </w:rPr>
            </w:pPr>
            <w:r w:rsidRPr="006E5F97">
              <w:rPr>
                <w:szCs w:val="24"/>
              </w:rPr>
              <w:t>-.44**</w:t>
            </w:r>
          </w:p>
        </w:tc>
        <w:tc>
          <w:tcPr>
            <w:tcW w:w="0" w:type="auto"/>
            <w:tcBorders>
              <w:top w:val="nil"/>
              <w:left w:val="nil"/>
              <w:bottom w:val="nil"/>
              <w:right w:val="nil"/>
            </w:tcBorders>
            <w:vAlign w:val="center"/>
            <w:hideMark/>
          </w:tcPr>
          <w:p w14:paraId="39C59E87" w14:textId="77777777" w:rsidR="006E5F97" w:rsidRPr="006E5F97" w:rsidRDefault="006E5F97" w:rsidP="006E5F97">
            <w:pPr>
              <w:tabs>
                <w:tab w:val="decimal" w:pos="84"/>
              </w:tabs>
              <w:rPr>
                <w:szCs w:val="24"/>
              </w:rPr>
            </w:pPr>
            <w:r w:rsidRPr="006E5F97">
              <w:rPr>
                <w:szCs w:val="24"/>
              </w:rPr>
              <w:t>42</w:t>
            </w:r>
          </w:p>
        </w:tc>
      </w:tr>
      <w:tr w:rsidR="006E5F97" w:rsidRPr="006E5F97" w14:paraId="4A443D03" w14:textId="77777777" w:rsidTr="006E5F97">
        <w:trPr>
          <w:trHeight w:val="360"/>
        </w:trPr>
        <w:tc>
          <w:tcPr>
            <w:tcW w:w="0" w:type="auto"/>
            <w:tcBorders>
              <w:top w:val="nil"/>
              <w:left w:val="nil"/>
              <w:bottom w:val="nil"/>
              <w:right w:val="nil"/>
            </w:tcBorders>
            <w:vAlign w:val="center"/>
            <w:hideMark/>
          </w:tcPr>
          <w:p w14:paraId="047B3073" w14:textId="77777777" w:rsidR="006E5F97" w:rsidRPr="006E5F97" w:rsidRDefault="006E5F97" w:rsidP="006E5F97">
            <w:pPr>
              <w:rPr>
                <w:szCs w:val="24"/>
              </w:rPr>
            </w:pPr>
            <w:r w:rsidRPr="006E5F97">
              <w:rPr>
                <w:szCs w:val="24"/>
              </w:rPr>
              <w:t>5</w:t>
            </w:r>
          </w:p>
        </w:tc>
        <w:tc>
          <w:tcPr>
            <w:tcW w:w="0" w:type="auto"/>
            <w:tcBorders>
              <w:top w:val="nil"/>
              <w:left w:val="nil"/>
              <w:bottom w:val="nil"/>
              <w:right w:val="nil"/>
            </w:tcBorders>
            <w:vAlign w:val="center"/>
            <w:hideMark/>
          </w:tcPr>
          <w:p w14:paraId="04FE4FAC" w14:textId="77777777" w:rsidR="006E5F97" w:rsidRPr="006E5F97" w:rsidRDefault="006E5F97" w:rsidP="006E5F97">
            <w:pPr>
              <w:rPr>
                <w:szCs w:val="24"/>
                <w:vertAlign w:val="superscript"/>
              </w:rPr>
            </w:pPr>
            <w:r w:rsidRPr="006E5F97">
              <w:rPr>
                <w:szCs w:val="24"/>
              </w:rPr>
              <w:t>CG</w:t>
            </w:r>
            <w:r w:rsidRPr="006E5F97">
              <w:rPr>
                <w:szCs w:val="24"/>
                <w:vertAlign w:val="subscript"/>
              </w:rPr>
              <w:t>asian</w:t>
            </w:r>
            <w:r w:rsidRPr="006E5F97">
              <w:rPr>
                <w:szCs w:val="24"/>
                <w:vertAlign w:val="superscript"/>
              </w:rPr>
              <w:t>2</w:t>
            </w:r>
          </w:p>
        </w:tc>
        <w:tc>
          <w:tcPr>
            <w:tcW w:w="0" w:type="auto"/>
            <w:tcBorders>
              <w:top w:val="nil"/>
              <w:left w:val="nil"/>
              <w:bottom w:val="nil"/>
              <w:right w:val="nil"/>
            </w:tcBorders>
            <w:vAlign w:val="center"/>
            <w:hideMark/>
          </w:tcPr>
          <w:p w14:paraId="2B432D30" w14:textId="77777777" w:rsidR="006E5F97" w:rsidRPr="006E5F97" w:rsidRDefault="006E5F97" w:rsidP="006E5F97">
            <w:pPr>
              <w:tabs>
                <w:tab w:val="decimal" w:pos="144"/>
              </w:tabs>
              <w:rPr>
                <w:szCs w:val="24"/>
              </w:rPr>
            </w:pPr>
            <w:r w:rsidRPr="006E5F97">
              <w:rPr>
                <w:szCs w:val="24"/>
              </w:rPr>
              <w:t>.41***</w:t>
            </w:r>
          </w:p>
        </w:tc>
        <w:tc>
          <w:tcPr>
            <w:tcW w:w="0" w:type="auto"/>
            <w:tcBorders>
              <w:top w:val="nil"/>
              <w:left w:val="nil"/>
              <w:bottom w:val="nil"/>
              <w:right w:val="nil"/>
            </w:tcBorders>
            <w:vAlign w:val="center"/>
            <w:hideMark/>
          </w:tcPr>
          <w:p w14:paraId="4B294AA7" w14:textId="77777777" w:rsidR="006E5F97" w:rsidRPr="006E5F97" w:rsidRDefault="006E5F97" w:rsidP="006E5F97">
            <w:pPr>
              <w:tabs>
                <w:tab w:val="decimal" w:pos="204"/>
              </w:tabs>
              <w:rPr>
                <w:szCs w:val="24"/>
              </w:rPr>
            </w:pPr>
            <w:r w:rsidRPr="006E5F97">
              <w:rPr>
                <w:szCs w:val="24"/>
              </w:rPr>
              <w:t>-.65***</w:t>
            </w:r>
          </w:p>
        </w:tc>
        <w:tc>
          <w:tcPr>
            <w:tcW w:w="0" w:type="auto"/>
            <w:tcBorders>
              <w:top w:val="nil"/>
              <w:left w:val="nil"/>
              <w:bottom w:val="nil"/>
              <w:right w:val="nil"/>
            </w:tcBorders>
            <w:vAlign w:val="center"/>
            <w:hideMark/>
          </w:tcPr>
          <w:p w14:paraId="0A21B5B3" w14:textId="77777777" w:rsidR="006E5F97" w:rsidRPr="006E5F97" w:rsidRDefault="006E5F97" w:rsidP="006E5F97">
            <w:pPr>
              <w:tabs>
                <w:tab w:val="decimal" w:pos="174"/>
              </w:tabs>
              <w:rPr>
                <w:szCs w:val="24"/>
              </w:rPr>
            </w:pPr>
            <w:r w:rsidRPr="006E5F97">
              <w:rPr>
                <w:szCs w:val="24"/>
              </w:rPr>
              <w:t>29</w:t>
            </w:r>
          </w:p>
        </w:tc>
      </w:tr>
      <w:tr w:rsidR="006E5F97" w:rsidRPr="006E5F97" w14:paraId="0942BE39" w14:textId="77777777" w:rsidTr="006E5F97">
        <w:trPr>
          <w:trHeight w:val="360"/>
        </w:trPr>
        <w:tc>
          <w:tcPr>
            <w:tcW w:w="0" w:type="auto"/>
            <w:tcBorders>
              <w:top w:val="nil"/>
              <w:left w:val="nil"/>
              <w:bottom w:val="single" w:sz="4" w:space="0" w:color="auto"/>
              <w:right w:val="nil"/>
            </w:tcBorders>
            <w:vAlign w:val="center"/>
            <w:hideMark/>
          </w:tcPr>
          <w:p w14:paraId="36E583A4" w14:textId="77777777" w:rsidR="006E5F97" w:rsidRPr="006E5F97" w:rsidRDefault="006E5F97" w:rsidP="006E5F97">
            <w:pPr>
              <w:rPr>
                <w:szCs w:val="24"/>
              </w:rPr>
            </w:pPr>
            <w:r w:rsidRPr="006E5F97">
              <w:rPr>
                <w:szCs w:val="24"/>
              </w:rPr>
              <w:t>6</w:t>
            </w:r>
          </w:p>
        </w:tc>
        <w:tc>
          <w:tcPr>
            <w:tcW w:w="0" w:type="auto"/>
            <w:tcBorders>
              <w:top w:val="nil"/>
              <w:left w:val="nil"/>
              <w:bottom w:val="single" w:sz="4" w:space="0" w:color="auto"/>
              <w:right w:val="nil"/>
            </w:tcBorders>
            <w:vAlign w:val="center"/>
            <w:hideMark/>
          </w:tcPr>
          <w:p w14:paraId="1DF80578" w14:textId="77777777" w:rsidR="006E5F97" w:rsidRPr="006E5F97" w:rsidRDefault="006E5F97" w:rsidP="006E5F97">
            <w:pPr>
              <w:rPr>
                <w:szCs w:val="24"/>
                <w:vertAlign w:val="superscript"/>
              </w:rPr>
            </w:pPr>
            <w:r w:rsidRPr="006E5F97">
              <w:rPr>
                <w:szCs w:val="24"/>
              </w:rPr>
              <w:t>CG</w:t>
            </w:r>
            <w:r w:rsidRPr="006E5F97">
              <w:rPr>
                <w:szCs w:val="24"/>
                <w:vertAlign w:val="subscript"/>
              </w:rPr>
              <w:t>native</w:t>
            </w:r>
            <w:r w:rsidRPr="006E5F97">
              <w:rPr>
                <w:szCs w:val="24"/>
                <w:vertAlign w:val="superscript"/>
              </w:rPr>
              <w:t>2</w:t>
            </w:r>
          </w:p>
        </w:tc>
        <w:tc>
          <w:tcPr>
            <w:tcW w:w="0" w:type="auto"/>
            <w:tcBorders>
              <w:top w:val="nil"/>
              <w:left w:val="nil"/>
              <w:bottom w:val="single" w:sz="4" w:space="0" w:color="auto"/>
              <w:right w:val="nil"/>
            </w:tcBorders>
            <w:vAlign w:val="center"/>
            <w:hideMark/>
          </w:tcPr>
          <w:p w14:paraId="4EF68CBB" w14:textId="77777777" w:rsidR="006E5F97" w:rsidRPr="006E5F97" w:rsidRDefault="006E5F97" w:rsidP="006E5F97">
            <w:pPr>
              <w:tabs>
                <w:tab w:val="decimal" w:pos="144"/>
              </w:tabs>
              <w:rPr>
                <w:szCs w:val="24"/>
              </w:rPr>
            </w:pPr>
            <w:r w:rsidRPr="006E5F97">
              <w:rPr>
                <w:szCs w:val="24"/>
              </w:rPr>
              <w:t>.00</w:t>
            </w:r>
          </w:p>
        </w:tc>
        <w:tc>
          <w:tcPr>
            <w:tcW w:w="0" w:type="auto"/>
            <w:tcBorders>
              <w:top w:val="nil"/>
              <w:left w:val="nil"/>
              <w:bottom w:val="single" w:sz="4" w:space="0" w:color="auto"/>
              <w:right w:val="nil"/>
            </w:tcBorders>
            <w:vAlign w:val="center"/>
            <w:hideMark/>
          </w:tcPr>
          <w:p w14:paraId="6381CE5A" w14:textId="77777777" w:rsidR="006E5F97" w:rsidRPr="006E5F97" w:rsidRDefault="006E5F97" w:rsidP="006E5F97">
            <w:pPr>
              <w:tabs>
                <w:tab w:val="decimal" w:pos="204"/>
              </w:tabs>
              <w:rPr>
                <w:szCs w:val="24"/>
              </w:rPr>
            </w:pPr>
            <w:r w:rsidRPr="006E5F97">
              <w:rPr>
                <w:szCs w:val="24"/>
              </w:rPr>
              <w:t>-.22</w:t>
            </w:r>
          </w:p>
        </w:tc>
        <w:tc>
          <w:tcPr>
            <w:tcW w:w="0" w:type="auto"/>
            <w:tcBorders>
              <w:top w:val="nil"/>
              <w:left w:val="nil"/>
              <w:bottom w:val="single" w:sz="4" w:space="0" w:color="auto"/>
              <w:right w:val="nil"/>
            </w:tcBorders>
            <w:vAlign w:val="center"/>
            <w:hideMark/>
          </w:tcPr>
          <w:p w14:paraId="05D64C88" w14:textId="77777777" w:rsidR="006E5F97" w:rsidRPr="006E5F97" w:rsidRDefault="006E5F97" w:rsidP="006E5F97">
            <w:pPr>
              <w:tabs>
                <w:tab w:val="decimal" w:pos="174"/>
              </w:tabs>
              <w:rPr>
                <w:szCs w:val="24"/>
              </w:rPr>
            </w:pPr>
            <w:r w:rsidRPr="006E5F97">
              <w:rPr>
                <w:szCs w:val="24"/>
              </w:rPr>
              <w:t>17</w:t>
            </w:r>
          </w:p>
        </w:tc>
      </w:tr>
      <w:tr w:rsidR="006E5F97" w:rsidRPr="006E5F97" w14:paraId="54E589CF" w14:textId="77777777" w:rsidTr="006E5F97">
        <w:trPr>
          <w:trHeight w:val="360"/>
        </w:trPr>
        <w:tc>
          <w:tcPr>
            <w:tcW w:w="0" w:type="auto"/>
            <w:tcBorders>
              <w:top w:val="single" w:sz="4" w:space="0" w:color="auto"/>
              <w:left w:val="nil"/>
              <w:bottom w:val="nil"/>
              <w:right w:val="nil"/>
            </w:tcBorders>
            <w:vAlign w:val="center"/>
            <w:hideMark/>
          </w:tcPr>
          <w:p w14:paraId="608848C0" w14:textId="77777777" w:rsidR="006E5F97" w:rsidRPr="006E5F97" w:rsidRDefault="006E5F97" w:rsidP="006E5F97">
            <w:pPr>
              <w:rPr>
                <w:szCs w:val="24"/>
              </w:rPr>
            </w:pPr>
            <w:r w:rsidRPr="006E5F97">
              <w:rPr>
                <w:szCs w:val="24"/>
              </w:rPr>
              <w:t>7</w:t>
            </w:r>
          </w:p>
        </w:tc>
        <w:tc>
          <w:tcPr>
            <w:tcW w:w="0" w:type="auto"/>
            <w:tcBorders>
              <w:top w:val="single" w:sz="4" w:space="0" w:color="auto"/>
              <w:left w:val="nil"/>
              <w:bottom w:val="nil"/>
              <w:right w:val="nil"/>
            </w:tcBorders>
            <w:vAlign w:val="center"/>
            <w:hideMark/>
          </w:tcPr>
          <w:p w14:paraId="675BE8DB" w14:textId="77777777" w:rsidR="006E5F97" w:rsidRPr="006E5F97" w:rsidRDefault="006E5F97" w:rsidP="006E5F97">
            <w:pPr>
              <w:rPr>
                <w:szCs w:val="24"/>
                <w:vertAlign w:val="superscript"/>
              </w:rPr>
            </w:pPr>
            <w:r w:rsidRPr="006E5F97">
              <w:rPr>
                <w:szCs w:val="24"/>
              </w:rPr>
              <w:t>Dummy race variables</w:t>
            </w:r>
            <w:r w:rsidRPr="006E5F97">
              <w:rPr>
                <w:szCs w:val="24"/>
                <w:vertAlign w:val="superscript"/>
              </w:rPr>
              <w:t>3</w:t>
            </w:r>
          </w:p>
        </w:tc>
        <w:tc>
          <w:tcPr>
            <w:tcW w:w="0" w:type="auto"/>
            <w:tcBorders>
              <w:top w:val="single" w:sz="4" w:space="0" w:color="auto"/>
              <w:left w:val="nil"/>
              <w:bottom w:val="nil"/>
              <w:right w:val="nil"/>
            </w:tcBorders>
            <w:vAlign w:val="center"/>
            <w:hideMark/>
          </w:tcPr>
          <w:p w14:paraId="4C01041B" w14:textId="77777777" w:rsidR="006E5F97" w:rsidRPr="006E5F97" w:rsidRDefault="006E5F97" w:rsidP="006E5F97">
            <w:pPr>
              <w:tabs>
                <w:tab w:val="decimal" w:pos="144"/>
              </w:tabs>
              <w:rPr>
                <w:szCs w:val="24"/>
              </w:rPr>
            </w:pPr>
            <w:r w:rsidRPr="006E5F97">
              <w:rPr>
                <w:szCs w:val="24"/>
              </w:rPr>
              <w:t>.79***</w:t>
            </w:r>
          </w:p>
        </w:tc>
        <w:tc>
          <w:tcPr>
            <w:tcW w:w="0" w:type="auto"/>
            <w:tcBorders>
              <w:top w:val="single" w:sz="4" w:space="0" w:color="auto"/>
              <w:left w:val="nil"/>
              <w:bottom w:val="nil"/>
              <w:right w:val="nil"/>
            </w:tcBorders>
            <w:vAlign w:val="center"/>
          </w:tcPr>
          <w:p w14:paraId="5E0764E3" w14:textId="77777777" w:rsidR="006E5F97" w:rsidRPr="006E5F97" w:rsidRDefault="006E5F97" w:rsidP="006E5F97">
            <w:pPr>
              <w:tabs>
                <w:tab w:val="decimal" w:pos="204"/>
              </w:tabs>
              <w:rPr>
                <w:szCs w:val="24"/>
              </w:rPr>
            </w:pPr>
          </w:p>
        </w:tc>
        <w:tc>
          <w:tcPr>
            <w:tcW w:w="0" w:type="auto"/>
            <w:tcBorders>
              <w:top w:val="single" w:sz="4" w:space="0" w:color="auto"/>
              <w:left w:val="nil"/>
              <w:bottom w:val="nil"/>
              <w:right w:val="nil"/>
            </w:tcBorders>
            <w:vAlign w:val="center"/>
            <w:hideMark/>
          </w:tcPr>
          <w:p w14:paraId="5CB63394" w14:textId="77777777" w:rsidR="006E5F97" w:rsidRPr="006E5F97" w:rsidRDefault="006E5F97" w:rsidP="006E5F97">
            <w:pPr>
              <w:tabs>
                <w:tab w:val="decimal" w:pos="174"/>
              </w:tabs>
              <w:rPr>
                <w:szCs w:val="24"/>
              </w:rPr>
            </w:pPr>
            <w:r w:rsidRPr="006E5F97">
              <w:rPr>
                <w:szCs w:val="24"/>
              </w:rPr>
              <w:t>180</w:t>
            </w:r>
          </w:p>
        </w:tc>
      </w:tr>
      <w:tr w:rsidR="006E5F97" w:rsidRPr="006E5F97" w14:paraId="4F72DB7F" w14:textId="77777777" w:rsidTr="006E5F97">
        <w:trPr>
          <w:trHeight w:val="360"/>
        </w:trPr>
        <w:tc>
          <w:tcPr>
            <w:tcW w:w="0" w:type="auto"/>
            <w:tcBorders>
              <w:top w:val="nil"/>
              <w:left w:val="nil"/>
              <w:bottom w:val="nil"/>
              <w:right w:val="nil"/>
            </w:tcBorders>
            <w:vAlign w:val="center"/>
            <w:hideMark/>
          </w:tcPr>
          <w:p w14:paraId="04E4AA43" w14:textId="77777777" w:rsidR="006E5F97" w:rsidRPr="006E5F97" w:rsidRDefault="006E5F97" w:rsidP="006E5F97">
            <w:pPr>
              <w:rPr>
                <w:szCs w:val="24"/>
              </w:rPr>
            </w:pPr>
            <w:r w:rsidRPr="006E5F97">
              <w:rPr>
                <w:szCs w:val="24"/>
              </w:rPr>
              <w:t>8</w:t>
            </w:r>
          </w:p>
        </w:tc>
        <w:tc>
          <w:tcPr>
            <w:tcW w:w="0" w:type="auto"/>
            <w:tcBorders>
              <w:top w:val="nil"/>
              <w:left w:val="nil"/>
              <w:bottom w:val="nil"/>
              <w:right w:val="nil"/>
            </w:tcBorders>
            <w:vAlign w:val="center"/>
            <w:hideMark/>
          </w:tcPr>
          <w:p w14:paraId="53647A92" w14:textId="77777777" w:rsidR="006E5F97" w:rsidRPr="006E5F97" w:rsidRDefault="006E5F97" w:rsidP="006E5F97">
            <w:pPr>
              <w:rPr>
                <w:szCs w:val="24"/>
                <w:vertAlign w:val="superscript"/>
              </w:rPr>
            </w:pPr>
            <w:r w:rsidRPr="006E5F97">
              <w:rPr>
                <w:szCs w:val="24"/>
              </w:rPr>
              <w:t>CG</w:t>
            </w:r>
            <w:r w:rsidRPr="006E5F97">
              <w:rPr>
                <w:szCs w:val="24"/>
                <w:vertAlign w:val="subscript"/>
              </w:rPr>
              <w:t>LOG_uncentered</w:t>
            </w:r>
            <w:r w:rsidRPr="006E5F97">
              <w:rPr>
                <w:szCs w:val="24"/>
                <w:vertAlign w:val="superscript"/>
              </w:rPr>
              <w:t>3</w:t>
            </w:r>
          </w:p>
        </w:tc>
        <w:tc>
          <w:tcPr>
            <w:tcW w:w="0" w:type="auto"/>
            <w:tcBorders>
              <w:top w:val="nil"/>
              <w:left w:val="nil"/>
              <w:bottom w:val="nil"/>
              <w:right w:val="nil"/>
            </w:tcBorders>
            <w:vAlign w:val="center"/>
            <w:hideMark/>
          </w:tcPr>
          <w:p w14:paraId="50BF0FA6" w14:textId="77777777" w:rsidR="006E5F97" w:rsidRPr="006E5F97" w:rsidRDefault="006E5F97" w:rsidP="006E5F97">
            <w:pPr>
              <w:tabs>
                <w:tab w:val="decimal" w:pos="144"/>
              </w:tabs>
              <w:rPr>
                <w:szCs w:val="24"/>
              </w:rPr>
            </w:pPr>
            <w:r w:rsidRPr="006E5F97">
              <w:rPr>
                <w:szCs w:val="24"/>
              </w:rPr>
              <w:t>.75***</w:t>
            </w:r>
          </w:p>
        </w:tc>
        <w:tc>
          <w:tcPr>
            <w:tcW w:w="0" w:type="auto"/>
            <w:tcBorders>
              <w:top w:val="nil"/>
              <w:left w:val="nil"/>
              <w:bottom w:val="nil"/>
              <w:right w:val="nil"/>
            </w:tcBorders>
            <w:vAlign w:val="center"/>
            <w:hideMark/>
          </w:tcPr>
          <w:p w14:paraId="4CC840A0" w14:textId="77777777" w:rsidR="006E5F97" w:rsidRPr="006E5F97" w:rsidRDefault="006E5F97" w:rsidP="006E5F97">
            <w:pPr>
              <w:tabs>
                <w:tab w:val="decimal" w:pos="204"/>
              </w:tabs>
              <w:rPr>
                <w:szCs w:val="24"/>
              </w:rPr>
            </w:pPr>
            <w:r w:rsidRPr="006E5F97">
              <w:rPr>
                <w:szCs w:val="24"/>
              </w:rPr>
              <w:t>-.87***</w:t>
            </w:r>
          </w:p>
        </w:tc>
        <w:tc>
          <w:tcPr>
            <w:tcW w:w="0" w:type="auto"/>
            <w:tcBorders>
              <w:top w:val="nil"/>
              <w:left w:val="nil"/>
              <w:bottom w:val="nil"/>
              <w:right w:val="nil"/>
            </w:tcBorders>
            <w:vAlign w:val="center"/>
            <w:hideMark/>
          </w:tcPr>
          <w:p w14:paraId="3964147D" w14:textId="77777777" w:rsidR="006E5F97" w:rsidRPr="006E5F97" w:rsidRDefault="006E5F97" w:rsidP="006E5F97">
            <w:pPr>
              <w:tabs>
                <w:tab w:val="decimal" w:pos="174"/>
              </w:tabs>
              <w:rPr>
                <w:szCs w:val="24"/>
              </w:rPr>
            </w:pPr>
            <w:r w:rsidRPr="006E5F97">
              <w:rPr>
                <w:szCs w:val="24"/>
              </w:rPr>
              <w:t>180</w:t>
            </w:r>
          </w:p>
        </w:tc>
      </w:tr>
      <w:tr w:rsidR="006E5F97" w:rsidRPr="006E5F97" w14:paraId="093CC422" w14:textId="77777777" w:rsidTr="006E5F97">
        <w:trPr>
          <w:trHeight w:val="360"/>
        </w:trPr>
        <w:tc>
          <w:tcPr>
            <w:tcW w:w="0" w:type="auto"/>
            <w:tcBorders>
              <w:top w:val="nil"/>
              <w:left w:val="nil"/>
              <w:bottom w:val="nil"/>
              <w:right w:val="nil"/>
            </w:tcBorders>
            <w:vAlign w:val="center"/>
            <w:hideMark/>
          </w:tcPr>
          <w:p w14:paraId="045B7A0C" w14:textId="77777777" w:rsidR="006E5F97" w:rsidRPr="006E5F97" w:rsidRDefault="006E5F97" w:rsidP="006E5F97">
            <w:pPr>
              <w:rPr>
                <w:szCs w:val="24"/>
              </w:rPr>
            </w:pPr>
            <w:r w:rsidRPr="006E5F97">
              <w:rPr>
                <w:szCs w:val="24"/>
              </w:rPr>
              <w:t>9</w:t>
            </w:r>
          </w:p>
        </w:tc>
        <w:tc>
          <w:tcPr>
            <w:tcW w:w="0" w:type="auto"/>
            <w:tcBorders>
              <w:top w:val="nil"/>
              <w:left w:val="nil"/>
              <w:bottom w:val="nil"/>
              <w:right w:val="nil"/>
            </w:tcBorders>
            <w:vAlign w:val="center"/>
            <w:hideMark/>
          </w:tcPr>
          <w:p w14:paraId="4465C8D8" w14:textId="77777777" w:rsidR="006E5F97" w:rsidRPr="006E5F97" w:rsidRDefault="006E5F97" w:rsidP="006E5F97">
            <w:pPr>
              <w:rPr>
                <w:szCs w:val="24"/>
                <w:vertAlign w:val="superscript"/>
              </w:rPr>
            </w:pPr>
            <w:r w:rsidRPr="006E5F97">
              <w:rPr>
                <w:szCs w:val="24"/>
              </w:rPr>
              <w:t>CG</w:t>
            </w:r>
            <w:r w:rsidRPr="006E5F97">
              <w:rPr>
                <w:szCs w:val="24"/>
                <w:vertAlign w:val="subscript"/>
              </w:rPr>
              <w:t>LOG_centered</w:t>
            </w:r>
            <w:r w:rsidRPr="006E5F97">
              <w:rPr>
                <w:szCs w:val="24"/>
                <w:vertAlign w:val="superscript"/>
              </w:rPr>
              <w:t>4</w:t>
            </w:r>
          </w:p>
        </w:tc>
        <w:tc>
          <w:tcPr>
            <w:tcW w:w="0" w:type="auto"/>
            <w:tcBorders>
              <w:top w:val="nil"/>
              <w:left w:val="nil"/>
              <w:bottom w:val="nil"/>
              <w:right w:val="nil"/>
            </w:tcBorders>
            <w:vAlign w:val="center"/>
            <w:hideMark/>
          </w:tcPr>
          <w:p w14:paraId="0FD6DFF0" w14:textId="77777777" w:rsidR="006E5F97" w:rsidRPr="006E5F97" w:rsidRDefault="006E5F97" w:rsidP="006E5F97">
            <w:pPr>
              <w:tabs>
                <w:tab w:val="decimal" w:pos="144"/>
              </w:tabs>
              <w:rPr>
                <w:szCs w:val="24"/>
              </w:rPr>
            </w:pPr>
            <w:r w:rsidRPr="006E5F97">
              <w:rPr>
                <w:szCs w:val="24"/>
              </w:rPr>
              <w:t>.23***</w:t>
            </w:r>
          </w:p>
        </w:tc>
        <w:tc>
          <w:tcPr>
            <w:tcW w:w="0" w:type="auto"/>
            <w:tcBorders>
              <w:top w:val="nil"/>
              <w:left w:val="nil"/>
              <w:bottom w:val="nil"/>
              <w:right w:val="nil"/>
            </w:tcBorders>
            <w:vAlign w:val="center"/>
            <w:hideMark/>
          </w:tcPr>
          <w:p w14:paraId="4159A905" w14:textId="77777777" w:rsidR="006E5F97" w:rsidRPr="006E5F97" w:rsidRDefault="006E5F97" w:rsidP="006E5F97">
            <w:pPr>
              <w:tabs>
                <w:tab w:val="decimal" w:pos="204"/>
              </w:tabs>
              <w:rPr>
                <w:szCs w:val="24"/>
              </w:rPr>
            </w:pPr>
            <w:r w:rsidRPr="006E5F97">
              <w:rPr>
                <w:szCs w:val="24"/>
              </w:rPr>
              <w:t>-.49***</w:t>
            </w:r>
          </w:p>
        </w:tc>
        <w:tc>
          <w:tcPr>
            <w:tcW w:w="0" w:type="auto"/>
            <w:tcBorders>
              <w:top w:val="nil"/>
              <w:left w:val="nil"/>
              <w:bottom w:val="nil"/>
              <w:right w:val="nil"/>
            </w:tcBorders>
            <w:vAlign w:val="center"/>
            <w:hideMark/>
          </w:tcPr>
          <w:p w14:paraId="27B5EC73" w14:textId="77777777" w:rsidR="006E5F97" w:rsidRPr="006E5F97" w:rsidRDefault="006E5F97" w:rsidP="006E5F97">
            <w:pPr>
              <w:tabs>
                <w:tab w:val="decimal" w:pos="174"/>
              </w:tabs>
              <w:rPr>
                <w:szCs w:val="24"/>
              </w:rPr>
            </w:pPr>
            <w:r w:rsidRPr="006E5F97">
              <w:rPr>
                <w:szCs w:val="24"/>
              </w:rPr>
              <w:t>180</w:t>
            </w:r>
          </w:p>
        </w:tc>
      </w:tr>
      <w:tr w:rsidR="006E5F97" w:rsidRPr="006E5F97" w14:paraId="33257EF8" w14:textId="77777777" w:rsidTr="006E5F97">
        <w:trPr>
          <w:trHeight w:val="360"/>
        </w:trPr>
        <w:tc>
          <w:tcPr>
            <w:tcW w:w="0" w:type="auto"/>
            <w:tcBorders>
              <w:top w:val="nil"/>
              <w:left w:val="nil"/>
              <w:bottom w:val="nil"/>
              <w:right w:val="nil"/>
            </w:tcBorders>
            <w:vAlign w:val="center"/>
            <w:hideMark/>
          </w:tcPr>
          <w:p w14:paraId="7B3D0358" w14:textId="77777777" w:rsidR="006E5F97" w:rsidRPr="006E5F97" w:rsidRDefault="006E5F97" w:rsidP="006E5F97">
            <w:pPr>
              <w:rPr>
                <w:szCs w:val="24"/>
              </w:rPr>
            </w:pPr>
            <w:r w:rsidRPr="006E5F97">
              <w:rPr>
                <w:szCs w:val="24"/>
              </w:rPr>
              <w:t>10</w:t>
            </w:r>
          </w:p>
        </w:tc>
        <w:tc>
          <w:tcPr>
            <w:tcW w:w="0" w:type="auto"/>
            <w:tcBorders>
              <w:top w:val="nil"/>
              <w:left w:val="nil"/>
              <w:bottom w:val="nil"/>
              <w:right w:val="nil"/>
            </w:tcBorders>
            <w:vAlign w:val="center"/>
            <w:hideMark/>
          </w:tcPr>
          <w:p w14:paraId="6EB6539B" w14:textId="77777777" w:rsidR="006E5F97" w:rsidRPr="006E5F97" w:rsidRDefault="006E5F97" w:rsidP="006E5F97">
            <w:pPr>
              <w:rPr>
                <w:szCs w:val="24"/>
                <w:vertAlign w:val="superscript"/>
              </w:rPr>
            </w:pPr>
            <w:r w:rsidRPr="006E5F97">
              <w:rPr>
                <w:szCs w:val="24"/>
              </w:rPr>
              <w:t>Wealth</w:t>
            </w:r>
            <w:r w:rsidRPr="006E5F97">
              <w:rPr>
                <w:szCs w:val="24"/>
                <w:vertAlign w:val="subscript"/>
              </w:rPr>
              <w:t>centered</w:t>
            </w:r>
            <w:r w:rsidRPr="006E5F97">
              <w:rPr>
                <w:szCs w:val="24"/>
                <w:vertAlign w:val="superscript"/>
              </w:rPr>
              <w:t>4</w:t>
            </w:r>
          </w:p>
        </w:tc>
        <w:tc>
          <w:tcPr>
            <w:tcW w:w="0" w:type="auto"/>
            <w:tcBorders>
              <w:top w:val="nil"/>
              <w:left w:val="nil"/>
              <w:bottom w:val="nil"/>
              <w:right w:val="nil"/>
            </w:tcBorders>
            <w:vAlign w:val="center"/>
            <w:hideMark/>
          </w:tcPr>
          <w:p w14:paraId="63B25F43" w14:textId="77777777" w:rsidR="006E5F97" w:rsidRPr="006E5F97" w:rsidRDefault="006E5F97" w:rsidP="006E5F97">
            <w:pPr>
              <w:tabs>
                <w:tab w:val="decimal" w:pos="144"/>
              </w:tabs>
              <w:rPr>
                <w:szCs w:val="24"/>
              </w:rPr>
            </w:pPr>
            <w:r w:rsidRPr="006E5F97">
              <w:rPr>
                <w:szCs w:val="24"/>
              </w:rPr>
              <w:t>.18***</w:t>
            </w:r>
          </w:p>
        </w:tc>
        <w:tc>
          <w:tcPr>
            <w:tcW w:w="0" w:type="auto"/>
            <w:tcBorders>
              <w:top w:val="nil"/>
              <w:left w:val="nil"/>
              <w:bottom w:val="nil"/>
              <w:right w:val="nil"/>
            </w:tcBorders>
            <w:vAlign w:val="center"/>
            <w:hideMark/>
          </w:tcPr>
          <w:p w14:paraId="4CFD7437" w14:textId="77777777" w:rsidR="006E5F97" w:rsidRPr="006E5F97" w:rsidRDefault="006E5F97" w:rsidP="006E5F97">
            <w:pPr>
              <w:tabs>
                <w:tab w:val="decimal" w:pos="204"/>
              </w:tabs>
              <w:rPr>
                <w:szCs w:val="24"/>
              </w:rPr>
            </w:pPr>
            <w:r w:rsidRPr="006E5F97">
              <w:rPr>
                <w:szCs w:val="24"/>
              </w:rPr>
              <w:t>.43***</w:t>
            </w:r>
          </w:p>
        </w:tc>
        <w:tc>
          <w:tcPr>
            <w:tcW w:w="0" w:type="auto"/>
            <w:tcBorders>
              <w:top w:val="nil"/>
              <w:left w:val="nil"/>
              <w:bottom w:val="nil"/>
              <w:right w:val="nil"/>
            </w:tcBorders>
            <w:vAlign w:val="center"/>
            <w:hideMark/>
          </w:tcPr>
          <w:p w14:paraId="32604AE2" w14:textId="77777777" w:rsidR="006E5F97" w:rsidRPr="006E5F97" w:rsidRDefault="006E5F97" w:rsidP="006E5F97">
            <w:pPr>
              <w:tabs>
                <w:tab w:val="decimal" w:pos="174"/>
              </w:tabs>
              <w:rPr>
                <w:szCs w:val="24"/>
              </w:rPr>
            </w:pPr>
            <w:r w:rsidRPr="006E5F97">
              <w:rPr>
                <w:szCs w:val="24"/>
              </w:rPr>
              <w:t>180</w:t>
            </w:r>
          </w:p>
        </w:tc>
      </w:tr>
      <w:tr w:rsidR="006E5F97" w:rsidRPr="006E5F97" w14:paraId="2899A954" w14:textId="77777777" w:rsidTr="006E5F97">
        <w:trPr>
          <w:trHeight w:val="360"/>
        </w:trPr>
        <w:tc>
          <w:tcPr>
            <w:tcW w:w="0" w:type="auto"/>
            <w:tcBorders>
              <w:top w:val="nil"/>
              <w:left w:val="nil"/>
              <w:bottom w:val="nil"/>
              <w:right w:val="nil"/>
            </w:tcBorders>
            <w:vAlign w:val="center"/>
            <w:hideMark/>
          </w:tcPr>
          <w:p w14:paraId="4084B2C8" w14:textId="77777777" w:rsidR="006E5F97" w:rsidRPr="006E5F97" w:rsidRDefault="006E5F97" w:rsidP="006E5F97">
            <w:pPr>
              <w:rPr>
                <w:szCs w:val="24"/>
              </w:rPr>
            </w:pPr>
            <w:r w:rsidRPr="006E5F97">
              <w:rPr>
                <w:szCs w:val="24"/>
              </w:rPr>
              <w:t>11</w:t>
            </w:r>
          </w:p>
        </w:tc>
        <w:tc>
          <w:tcPr>
            <w:tcW w:w="0" w:type="auto"/>
            <w:tcBorders>
              <w:top w:val="nil"/>
              <w:left w:val="nil"/>
              <w:bottom w:val="nil"/>
              <w:right w:val="nil"/>
            </w:tcBorders>
            <w:vAlign w:val="center"/>
            <w:hideMark/>
          </w:tcPr>
          <w:p w14:paraId="3DCB6F75" w14:textId="77777777" w:rsidR="006E5F97" w:rsidRPr="006E5F97" w:rsidRDefault="006E5F97" w:rsidP="006E5F97">
            <w:pPr>
              <w:rPr>
                <w:szCs w:val="24"/>
                <w:vertAlign w:val="superscript"/>
              </w:rPr>
            </w:pPr>
            <w:r w:rsidRPr="006E5F97">
              <w:rPr>
                <w:szCs w:val="24"/>
              </w:rPr>
              <w:t>Life</w:t>
            </w:r>
            <w:r w:rsidRPr="006E5F97">
              <w:rPr>
                <w:szCs w:val="24"/>
                <w:vertAlign w:val="subscript"/>
              </w:rPr>
              <w:t>centered</w:t>
            </w:r>
            <w:r w:rsidRPr="006E5F97">
              <w:rPr>
                <w:szCs w:val="24"/>
                <w:vertAlign w:val="superscript"/>
              </w:rPr>
              <w:t>4</w:t>
            </w:r>
          </w:p>
        </w:tc>
        <w:tc>
          <w:tcPr>
            <w:tcW w:w="0" w:type="auto"/>
            <w:tcBorders>
              <w:top w:val="nil"/>
              <w:left w:val="nil"/>
              <w:bottom w:val="nil"/>
              <w:right w:val="nil"/>
            </w:tcBorders>
            <w:vAlign w:val="center"/>
            <w:hideMark/>
          </w:tcPr>
          <w:p w14:paraId="407FBC50" w14:textId="77777777" w:rsidR="006E5F97" w:rsidRPr="006E5F97" w:rsidRDefault="006E5F97" w:rsidP="006E5F97">
            <w:pPr>
              <w:tabs>
                <w:tab w:val="decimal" w:pos="144"/>
              </w:tabs>
              <w:rPr>
                <w:szCs w:val="24"/>
              </w:rPr>
            </w:pPr>
            <w:r w:rsidRPr="006E5F97">
              <w:rPr>
                <w:szCs w:val="24"/>
              </w:rPr>
              <w:t>.19***</w:t>
            </w:r>
          </w:p>
        </w:tc>
        <w:tc>
          <w:tcPr>
            <w:tcW w:w="0" w:type="auto"/>
            <w:tcBorders>
              <w:top w:val="nil"/>
              <w:left w:val="nil"/>
              <w:bottom w:val="nil"/>
              <w:right w:val="nil"/>
            </w:tcBorders>
            <w:vAlign w:val="center"/>
            <w:hideMark/>
          </w:tcPr>
          <w:p w14:paraId="7F68169C" w14:textId="77777777" w:rsidR="006E5F97" w:rsidRPr="006E5F97" w:rsidRDefault="006E5F97" w:rsidP="006E5F97">
            <w:pPr>
              <w:tabs>
                <w:tab w:val="decimal" w:pos="204"/>
              </w:tabs>
              <w:rPr>
                <w:szCs w:val="24"/>
              </w:rPr>
            </w:pPr>
            <w:r w:rsidRPr="006E5F97">
              <w:rPr>
                <w:szCs w:val="24"/>
              </w:rPr>
              <w:t>.44***</w:t>
            </w:r>
          </w:p>
        </w:tc>
        <w:tc>
          <w:tcPr>
            <w:tcW w:w="0" w:type="auto"/>
            <w:tcBorders>
              <w:top w:val="nil"/>
              <w:left w:val="nil"/>
              <w:bottom w:val="nil"/>
              <w:right w:val="nil"/>
            </w:tcBorders>
            <w:vAlign w:val="center"/>
            <w:hideMark/>
          </w:tcPr>
          <w:p w14:paraId="57385ECC" w14:textId="77777777" w:rsidR="006E5F97" w:rsidRPr="006E5F97" w:rsidRDefault="006E5F97" w:rsidP="006E5F97">
            <w:pPr>
              <w:tabs>
                <w:tab w:val="decimal" w:pos="174"/>
              </w:tabs>
              <w:rPr>
                <w:szCs w:val="24"/>
              </w:rPr>
            </w:pPr>
            <w:r w:rsidRPr="006E5F97">
              <w:rPr>
                <w:szCs w:val="24"/>
              </w:rPr>
              <w:t>148</w:t>
            </w:r>
          </w:p>
        </w:tc>
      </w:tr>
      <w:tr w:rsidR="006E5F97" w:rsidRPr="006E5F97" w14:paraId="722DE358" w14:textId="77777777" w:rsidTr="006E5F97">
        <w:trPr>
          <w:trHeight w:val="360"/>
        </w:trPr>
        <w:tc>
          <w:tcPr>
            <w:tcW w:w="0" w:type="auto"/>
            <w:gridSpan w:val="5"/>
            <w:tcBorders>
              <w:top w:val="single" w:sz="8" w:space="0" w:color="auto"/>
              <w:left w:val="nil"/>
              <w:bottom w:val="nil"/>
              <w:right w:val="nil"/>
            </w:tcBorders>
            <w:hideMark/>
          </w:tcPr>
          <w:p w14:paraId="2A01C09A" w14:textId="77777777" w:rsidR="006E5F97" w:rsidRPr="006E5F97" w:rsidRDefault="006E5F97" w:rsidP="006E5F97">
            <w:pPr>
              <w:rPr>
                <w:szCs w:val="24"/>
              </w:rPr>
            </w:pPr>
            <w:r w:rsidRPr="006E5F97">
              <w:rPr>
                <w:szCs w:val="24"/>
              </w:rPr>
              <w:t xml:space="preserve">*** </w:t>
            </w:r>
            <w:r w:rsidRPr="006E5F97">
              <w:rPr>
                <w:i/>
                <w:iCs/>
                <w:szCs w:val="24"/>
              </w:rPr>
              <w:t>p</w:t>
            </w:r>
            <w:r w:rsidRPr="006E5F97">
              <w:rPr>
                <w:szCs w:val="24"/>
              </w:rPr>
              <w:t xml:space="preserve"> &lt; .001     ** </w:t>
            </w:r>
            <w:r w:rsidRPr="006E5F97">
              <w:rPr>
                <w:i/>
                <w:iCs/>
                <w:szCs w:val="24"/>
              </w:rPr>
              <w:t>p</w:t>
            </w:r>
            <w:r w:rsidRPr="006E5F97">
              <w:rPr>
                <w:szCs w:val="24"/>
              </w:rPr>
              <w:t xml:space="preserve"> &lt; .01     * </w:t>
            </w:r>
            <w:r w:rsidRPr="006E5F97">
              <w:rPr>
                <w:i/>
                <w:iCs/>
                <w:szCs w:val="24"/>
              </w:rPr>
              <w:t>p</w:t>
            </w:r>
            <w:r w:rsidRPr="006E5F97">
              <w:rPr>
                <w:szCs w:val="24"/>
              </w:rPr>
              <w:t xml:space="preserve"> &lt; .05</w:t>
            </w:r>
          </w:p>
          <w:p w14:paraId="2046998E" w14:textId="77777777" w:rsidR="006E5F97" w:rsidRPr="006E5F97" w:rsidRDefault="006E5F97" w:rsidP="006E5F97">
            <w:pPr>
              <w:rPr>
                <w:szCs w:val="24"/>
              </w:rPr>
            </w:pPr>
            <w:r w:rsidRPr="006E5F97">
              <w:rPr>
                <w:szCs w:val="24"/>
                <w:vertAlign w:val="superscript"/>
              </w:rPr>
              <w:t>1</w:t>
            </w:r>
            <w:r w:rsidRPr="006E5F97">
              <w:rPr>
                <w:szCs w:val="24"/>
              </w:rPr>
              <w:t xml:space="preserve"> Predicting </w:t>
            </w:r>
            <w:proofErr w:type="spellStart"/>
            <w:r w:rsidRPr="006E5F97">
              <w:rPr>
                <w:szCs w:val="24"/>
              </w:rPr>
              <w:t>IQ</w:t>
            </w:r>
            <w:r w:rsidRPr="006E5F97">
              <w:rPr>
                <w:szCs w:val="24"/>
                <w:vertAlign w:val="subscript"/>
              </w:rPr>
              <w:t>McDaniel</w:t>
            </w:r>
            <w:proofErr w:type="spellEnd"/>
            <w:r w:rsidRPr="006E5F97">
              <w:rPr>
                <w:szCs w:val="24"/>
              </w:rPr>
              <w:t xml:space="preserve">. See </w:t>
            </w:r>
            <w:proofErr w:type="spellStart"/>
            <w:r w:rsidRPr="006E5F97">
              <w:rPr>
                <w:szCs w:val="24"/>
              </w:rPr>
              <w:t>Eppig</w:t>
            </w:r>
            <w:proofErr w:type="spellEnd"/>
            <w:r w:rsidRPr="006E5F97">
              <w:rPr>
                <w:szCs w:val="24"/>
              </w:rPr>
              <w:t xml:space="preserve"> and colleagues (2011).</w:t>
            </w:r>
          </w:p>
          <w:p w14:paraId="4F7DAC9C" w14:textId="77777777" w:rsidR="006E5F97" w:rsidRPr="006E5F97" w:rsidRDefault="006E5F97" w:rsidP="006E5F97">
            <w:pPr>
              <w:rPr>
                <w:szCs w:val="24"/>
              </w:rPr>
            </w:pPr>
            <w:r w:rsidRPr="006E5F97">
              <w:rPr>
                <w:szCs w:val="24"/>
                <w:vertAlign w:val="superscript"/>
              </w:rPr>
              <w:t>2</w:t>
            </w:r>
            <w:r w:rsidRPr="006E5F97">
              <w:rPr>
                <w:szCs w:val="24"/>
              </w:rPr>
              <w:t xml:space="preserve"> Predicting </w:t>
            </w:r>
            <w:proofErr w:type="spellStart"/>
            <w:r w:rsidRPr="006E5F97">
              <w:rPr>
                <w:szCs w:val="24"/>
              </w:rPr>
              <w:t>IQ</w:t>
            </w:r>
            <w:r w:rsidRPr="006E5F97">
              <w:rPr>
                <w:i/>
                <w:iCs/>
                <w:szCs w:val="24"/>
                <w:vertAlign w:val="subscript"/>
              </w:rPr>
              <w:t>race</w:t>
            </w:r>
            <w:proofErr w:type="spellEnd"/>
            <w:r w:rsidRPr="006E5F97">
              <w:rPr>
                <w:szCs w:val="24"/>
              </w:rPr>
              <w:t>.</w:t>
            </w:r>
          </w:p>
          <w:p w14:paraId="2353B637" w14:textId="77777777" w:rsidR="006E5F97" w:rsidRPr="006E5F97" w:rsidRDefault="006E5F97" w:rsidP="006E5F97">
            <w:pPr>
              <w:rPr>
                <w:szCs w:val="24"/>
              </w:rPr>
            </w:pPr>
            <w:r w:rsidRPr="006E5F97">
              <w:rPr>
                <w:szCs w:val="24"/>
                <w:vertAlign w:val="superscript"/>
              </w:rPr>
              <w:t>3</w:t>
            </w:r>
            <w:r w:rsidRPr="006E5F97">
              <w:rPr>
                <w:szCs w:val="24"/>
              </w:rPr>
              <w:t xml:space="preserve"> Predicting </w:t>
            </w:r>
            <w:proofErr w:type="spellStart"/>
            <w:r w:rsidRPr="006E5F97">
              <w:rPr>
                <w:szCs w:val="24"/>
              </w:rPr>
              <w:t>IQ</w:t>
            </w:r>
            <w:r w:rsidRPr="006E5F97">
              <w:rPr>
                <w:szCs w:val="24"/>
                <w:vertAlign w:val="subscript"/>
              </w:rPr>
              <w:t>uncentered</w:t>
            </w:r>
            <w:proofErr w:type="spellEnd"/>
            <w:r w:rsidRPr="006E5F97">
              <w:rPr>
                <w:szCs w:val="24"/>
              </w:rPr>
              <w:t>. Including 4 dummy coded variables</w:t>
            </w:r>
          </w:p>
          <w:p w14:paraId="5D8211C7" w14:textId="77777777" w:rsidR="006E5F97" w:rsidRPr="006E5F97" w:rsidRDefault="006E5F97" w:rsidP="006E5F97">
            <w:pPr>
              <w:rPr>
                <w:szCs w:val="24"/>
              </w:rPr>
            </w:pPr>
            <w:r w:rsidRPr="006E5F97">
              <w:rPr>
                <w:szCs w:val="24"/>
              </w:rPr>
              <w:t>with whites as the reference group.</w:t>
            </w:r>
          </w:p>
          <w:p w14:paraId="61F0E92A" w14:textId="77777777" w:rsidR="006E5F97" w:rsidRPr="006E5F97" w:rsidRDefault="006E5F97" w:rsidP="006E5F97">
            <w:pPr>
              <w:rPr>
                <w:szCs w:val="24"/>
              </w:rPr>
            </w:pPr>
            <w:r w:rsidRPr="006E5F97">
              <w:rPr>
                <w:szCs w:val="24"/>
                <w:vertAlign w:val="superscript"/>
              </w:rPr>
              <w:t>4</w:t>
            </w:r>
            <w:r w:rsidRPr="006E5F97">
              <w:rPr>
                <w:szCs w:val="24"/>
              </w:rPr>
              <w:t xml:space="preserve"> Predicting </w:t>
            </w:r>
            <w:proofErr w:type="spellStart"/>
            <w:r w:rsidRPr="006E5F97">
              <w:rPr>
                <w:szCs w:val="24"/>
              </w:rPr>
              <w:t>IQ</w:t>
            </w:r>
            <w:r w:rsidRPr="006E5F97">
              <w:rPr>
                <w:szCs w:val="24"/>
                <w:vertAlign w:val="subscript"/>
              </w:rPr>
              <w:t>centered</w:t>
            </w:r>
            <w:proofErr w:type="spellEnd"/>
            <w:r w:rsidRPr="006E5F97">
              <w:rPr>
                <w:szCs w:val="24"/>
              </w:rPr>
              <w:t>.</w:t>
            </w:r>
          </w:p>
        </w:tc>
      </w:tr>
    </w:tbl>
    <w:p w14:paraId="6577A72B" w14:textId="77777777" w:rsidR="006E5F97" w:rsidRPr="006E5F97" w:rsidRDefault="006E5F97" w:rsidP="006E5F97">
      <w:pPr>
        <w:rPr>
          <w:rFonts w:eastAsia="Calibri"/>
        </w:rPr>
      </w:pPr>
    </w:p>
    <w:p w14:paraId="3A5514BB" w14:textId="77777777" w:rsidR="006E5F97" w:rsidRPr="006E5F97" w:rsidRDefault="006E5F97" w:rsidP="006E5F97">
      <w:pPr>
        <w:ind w:firstLine="720"/>
        <w:rPr>
          <w:rFonts w:eastAsia="Calibri"/>
        </w:rPr>
      </w:pPr>
      <w:r w:rsidRPr="006E5F97">
        <w:rPr>
          <w:rFonts w:eastAsia="Calibri"/>
        </w:rPr>
        <w:t>We used group-mean centering</w:t>
      </w:r>
      <w:r w:rsidRPr="006E5F97">
        <w:rPr>
          <w:rFonts w:eastAsia="Calibri"/>
          <w:vertAlign w:val="superscript"/>
        </w:rPr>
        <w:footnoteReference w:id="1"/>
      </w:r>
      <w:r w:rsidRPr="006E5F97">
        <w:rPr>
          <w:rFonts w:eastAsia="Calibri"/>
        </w:rPr>
        <w:t xml:space="preserve"> to control for differences across racial/ethnic subgroups, creating long-form (non-hierarchical) measures of pathogen prevalence (</w:t>
      </w:r>
      <w:proofErr w:type="spellStart"/>
      <w:r w:rsidRPr="006E5F97">
        <w:rPr>
          <w:rFonts w:eastAsia="Calibri"/>
        </w:rPr>
        <w:t>CG</w:t>
      </w:r>
      <w:r w:rsidRPr="006E5F97">
        <w:rPr>
          <w:rFonts w:eastAsia="Calibri"/>
          <w:vertAlign w:val="subscript"/>
        </w:rPr>
        <w:t>centered</w:t>
      </w:r>
      <w:proofErr w:type="spellEnd"/>
      <w:r w:rsidRPr="006E5F97">
        <w:rPr>
          <w:rFonts w:eastAsia="Calibri"/>
        </w:rPr>
        <w:t>), IQ (</w:t>
      </w:r>
      <w:proofErr w:type="spellStart"/>
      <w:r w:rsidRPr="006E5F97">
        <w:rPr>
          <w:rFonts w:eastAsia="Calibri"/>
        </w:rPr>
        <w:t>IQ</w:t>
      </w:r>
      <w:r w:rsidRPr="006E5F97">
        <w:rPr>
          <w:rFonts w:eastAsia="Calibri"/>
          <w:vertAlign w:val="subscript"/>
        </w:rPr>
        <w:t>centered</w:t>
      </w:r>
      <w:proofErr w:type="spellEnd"/>
      <w:r w:rsidRPr="006E5F97">
        <w:rPr>
          <w:rFonts w:eastAsia="Calibri"/>
        </w:rPr>
        <w:t>), wealth (</w:t>
      </w:r>
      <w:proofErr w:type="spellStart"/>
      <w:r w:rsidRPr="006E5F97">
        <w:rPr>
          <w:rFonts w:eastAsia="Calibri"/>
        </w:rPr>
        <w:t>Wealth</w:t>
      </w:r>
      <w:r w:rsidRPr="006E5F97">
        <w:rPr>
          <w:rFonts w:eastAsia="Calibri"/>
          <w:vertAlign w:val="subscript"/>
        </w:rPr>
        <w:t>centered</w:t>
      </w:r>
      <w:proofErr w:type="spellEnd"/>
      <w:r w:rsidRPr="006E5F97">
        <w:rPr>
          <w:rFonts w:eastAsia="Calibri"/>
        </w:rPr>
        <w:t>), and life expectancy (</w:t>
      </w:r>
      <w:proofErr w:type="spellStart"/>
      <w:r w:rsidRPr="006E5F97">
        <w:rPr>
          <w:rFonts w:eastAsia="Calibri"/>
        </w:rPr>
        <w:t>Life</w:t>
      </w:r>
      <w:r w:rsidRPr="006E5F97">
        <w:rPr>
          <w:rFonts w:eastAsia="Calibri"/>
          <w:vertAlign w:val="subscript"/>
        </w:rPr>
        <w:t>centered</w:t>
      </w:r>
      <w:proofErr w:type="spellEnd"/>
      <w:r w:rsidRPr="006E5F97">
        <w:rPr>
          <w:rFonts w:eastAsia="Calibri"/>
        </w:rPr>
        <w:t xml:space="preserve">). We chose this method over including dummy variables for N-1 subgroups as it provided more interpretable collinearity diagnostics and more degrees of freedom. A scatterplot with CG and IQ stratified by racial/ethnic subgroup demonstrated a logarithmic association, thus we log-transformed the long-form measures of CG prior to performing the following analyses. </w:t>
      </w:r>
    </w:p>
    <w:p w14:paraId="6D092A4A" w14:textId="77777777" w:rsidR="006E5F97" w:rsidRPr="006E5F97" w:rsidRDefault="006E5F97" w:rsidP="006E5F97">
      <w:pPr>
        <w:ind w:firstLine="720"/>
        <w:rPr>
          <w:rFonts w:eastAsia="Calibri"/>
        </w:rPr>
      </w:pPr>
      <w:r w:rsidRPr="006E5F97">
        <w:rPr>
          <w:rFonts w:eastAsia="Calibri"/>
        </w:rPr>
        <w:t xml:space="preserve">Notably, before group-mean centering, predicting </w:t>
      </w:r>
      <w:proofErr w:type="spellStart"/>
      <w:r w:rsidRPr="006E5F97">
        <w:rPr>
          <w:rFonts w:eastAsia="Calibri"/>
        </w:rPr>
        <w:t>IQ</w:t>
      </w:r>
      <w:r w:rsidRPr="006E5F97">
        <w:rPr>
          <w:rFonts w:eastAsia="Calibri"/>
          <w:vertAlign w:val="subscript"/>
        </w:rPr>
        <w:t>uncentered</w:t>
      </w:r>
      <w:proofErr w:type="spellEnd"/>
      <w:r w:rsidRPr="006E5F97">
        <w:rPr>
          <w:rFonts w:eastAsia="Calibri"/>
        </w:rPr>
        <w:t xml:space="preserve"> from only dummy variables for racial/ethnic subgroups explained slightly more variance than did </w:t>
      </w:r>
      <w:proofErr w:type="spellStart"/>
      <w:r w:rsidRPr="006E5F97">
        <w:rPr>
          <w:rFonts w:eastAsia="Calibri"/>
        </w:rPr>
        <w:t>CG</w:t>
      </w:r>
      <w:r w:rsidRPr="006E5F97">
        <w:rPr>
          <w:rFonts w:eastAsia="Calibri"/>
          <w:vertAlign w:val="subscript"/>
        </w:rPr>
        <w:t>LOG_uncentered</w:t>
      </w:r>
      <w:proofErr w:type="spellEnd"/>
      <w:r w:rsidRPr="006E5F97">
        <w:rPr>
          <w:rFonts w:eastAsia="Calibri"/>
        </w:rPr>
        <w:t xml:space="preserve"> alone (see Table 1, Models 7-8). This is due to clustering by racial/ethnic subgroup (see Figure 1a). When controlling for racial/ethnic subgroup clustering with group-mean centering, the regression predicting </w:t>
      </w:r>
      <w:proofErr w:type="spellStart"/>
      <w:r w:rsidRPr="006E5F97">
        <w:rPr>
          <w:rFonts w:eastAsia="Calibri"/>
        </w:rPr>
        <w:t>IQ</w:t>
      </w:r>
      <w:r w:rsidRPr="006E5F97">
        <w:rPr>
          <w:rFonts w:eastAsia="Calibri"/>
          <w:vertAlign w:val="subscript"/>
        </w:rPr>
        <w:t>centered</w:t>
      </w:r>
      <w:proofErr w:type="spellEnd"/>
      <w:r w:rsidRPr="006E5F97">
        <w:rPr>
          <w:rFonts w:eastAsia="Calibri"/>
        </w:rPr>
        <w:t xml:space="preserve"> from </w:t>
      </w:r>
      <w:proofErr w:type="spellStart"/>
      <w:r w:rsidRPr="006E5F97">
        <w:rPr>
          <w:rFonts w:eastAsia="Calibri"/>
        </w:rPr>
        <w:t>CG</w:t>
      </w:r>
      <w:r w:rsidRPr="006E5F97">
        <w:rPr>
          <w:rFonts w:eastAsia="Calibri"/>
          <w:vertAlign w:val="subscript"/>
        </w:rPr>
        <w:t>LOG_centered</w:t>
      </w:r>
      <w:proofErr w:type="spellEnd"/>
      <w:r w:rsidRPr="006E5F97">
        <w:rPr>
          <w:rFonts w:eastAsia="Calibri"/>
        </w:rPr>
        <w:t xml:space="preserve"> yielded a substantially smaller effect size compared to the same regression prior to group-mean centering (see Table 1, Models 8-9, and Figure 1b). Further, group-mean-centered wealth and life expectancy alone each had an effect size nearly equal in magnitude to that of pathogen prevalence (see Table 1, Models 9-11).</w:t>
      </w:r>
    </w:p>
    <w:p w14:paraId="13A8495A" w14:textId="77777777" w:rsidR="006E5F97" w:rsidRPr="006E5F97" w:rsidRDefault="006E5F97" w:rsidP="006E5F97">
      <w:pPr>
        <w:rPr>
          <w:rFonts w:eastAsia="Calibri"/>
        </w:rPr>
      </w:pPr>
    </w:p>
    <w:p w14:paraId="3A12CDE6" w14:textId="77777777" w:rsidR="006E5F97" w:rsidRPr="006E5F97" w:rsidRDefault="006E5F97" w:rsidP="006E5F97">
      <w:pPr>
        <w:rPr>
          <w:rFonts w:eastAsia="Calibri"/>
        </w:rPr>
      </w:pPr>
      <w:r w:rsidRPr="006E5F97">
        <w:rPr>
          <w:rFonts w:eastAsia="Calibri"/>
        </w:rPr>
        <w:t xml:space="preserve">Figure 1. Scatterplot of racial/ethnic subgroup stratified CG and IQ for (a) uncentered variables, (b) group-mean-centered variables, and (c) group-mean-centered variables controlling for </w:t>
      </w:r>
      <w:proofErr w:type="spellStart"/>
      <w:r w:rsidRPr="006E5F97">
        <w:rPr>
          <w:rFonts w:eastAsia="Calibri"/>
        </w:rPr>
        <w:t>Wealth</w:t>
      </w:r>
      <w:r w:rsidRPr="006E5F97">
        <w:rPr>
          <w:rFonts w:eastAsia="Calibri"/>
          <w:vertAlign w:val="subscript"/>
        </w:rPr>
        <w:t>centered</w:t>
      </w:r>
      <w:proofErr w:type="spellEnd"/>
      <w:r w:rsidRPr="006E5F97">
        <w:rPr>
          <w:rFonts w:eastAsia="Calibri"/>
        </w:rPr>
        <w:t xml:space="preserve"> and </w:t>
      </w:r>
      <w:proofErr w:type="spellStart"/>
      <w:r w:rsidRPr="006E5F97">
        <w:rPr>
          <w:rFonts w:eastAsia="Calibri"/>
        </w:rPr>
        <w:t>Life</w:t>
      </w:r>
      <w:r w:rsidRPr="006E5F97">
        <w:rPr>
          <w:rFonts w:eastAsia="Calibri"/>
          <w:vertAlign w:val="subscript"/>
        </w:rPr>
        <w:t>centered</w:t>
      </w:r>
      <w:proofErr w:type="spellEnd"/>
      <w:r w:rsidRPr="006E5F97">
        <w:rPr>
          <w:rFonts w:eastAsia="Calibri"/>
        </w:rPr>
        <w:t>.</w:t>
      </w:r>
    </w:p>
    <w:p w14:paraId="7E71BFFA" w14:textId="77777777" w:rsidR="006E5F97" w:rsidRPr="006E5F97" w:rsidRDefault="006E5F97" w:rsidP="006E5F97">
      <w:pPr>
        <w:rPr>
          <w:rFonts w:eastAsia="Calibri"/>
        </w:rPr>
      </w:pPr>
      <w:r w:rsidRPr="006E5F97">
        <w:rPr>
          <w:rFonts w:eastAsia="Calibri"/>
          <w:noProof/>
        </w:rPr>
        <w:drawing>
          <wp:inline distT="0" distB="0" distL="0" distR="0" wp14:anchorId="276D510A" wp14:editId="27CAA189">
            <wp:extent cx="5495925" cy="3209925"/>
            <wp:effectExtent l="0" t="0" r="9525" b="9525"/>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DEC856" w14:textId="77777777" w:rsidR="006E5F97" w:rsidRPr="006E5F97" w:rsidRDefault="006E5F97" w:rsidP="006E5F97">
      <w:pPr>
        <w:rPr>
          <w:rFonts w:eastAsia="Calibri"/>
        </w:rPr>
      </w:pPr>
    </w:p>
    <w:p w14:paraId="39B88873" w14:textId="77777777" w:rsidR="006E5F97" w:rsidRPr="006E5F97" w:rsidRDefault="006E5F97" w:rsidP="006E5F97">
      <w:pPr>
        <w:rPr>
          <w:rFonts w:eastAsia="Calibri"/>
        </w:rPr>
      </w:pPr>
      <w:r w:rsidRPr="006E5F97">
        <w:rPr>
          <w:rFonts w:eastAsia="Calibri"/>
          <w:noProof/>
        </w:rPr>
        <w:drawing>
          <wp:inline distT="0" distB="0" distL="0" distR="0" wp14:anchorId="23A3C163" wp14:editId="5C3ECAC8">
            <wp:extent cx="5495925" cy="3209925"/>
            <wp:effectExtent l="0" t="0" r="9525" b="9525"/>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576B55" w14:textId="77777777" w:rsidR="006E5F97" w:rsidRPr="006E5F97" w:rsidRDefault="006E5F97" w:rsidP="006E5F97">
      <w:pPr>
        <w:rPr>
          <w:rFonts w:eastAsia="Calibri"/>
        </w:rPr>
      </w:pPr>
    </w:p>
    <w:p w14:paraId="6FBD87A0" w14:textId="77777777" w:rsidR="006E5F97" w:rsidRPr="006E5F97" w:rsidRDefault="006E5F97" w:rsidP="006E5F97">
      <w:pPr>
        <w:rPr>
          <w:rFonts w:eastAsia="Calibri"/>
        </w:rPr>
      </w:pPr>
      <w:r w:rsidRPr="006E5F97">
        <w:rPr>
          <w:rFonts w:eastAsia="Calibri"/>
          <w:noProof/>
        </w:rPr>
        <w:drawing>
          <wp:inline distT="0" distB="0" distL="0" distR="0" wp14:anchorId="6FF62FFF" wp14:editId="529C4591">
            <wp:extent cx="5495925" cy="3209925"/>
            <wp:effectExtent l="0" t="0" r="9525" b="9525"/>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08E6C1" w14:textId="77777777" w:rsidR="006E5F97" w:rsidRPr="006E5F97" w:rsidRDefault="006E5F97" w:rsidP="006E5F97">
      <w:pPr>
        <w:rPr>
          <w:rFonts w:eastAsia="Calibri"/>
        </w:rPr>
      </w:pPr>
    </w:p>
    <w:p w14:paraId="51896E07" w14:textId="77777777" w:rsidR="006E5F97" w:rsidRPr="006E5F97" w:rsidRDefault="006E5F97" w:rsidP="006E5F97">
      <w:pPr>
        <w:ind w:firstLine="720"/>
        <w:rPr>
          <w:rFonts w:eastAsia="Calibri"/>
        </w:rPr>
      </w:pPr>
      <w:r w:rsidRPr="006E5F97">
        <w:rPr>
          <w:rFonts w:eastAsia="Calibri"/>
        </w:rPr>
        <w:t xml:space="preserve">Including covariates in a multiple regression with racial/ethnic mean differences removed revealed pathogen prevalence’s association with IQ to be even further diminished in our final model predicting </w:t>
      </w:r>
      <w:proofErr w:type="spellStart"/>
      <w:r w:rsidRPr="006E5F97">
        <w:rPr>
          <w:rFonts w:eastAsia="Calibri"/>
        </w:rPr>
        <w:t>IQ</w:t>
      </w:r>
      <w:r w:rsidRPr="006E5F97">
        <w:rPr>
          <w:rFonts w:eastAsia="Calibri"/>
          <w:vertAlign w:val="subscript"/>
        </w:rPr>
        <w:t>centered</w:t>
      </w:r>
      <w:proofErr w:type="spellEnd"/>
      <w:r w:rsidRPr="006E5F97">
        <w:rPr>
          <w:rFonts w:eastAsia="Calibri"/>
        </w:rPr>
        <w:t xml:space="preserve"> from </w:t>
      </w:r>
      <w:proofErr w:type="spellStart"/>
      <w:r w:rsidRPr="006E5F97">
        <w:rPr>
          <w:rFonts w:eastAsia="Calibri"/>
        </w:rPr>
        <w:t>CG</w:t>
      </w:r>
      <w:r w:rsidRPr="006E5F97">
        <w:rPr>
          <w:rFonts w:eastAsia="Calibri"/>
          <w:vertAlign w:val="subscript"/>
        </w:rPr>
        <w:t>LOG_centered</w:t>
      </w:r>
      <w:proofErr w:type="spellEnd"/>
      <w:r w:rsidRPr="006E5F97">
        <w:rPr>
          <w:rFonts w:eastAsia="Calibri"/>
        </w:rPr>
        <w:t xml:space="preserve">, </w:t>
      </w:r>
      <w:proofErr w:type="spellStart"/>
      <w:r w:rsidRPr="006E5F97">
        <w:rPr>
          <w:rFonts w:eastAsia="Calibri"/>
        </w:rPr>
        <w:t>Wealth</w:t>
      </w:r>
      <w:r w:rsidRPr="006E5F97">
        <w:rPr>
          <w:rFonts w:eastAsia="Calibri"/>
          <w:vertAlign w:val="subscript"/>
        </w:rPr>
        <w:t>centered</w:t>
      </w:r>
      <w:proofErr w:type="spellEnd"/>
      <w:r w:rsidRPr="006E5F97">
        <w:rPr>
          <w:rFonts w:eastAsia="Calibri"/>
        </w:rPr>
        <w:t xml:space="preserve">, and </w:t>
      </w:r>
      <w:proofErr w:type="spellStart"/>
      <w:r w:rsidRPr="006E5F97">
        <w:rPr>
          <w:rFonts w:eastAsia="Calibri"/>
        </w:rPr>
        <w:t>Life</w:t>
      </w:r>
      <w:r w:rsidRPr="006E5F97">
        <w:rPr>
          <w:rFonts w:eastAsia="Calibri"/>
          <w:vertAlign w:val="subscript"/>
        </w:rPr>
        <w:t>centered</w:t>
      </w:r>
      <w:proofErr w:type="spellEnd"/>
      <w:r w:rsidRPr="006E5F97">
        <w:rPr>
          <w:rFonts w:eastAsia="Calibri"/>
        </w:rPr>
        <w:t xml:space="preserve"> (adj. </w:t>
      </w:r>
      <w:r w:rsidRPr="006E5F97">
        <w:rPr>
          <w:rFonts w:eastAsia="Calibri"/>
          <w:i/>
        </w:rPr>
        <w:t>R</w:t>
      </w:r>
      <w:r w:rsidRPr="006E5F97">
        <w:rPr>
          <w:rFonts w:eastAsia="Calibri"/>
          <w:vertAlign w:val="superscript"/>
        </w:rPr>
        <w:t>2</w:t>
      </w:r>
      <w:r w:rsidRPr="006E5F97">
        <w:rPr>
          <w:rFonts w:eastAsia="Calibri"/>
        </w:rPr>
        <w:t xml:space="preserve"> = .35, </w:t>
      </w:r>
      <w:r w:rsidRPr="006E5F97">
        <w:rPr>
          <w:rFonts w:eastAsia="Calibri"/>
          <w:i/>
          <w:iCs/>
        </w:rPr>
        <w:t>p</w:t>
      </w:r>
      <w:r w:rsidRPr="006E5F97">
        <w:rPr>
          <w:rFonts w:eastAsia="Calibri"/>
        </w:rPr>
        <w:t xml:space="preserve"> &lt; .001; see Table 2). Moreover, life expectancy predicted IQ nearly as strongly as pathogen prevalence (see Table 2). This differs from EFT’s final model, in which pathogen prevalence was by far the strongest predictor of IQ (see Table 2). Additionally, EFT found that in their final multiple regression model, “adding these covariates [pathogen prevalence, wealth, highly qualified teachers, and student-teacher ratio] in a different order did not appreciably change the additive </w:t>
      </w:r>
      <w:r w:rsidRPr="006E5F97">
        <w:rPr>
          <w:rFonts w:eastAsia="Calibri"/>
          <w:i/>
          <w:iCs/>
        </w:rPr>
        <w:t>R</w:t>
      </w:r>
      <w:r w:rsidRPr="006E5F97">
        <w:rPr>
          <w:rFonts w:eastAsia="Calibri"/>
          <w:vertAlign w:val="superscript"/>
        </w:rPr>
        <w:t>2</w:t>
      </w:r>
      <w:r w:rsidRPr="006E5F97">
        <w:rPr>
          <w:rFonts w:eastAsia="Calibri"/>
        </w:rPr>
        <w:t xml:space="preserve"> of each iteration” (p. 4). In other words, the covariates had just as much explanatory power in predicting IQ as pathogen prevalence. Indeed, pathogen prevalence had an additive adjusted </w:t>
      </w:r>
      <w:r w:rsidRPr="006E5F97">
        <w:rPr>
          <w:rFonts w:eastAsia="Calibri"/>
          <w:i/>
          <w:iCs/>
        </w:rPr>
        <w:t>R</w:t>
      </w:r>
      <w:r w:rsidRPr="006E5F97">
        <w:rPr>
          <w:rFonts w:eastAsia="Calibri"/>
          <w:vertAlign w:val="superscript"/>
        </w:rPr>
        <w:t>2</w:t>
      </w:r>
      <w:r w:rsidRPr="006E5F97">
        <w:rPr>
          <w:rFonts w:eastAsia="Calibri"/>
        </w:rPr>
        <w:t xml:space="preserve"> = .07, meaning that pathogen prevalence only uniquely explained 7% of the variance in IQ for our final model. To visualize the unique relationship between </w:t>
      </w:r>
      <w:proofErr w:type="spellStart"/>
      <w:r w:rsidRPr="006E5F97">
        <w:rPr>
          <w:rFonts w:eastAsia="Calibri"/>
        </w:rPr>
        <w:t>IQ</w:t>
      </w:r>
      <w:r w:rsidRPr="006E5F97">
        <w:rPr>
          <w:rFonts w:eastAsia="Calibri"/>
          <w:vertAlign w:val="subscript"/>
        </w:rPr>
        <w:t>centered</w:t>
      </w:r>
      <w:proofErr w:type="spellEnd"/>
      <w:r w:rsidRPr="006E5F97">
        <w:rPr>
          <w:rFonts w:eastAsia="Calibri"/>
        </w:rPr>
        <w:t xml:space="preserve"> and </w:t>
      </w:r>
      <w:proofErr w:type="spellStart"/>
      <w:r w:rsidRPr="006E5F97">
        <w:rPr>
          <w:rFonts w:eastAsia="Calibri"/>
        </w:rPr>
        <w:t>CG</w:t>
      </w:r>
      <w:r w:rsidRPr="006E5F97">
        <w:rPr>
          <w:rFonts w:eastAsia="Calibri"/>
          <w:vertAlign w:val="subscript"/>
        </w:rPr>
        <w:t>LOG_centered</w:t>
      </w:r>
      <w:proofErr w:type="spellEnd"/>
      <w:r w:rsidRPr="006E5F97">
        <w:rPr>
          <w:rFonts w:eastAsia="Calibri"/>
        </w:rPr>
        <w:t xml:space="preserve">, Figure 1c shows the residuals resulting from predicting </w:t>
      </w:r>
      <w:proofErr w:type="spellStart"/>
      <w:r w:rsidRPr="006E5F97">
        <w:rPr>
          <w:rFonts w:eastAsia="Calibri"/>
        </w:rPr>
        <w:t>IQ</w:t>
      </w:r>
      <w:r w:rsidRPr="006E5F97">
        <w:rPr>
          <w:rFonts w:eastAsia="Calibri"/>
          <w:vertAlign w:val="subscript"/>
        </w:rPr>
        <w:t>centered</w:t>
      </w:r>
      <w:proofErr w:type="spellEnd"/>
      <w:r w:rsidRPr="006E5F97">
        <w:rPr>
          <w:rFonts w:eastAsia="Calibri"/>
        </w:rPr>
        <w:t xml:space="preserve"> and </w:t>
      </w:r>
      <w:proofErr w:type="spellStart"/>
      <w:r w:rsidRPr="006E5F97">
        <w:rPr>
          <w:rFonts w:eastAsia="Calibri"/>
        </w:rPr>
        <w:t>CG</w:t>
      </w:r>
      <w:r w:rsidRPr="006E5F97">
        <w:rPr>
          <w:rFonts w:eastAsia="Calibri"/>
          <w:vertAlign w:val="subscript"/>
        </w:rPr>
        <w:t>centered</w:t>
      </w:r>
      <w:proofErr w:type="spellEnd"/>
      <w:r w:rsidRPr="006E5F97">
        <w:rPr>
          <w:rFonts w:eastAsia="Calibri"/>
        </w:rPr>
        <w:t xml:space="preserve"> each separately from </w:t>
      </w:r>
      <w:proofErr w:type="spellStart"/>
      <w:r w:rsidRPr="006E5F97">
        <w:rPr>
          <w:rFonts w:eastAsia="Calibri"/>
        </w:rPr>
        <w:t>Wealth</w:t>
      </w:r>
      <w:r w:rsidRPr="006E5F97">
        <w:rPr>
          <w:rFonts w:eastAsia="Calibri"/>
          <w:vertAlign w:val="subscript"/>
        </w:rPr>
        <w:t>centered</w:t>
      </w:r>
      <w:proofErr w:type="spellEnd"/>
      <w:r w:rsidRPr="006E5F97">
        <w:rPr>
          <w:rFonts w:eastAsia="Calibri"/>
          <w:vertAlign w:val="subscript"/>
        </w:rPr>
        <w:t xml:space="preserve"> </w:t>
      </w:r>
      <w:r w:rsidRPr="006E5F97">
        <w:rPr>
          <w:rFonts w:eastAsia="Calibri"/>
        </w:rPr>
        <w:t xml:space="preserve">and </w:t>
      </w:r>
      <w:proofErr w:type="spellStart"/>
      <w:r w:rsidRPr="006E5F97">
        <w:rPr>
          <w:rFonts w:eastAsia="Calibri"/>
        </w:rPr>
        <w:t>Life</w:t>
      </w:r>
      <w:r w:rsidRPr="006E5F97">
        <w:rPr>
          <w:rFonts w:eastAsia="Calibri"/>
          <w:vertAlign w:val="subscript"/>
        </w:rPr>
        <w:t>centered</w:t>
      </w:r>
      <w:proofErr w:type="spellEnd"/>
      <w:r w:rsidRPr="006E5F97">
        <w:rPr>
          <w:rFonts w:eastAsia="Calibri"/>
        </w:rPr>
        <w:t>.</w:t>
      </w:r>
    </w:p>
    <w:p w14:paraId="204EDC4F" w14:textId="77777777" w:rsidR="006E5F97" w:rsidRPr="006E5F97" w:rsidRDefault="006E5F97" w:rsidP="006E5F97">
      <w:pPr>
        <w:rPr>
          <w:rFonts w:eastAsia="Calibri"/>
        </w:rPr>
      </w:pPr>
    </w:p>
    <w:tbl>
      <w:tblPr>
        <w:tblStyle w:val="TableGrid1"/>
        <w:tblW w:w="0" w:type="auto"/>
        <w:tblInd w:w="0" w:type="dxa"/>
        <w:tblLook w:val="04A0" w:firstRow="1" w:lastRow="0" w:firstColumn="1" w:lastColumn="0" w:noHBand="0" w:noVBand="1"/>
      </w:tblPr>
      <w:tblGrid>
        <w:gridCol w:w="3816"/>
        <w:gridCol w:w="1086"/>
        <w:gridCol w:w="576"/>
        <w:gridCol w:w="703"/>
      </w:tblGrid>
      <w:tr w:rsidR="006E5F97" w:rsidRPr="006E5F97" w14:paraId="554B85ED" w14:textId="77777777" w:rsidTr="006E5F97">
        <w:trPr>
          <w:trHeight w:val="274"/>
        </w:trPr>
        <w:tc>
          <w:tcPr>
            <w:tcW w:w="0" w:type="auto"/>
            <w:gridSpan w:val="4"/>
            <w:tcBorders>
              <w:top w:val="nil"/>
              <w:left w:val="nil"/>
              <w:bottom w:val="single" w:sz="12" w:space="0" w:color="auto"/>
              <w:right w:val="nil"/>
            </w:tcBorders>
            <w:vAlign w:val="center"/>
            <w:hideMark/>
          </w:tcPr>
          <w:p w14:paraId="0C668D68" w14:textId="77777777" w:rsidR="006E5F97" w:rsidRPr="006E5F97" w:rsidRDefault="006E5F97" w:rsidP="006E5F97">
            <w:pPr>
              <w:spacing w:after="60"/>
              <w:rPr>
                <w:i/>
                <w:iCs/>
                <w:szCs w:val="24"/>
              </w:rPr>
            </w:pPr>
            <w:r w:rsidRPr="006E5F97">
              <w:rPr>
                <w:szCs w:val="24"/>
              </w:rPr>
              <w:t>Table 2</w:t>
            </w:r>
            <w:r w:rsidRPr="006E5F97">
              <w:rPr>
                <w:i/>
                <w:iCs/>
                <w:szCs w:val="24"/>
              </w:rPr>
              <w:t>. Final Multiple Regression Models Predicting IQ</w:t>
            </w:r>
          </w:p>
        </w:tc>
      </w:tr>
      <w:tr w:rsidR="006E5F97" w:rsidRPr="006E5F97" w14:paraId="6E5AD285" w14:textId="77777777" w:rsidTr="006E5F97">
        <w:trPr>
          <w:trHeight w:val="360"/>
        </w:trPr>
        <w:tc>
          <w:tcPr>
            <w:tcW w:w="0" w:type="auto"/>
            <w:tcBorders>
              <w:top w:val="single" w:sz="4" w:space="0" w:color="auto"/>
              <w:left w:val="nil"/>
              <w:bottom w:val="single" w:sz="8" w:space="0" w:color="auto"/>
              <w:right w:val="nil"/>
            </w:tcBorders>
            <w:vAlign w:val="center"/>
          </w:tcPr>
          <w:p w14:paraId="4D5DC950" w14:textId="77777777" w:rsidR="006E5F97" w:rsidRPr="006E5F97" w:rsidRDefault="006E5F97" w:rsidP="006E5F97">
            <w:pPr>
              <w:rPr>
                <w:szCs w:val="24"/>
              </w:rPr>
            </w:pPr>
          </w:p>
        </w:tc>
        <w:tc>
          <w:tcPr>
            <w:tcW w:w="0" w:type="auto"/>
            <w:tcBorders>
              <w:top w:val="single" w:sz="4" w:space="0" w:color="auto"/>
              <w:left w:val="nil"/>
              <w:bottom w:val="single" w:sz="8" w:space="0" w:color="auto"/>
              <w:right w:val="nil"/>
            </w:tcBorders>
            <w:vAlign w:val="center"/>
            <w:hideMark/>
          </w:tcPr>
          <w:p w14:paraId="2200D157" w14:textId="77777777" w:rsidR="006E5F97" w:rsidRPr="006E5F97" w:rsidRDefault="006E5F97" w:rsidP="006E5F97">
            <w:pPr>
              <w:tabs>
                <w:tab w:val="decimal" w:pos="270"/>
              </w:tabs>
              <w:jc w:val="center"/>
              <w:rPr>
                <w:szCs w:val="24"/>
              </w:rPr>
            </w:pPr>
            <w:r w:rsidRPr="006E5F97">
              <w:rPr>
                <w:szCs w:val="24"/>
              </w:rPr>
              <w:t>std. β</w:t>
            </w:r>
          </w:p>
        </w:tc>
        <w:tc>
          <w:tcPr>
            <w:tcW w:w="0" w:type="auto"/>
            <w:tcBorders>
              <w:top w:val="single" w:sz="4" w:space="0" w:color="auto"/>
              <w:left w:val="nil"/>
              <w:bottom w:val="single" w:sz="8" w:space="0" w:color="auto"/>
              <w:right w:val="nil"/>
            </w:tcBorders>
            <w:vAlign w:val="center"/>
            <w:hideMark/>
          </w:tcPr>
          <w:p w14:paraId="146BB0D4" w14:textId="77777777" w:rsidR="006E5F97" w:rsidRPr="006E5F97" w:rsidRDefault="006E5F97" w:rsidP="006E5F97">
            <w:pPr>
              <w:rPr>
                <w:szCs w:val="24"/>
              </w:rPr>
            </w:pPr>
            <w:r w:rsidRPr="006E5F97">
              <w:rPr>
                <w:szCs w:val="24"/>
              </w:rPr>
              <w:t>N</w:t>
            </w:r>
          </w:p>
        </w:tc>
        <w:tc>
          <w:tcPr>
            <w:tcW w:w="0" w:type="auto"/>
            <w:tcBorders>
              <w:top w:val="single" w:sz="4" w:space="0" w:color="auto"/>
              <w:left w:val="nil"/>
              <w:bottom w:val="single" w:sz="8" w:space="0" w:color="auto"/>
              <w:right w:val="nil"/>
            </w:tcBorders>
            <w:vAlign w:val="center"/>
            <w:hideMark/>
          </w:tcPr>
          <w:p w14:paraId="026B6DAA" w14:textId="77777777" w:rsidR="006E5F97" w:rsidRPr="006E5F97" w:rsidRDefault="006E5F97" w:rsidP="006E5F97">
            <w:pPr>
              <w:jc w:val="center"/>
              <w:rPr>
                <w:szCs w:val="24"/>
              </w:rPr>
            </w:pPr>
            <w:r w:rsidRPr="006E5F97">
              <w:rPr>
                <w:szCs w:val="24"/>
              </w:rPr>
              <w:t>VIF</w:t>
            </w:r>
          </w:p>
        </w:tc>
      </w:tr>
      <w:tr w:rsidR="006E5F97" w:rsidRPr="006E5F97" w14:paraId="0314E5AA" w14:textId="77777777" w:rsidTr="006E5F97">
        <w:trPr>
          <w:trHeight w:val="360"/>
        </w:trPr>
        <w:tc>
          <w:tcPr>
            <w:tcW w:w="0" w:type="auto"/>
            <w:tcBorders>
              <w:top w:val="single" w:sz="4" w:space="0" w:color="auto"/>
              <w:left w:val="nil"/>
              <w:bottom w:val="nil"/>
              <w:right w:val="nil"/>
            </w:tcBorders>
            <w:vAlign w:val="center"/>
            <w:hideMark/>
          </w:tcPr>
          <w:p w14:paraId="2D4B2843" w14:textId="77777777" w:rsidR="006E5F97" w:rsidRPr="006E5F97" w:rsidRDefault="006E5F97" w:rsidP="006E5F97">
            <w:pPr>
              <w:rPr>
                <w:szCs w:val="24"/>
                <w:vertAlign w:val="superscript"/>
              </w:rPr>
            </w:pPr>
            <w:proofErr w:type="spellStart"/>
            <w:r w:rsidRPr="006E5F97">
              <w:rPr>
                <w:szCs w:val="24"/>
              </w:rPr>
              <w:t>Eppig</w:t>
            </w:r>
            <w:proofErr w:type="spellEnd"/>
            <w:r w:rsidRPr="006E5F97">
              <w:rPr>
                <w:szCs w:val="24"/>
              </w:rPr>
              <w:t xml:space="preserve"> and colleagues’ (2011) Model</w:t>
            </w:r>
            <w:r w:rsidRPr="006E5F97">
              <w:rPr>
                <w:szCs w:val="24"/>
                <w:vertAlign w:val="superscript"/>
              </w:rPr>
              <w:t>1</w:t>
            </w:r>
          </w:p>
        </w:tc>
        <w:tc>
          <w:tcPr>
            <w:tcW w:w="0" w:type="auto"/>
            <w:tcBorders>
              <w:top w:val="single" w:sz="4" w:space="0" w:color="auto"/>
              <w:left w:val="nil"/>
              <w:bottom w:val="nil"/>
              <w:right w:val="nil"/>
            </w:tcBorders>
            <w:vAlign w:val="center"/>
          </w:tcPr>
          <w:p w14:paraId="37546B21" w14:textId="77777777" w:rsidR="006E5F97" w:rsidRPr="006E5F97" w:rsidRDefault="006E5F97" w:rsidP="006E5F97">
            <w:pPr>
              <w:tabs>
                <w:tab w:val="decimal" w:pos="270"/>
              </w:tabs>
              <w:rPr>
                <w:szCs w:val="24"/>
              </w:rPr>
            </w:pPr>
          </w:p>
        </w:tc>
        <w:tc>
          <w:tcPr>
            <w:tcW w:w="0" w:type="auto"/>
            <w:tcBorders>
              <w:top w:val="single" w:sz="4" w:space="0" w:color="auto"/>
              <w:left w:val="nil"/>
              <w:bottom w:val="nil"/>
              <w:right w:val="nil"/>
            </w:tcBorders>
            <w:vAlign w:val="center"/>
            <w:hideMark/>
          </w:tcPr>
          <w:p w14:paraId="3C9EB432" w14:textId="77777777" w:rsidR="006E5F97" w:rsidRPr="006E5F97" w:rsidRDefault="006E5F97" w:rsidP="006E5F97">
            <w:pPr>
              <w:tabs>
                <w:tab w:val="decimal" w:pos="174"/>
              </w:tabs>
              <w:rPr>
                <w:szCs w:val="24"/>
              </w:rPr>
            </w:pPr>
            <w:r w:rsidRPr="006E5F97">
              <w:rPr>
                <w:szCs w:val="24"/>
              </w:rPr>
              <w:t>50</w:t>
            </w:r>
          </w:p>
        </w:tc>
        <w:tc>
          <w:tcPr>
            <w:tcW w:w="0" w:type="auto"/>
            <w:tcBorders>
              <w:top w:val="single" w:sz="4" w:space="0" w:color="auto"/>
              <w:left w:val="nil"/>
              <w:bottom w:val="nil"/>
              <w:right w:val="nil"/>
            </w:tcBorders>
            <w:vAlign w:val="center"/>
          </w:tcPr>
          <w:p w14:paraId="2F73A886" w14:textId="77777777" w:rsidR="006E5F97" w:rsidRPr="006E5F97" w:rsidRDefault="006E5F97" w:rsidP="006E5F97">
            <w:pPr>
              <w:tabs>
                <w:tab w:val="decimal" w:pos="174"/>
              </w:tabs>
              <w:jc w:val="center"/>
              <w:rPr>
                <w:szCs w:val="24"/>
              </w:rPr>
            </w:pPr>
          </w:p>
        </w:tc>
      </w:tr>
      <w:tr w:rsidR="006E5F97" w:rsidRPr="006E5F97" w14:paraId="0CC4089F" w14:textId="77777777" w:rsidTr="006E5F97">
        <w:trPr>
          <w:trHeight w:val="360"/>
        </w:trPr>
        <w:tc>
          <w:tcPr>
            <w:tcW w:w="0" w:type="auto"/>
            <w:tcBorders>
              <w:top w:val="nil"/>
              <w:left w:val="nil"/>
              <w:bottom w:val="nil"/>
              <w:right w:val="nil"/>
            </w:tcBorders>
            <w:vAlign w:val="center"/>
            <w:hideMark/>
          </w:tcPr>
          <w:p w14:paraId="53BB5B16" w14:textId="77777777" w:rsidR="006E5F97" w:rsidRPr="006E5F97" w:rsidRDefault="006E5F97" w:rsidP="006E5F97">
            <w:pPr>
              <w:rPr>
                <w:szCs w:val="24"/>
              </w:rPr>
            </w:pPr>
            <w:r w:rsidRPr="006E5F97">
              <w:rPr>
                <w:szCs w:val="24"/>
              </w:rPr>
              <w:t xml:space="preserve">   Parasite Stress USA</w:t>
            </w:r>
          </w:p>
        </w:tc>
        <w:tc>
          <w:tcPr>
            <w:tcW w:w="0" w:type="auto"/>
            <w:tcBorders>
              <w:top w:val="nil"/>
              <w:left w:val="nil"/>
              <w:bottom w:val="nil"/>
              <w:right w:val="nil"/>
            </w:tcBorders>
            <w:vAlign w:val="center"/>
            <w:hideMark/>
          </w:tcPr>
          <w:p w14:paraId="55A23AE7" w14:textId="77777777" w:rsidR="006E5F97" w:rsidRPr="006E5F97" w:rsidRDefault="006E5F97" w:rsidP="006E5F97">
            <w:pPr>
              <w:tabs>
                <w:tab w:val="decimal" w:pos="210"/>
              </w:tabs>
              <w:rPr>
                <w:szCs w:val="24"/>
              </w:rPr>
            </w:pPr>
            <w:r w:rsidRPr="006E5F97">
              <w:rPr>
                <w:szCs w:val="24"/>
              </w:rPr>
              <w:t>-.62***</w:t>
            </w:r>
          </w:p>
        </w:tc>
        <w:tc>
          <w:tcPr>
            <w:tcW w:w="0" w:type="auto"/>
            <w:tcBorders>
              <w:top w:val="nil"/>
              <w:left w:val="nil"/>
              <w:bottom w:val="nil"/>
              <w:right w:val="nil"/>
            </w:tcBorders>
            <w:vAlign w:val="center"/>
          </w:tcPr>
          <w:p w14:paraId="4BBA8D94" w14:textId="77777777" w:rsidR="006E5F97" w:rsidRPr="006E5F97" w:rsidRDefault="006E5F97" w:rsidP="006E5F97">
            <w:pPr>
              <w:tabs>
                <w:tab w:val="decimal" w:pos="174"/>
              </w:tabs>
              <w:rPr>
                <w:szCs w:val="24"/>
              </w:rPr>
            </w:pPr>
          </w:p>
        </w:tc>
        <w:tc>
          <w:tcPr>
            <w:tcW w:w="0" w:type="auto"/>
            <w:tcBorders>
              <w:top w:val="nil"/>
              <w:left w:val="nil"/>
              <w:bottom w:val="nil"/>
              <w:right w:val="nil"/>
            </w:tcBorders>
            <w:vAlign w:val="center"/>
            <w:hideMark/>
          </w:tcPr>
          <w:p w14:paraId="4ED6428D" w14:textId="77777777" w:rsidR="006E5F97" w:rsidRPr="006E5F97" w:rsidRDefault="006E5F97" w:rsidP="006E5F97">
            <w:pPr>
              <w:tabs>
                <w:tab w:val="decimal" w:pos="186"/>
              </w:tabs>
              <w:jc w:val="center"/>
              <w:rPr>
                <w:szCs w:val="24"/>
              </w:rPr>
            </w:pPr>
            <w:r w:rsidRPr="006E5F97">
              <w:rPr>
                <w:szCs w:val="24"/>
              </w:rPr>
              <w:t>1.02</w:t>
            </w:r>
          </w:p>
        </w:tc>
      </w:tr>
      <w:tr w:rsidR="006E5F97" w:rsidRPr="006E5F97" w14:paraId="07DFCB67" w14:textId="77777777" w:rsidTr="006E5F97">
        <w:trPr>
          <w:trHeight w:val="360"/>
        </w:trPr>
        <w:tc>
          <w:tcPr>
            <w:tcW w:w="0" w:type="auto"/>
            <w:tcBorders>
              <w:top w:val="nil"/>
              <w:left w:val="nil"/>
              <w:bottom w:val="nil"/>
              <w:right w:val="nil"/>
            </w:tcBorders>
            <w:vAlign w:val="center"/>
            <w:hideMark/>
          </w:tcPr>
          <w:p w14:paraId="578B76BB" w14:textId="77777777" w:rsidR="006E5F97" w:rsidRPr="006E5F97" w:rsidRDefault="006E5F97" w:rsidP="006E5F97">
            <w:pPr>
              <w:rPr>
                <w:szCs w:val="24"/>
              </w:rPr>
            </w:pPr>
            <w:r w:rsidRPr="006E5F97">
              <w:rPr>
                <w:szCs w:val="24"/>
              </w:rPr>
              <w:t xml:space="preserve">   Wealth</w:t>
            </w:r>
          </w:p>
        </w:tc>
        <w:tc>
          <w:tcPr>
            <w:tcW w:w="0" w:type="auto"/>
            <w:tcBorders>
              <w:top w:val="nil"/>
              <w:left w:val="nil"/>
              <w:bottom w:val="nil"/>
              <w:right w:val="nil"/>
            </w:tcBorders>
            <w:vAlign w:val="center"/>
            <w:hideMark/>
          </w:tcPr>
          <w:p w14:paraId="1C56BBE7" w14:textId="77777777" w:rsidR="006E5F97" w:rsidRPr="006E5F97" w:rsidRDefault="006E5F97" w:rsidP="006E5F97">
            <w:pPr>
              <w:tabs>
                <w:tab w:val="decimal" w:pos="210"/>
              </w:tabs>
              <w:rPr>
                <w:szCs w:val="24"/>
              </w:rPr>
            </w:pPr>
            <w:r w:rsidRPr="006E5F97">
              <w:rPr>
                <w:szCs w:val="24"/>
              </w:rPr>
              <w:t>.30***</w:t>
            </w:r>
          </w:p>
        </w:tc>
        <w:tc>
          <w:tcPr>
            <w:tcW w:w="0" w:type="auto"/>
            <w:tcBorders>
              <w:top w:val="nil"/>
              <w:left w:val="nil"/>
              <w:bottom w:val="nil"/>
              <w:right w:val="nil"/>
            </w:tcBorders>
            <w:vAlign w:val="center"/>
          </w:tcPr>
          <w:p w14:paraId="467349D6" w14:textId="77777777" w:rsidR="006E5F97" w:rsidRPr="006E5F97" w:rsidRDefault="006E5F97" w:rsidP="006E5F97">
            <w:pPr>
              <w:tabs>
                <w:tab w:val="decimal" w:pos="174"/>
              </w:tabs>
              <w:rPr>
                <w:szCs w:val="24"/>
              </w:rPr>
            </w:pPr>
          </w:p>
        </w:tc>
        <w:tc>
          <w:tcPr>
            <w:tcW w:w="0" w:type="auto"/>
            <w:tcBorders>
              <w:top w:val="nil"/>
              <w:left w:val="nil"/>
              <w:bottom w:val="nil"/>
              <w:right w:val="nil"/>
            </w:tcBorders>
            <w:vAlign w:val="center"/>
            <w:hideMark/>
          </w:tcPr>
          <w:p w14:paraId="4FE46411" w14:textId="77777777" w:rsidR="006E5F97" w:rsidRPr="006E5F97" w:rsidRDefault="006E5F97" w:rsidP="006E5F97">
            <w:pPr>
              <w:tabs>
                <w:tab w:val="decimal" w:pos="186"/>
              </w:tabs>
              <w:jc w:val="center"/>
              <w:rPr>
                <w:szCs w:val="24"/>
              </w:rPr>
            </w:pPr>
            <w:r w:rsidRPr="006E5F97">
              <w:rPr>
                <w:szCs w:val="24"/>
              </w:rPr>
              <w:t>1.00</w:t>
            </w:r>
          </w:p>
        </w:tc>
      </w:tr>
      <w:tr w:rsidR="006E5F97" w:rsidRPr="006E5F97" w14:paraId="037ABD02" w14:textId="77777777" w:rsidTr="006E5F97">
        <w:trPr>
          <w:trHeight w:val="360"/>
        </w:trPr>
        <w:tc>
          <w:tcPr>
            <w:tcW w:w="0" w:type="auto"/>
            <w:tcBorders>
              <w:top w:val="nil"/>
              <w:left w:val="nil"/>
              <w:bottom w:val="nil"/>
              <w:right w:val="nil"/>
            </w:tcBorders>
            <w:vAlign w:val="center"/>
            <w:hideMark/>
          </w:tcPr>
          <w:p w14:paraId="2F8ADF1F" w14:textId="77777777" w:rsidR="006E5F97" w:rsidRPr="006E5F97" w:rsidRDefault="006E5F97" w:rsidP="006E5F97">
            <w:pPr>
              <w:rPr>
                <w:szCs w:val="24"/>
              </w:rPr>
            </w:pPr>
            <w:r w:rsidRPr="006E5F97">
              <w:rPr>
                <w:szCs w:val="24"/>
              </w:rPr>
              <w:t xml:space="preserve">   Highly Qualified Teachers</w:t>
            </w:r>
            <w:r w:rsidRPr="006E5F97">
              <w:rPr>
                <w:szCs w:val="24"/>
                <w:vertAlign w:val="superscript"/>
              </w:rPr>
              <w:t>2</w:t>
            </w:r>
          </w:p>
        </w:tc>
        <w:tc>
          <w:tcPr>
            <w:tcW w:w="0" w:type="auto"/>
            <w:tcBorders>
              <w:top w:val="nil"/>
              <w:left w:val="nil"/>
              <w:bottom w:val="nil"/>
              <w:right w:val="nil"/>
            </w:tcBorders>
            <w:vAlign w:val="center"/>
            <w:hideMark/>
          </w:tcPr>
          <w:p w14:paraId="7D9E84A5" w14:textId="77777777" w:rsidR="006E5F97" w:rsidRPr="006E5F97" w:rsidRDefault="006E5F97" w:rsidP="006E5F97">
            <w:pPr>
              <w:tabs>
                <w:tab w:val="decimal" w:pos="210"/>
              </w:tabs>
              <w:rPr>
                <w:szCs w:val="24"/>
              </w:rPr>
            </w:pPr>
            <w:r w:rsidRPr="006E5F97">
              <w:rPr>
                <w:szCs w:val="24"/>
              </w:rPr>
              <w:t>.29**</w:t>
            </w:r>
          </w:p>
        </w:tc>
        <w:tc>
          <w:tcPr>
            <w:tcW w:w="0" w:type="auto"/>
            <w:tcBorders>
              <w:top w:val="nil"/>
              <w:left w:val="nil"/>
              <w:bottom w:val="nil"/>
              <w:right w:val="nil"/>
            </w:tcBorders>
            <w:vAlign w:val="center"/>
          </w:tcPr>
          <w:p w14:paraId="4553ACB8" w14:textId="77777777" w:rsidR="006E5F97" w:rsidRPr="006E5F97" w:rsidRDefault="006E5F97" w:rsidP="006E5F97">
            <w:pPr>
              <w:tabs>
                <w:tab w:val="decimal" w:pos="174"/>
              </w:tabs>
              <w:rPr>
                <w:szCs w:val="24"/>
              </w:rPr>
            </w:pPr>
          </w:p>
        </w:tc>
        <w:tc>
          <w:tcPr>
            <w:tcW w:w="0" w:type="auto"/>
            <w:tcBorders>
              <w:top w:val="nil"/>
              <w:left w:val="nil"/>
              <w:bottom w:val="nil"/>
              <w:right w:val="nil"/>
            </w:tcBorders>
            <w:vAlign w:val="center"/>
            <w:hideMark/>
          </w:tcPr>
          <w:p w14:paraId="3615F592" w14:textId="77777777" w:rsidR="006E5F97" w:rsidRPr="006E5F97" w:rsidRDefault="006E5F97" w:rsidP="006E5F97">
            <w:pPr>
              <w:tabs>
                <w:tab w:val="decimal" w:pos="186"/>
              </w:tabs>
              <w:jc w:val="center"/>
              <w:rPr>
                <w:szCs w:val="24"/>
              </w:rPr>
            </w:pPr>
            <w:r w:rsidRPr="006E5F97">
              <w:rPr>
                <w:szCs w:val="24"/>
              </w:rPr>
              <w:t>1.16</w:t>
            </w:r>
          </w:p>
        </w:tc>
      </w:tr>
      <w:tr w:rsidR="006E5F97" w:rsidRPr="006E5F97" w14:paraId="49E10BE7" w14:textId="77777777" w:rsidTr="006E5F97">
        <w:trPr>
          <w:trHeight w:val="360"/>
        </w:trPr>
        <w:tc>
          <w:tcPr>
            <w:tcW w:w="0" w:type="auto"/>
            <w:tcBorders>
              <w:top w:val="nil"/>
              <w:left w:val="nil"/>
              <w:bottom w:val="single" w:sz="4" w:space="0" w:color="auto"/>
              <w:right w:val="nil"/>
            </w:tcBorders>
            <w:vAlign w:val="center"/>
            <w:hideMark/>
          </w:tcPr>
          <w:p w14:paraId="16B19679" w14:textId="77777777" w:rsidR="006E5F97" w:rsidRPr="006E5F97" w:rsidRDefault="006E5F97" w:rsidP="006E5F97">
            <w:pPr>
              <w:rPr>
                <w:szCs w:val="24"/>
              </w:rPr>
            </w:pPr>
            <w:r w:rsidRPr="006E5F97">
              <w:rPr>
                <w:szCs w:val="24"/>
              </w:rPr>
              <w:t xml:space="preserve">   Student-Teacher Ratio</w:t>
            </w:r>
            <w:r w:rsidRPr="006E5F97">
              <w:rPr>
                <w:szCs w:val="24"/>
                <w:vertAlign w:val="superscript"/>
              </w:rPr>
              <w:t>2</w:t>
            </w:r>
          </w:p>
        </w:tc>
        <w:tc>
          <w:tcPr>
            <w:tcW w:w="0" w:type="auto"/>
            <w:tcBorders>
              <w:top w:val="nil"/>
              <w:left w:val="nil"/>
              <w:bottom w:val="single" w:sz="4" w:space="0" w:color="auto"/>
              <w:right w:val="nil"/>
            </w:tcBorders>
            <w:vAlign w:val="center"/>
            <w:hideMark/>
          </w:tcPr>
          <w:p w14:paraId="35E661E5" w14:textId="77777777" w:rsidR="006E5F97" w:rsidRPr="006E5F97" w:rsidRDefault="006E5F97" w:rsidP="006E5F97">
            <w:pPr>
              <w:tabs>
                <w:tab w:val="decimal" w:pos="210"/>
              </w:tabs>
              <w:rPr>
                <w:szCs w:val="24"/>
              </w:rPr>
            </w:pPr>
            <w:r w:rsidRPr="006E5F97">
              <w:rPr>
                <w:szCs w:val="24"/>
              </w:rPr>
              <w:t>-.22*</w:t>
            </w:r>
          </w:p>
        </w:tc>
        <w:tc>
          <w:tcPr>
            <w:tcW w:w="0" w:type="auto"/>
            <w:tcBorders>
              <w:top w:val="nil"/>
              <w:left w:val="nil"/>
              <w:bottom w:val="single" w:sz="4" w:space="0" w:color="auto"/>
              <w:right w:val="nil"/>
            </w:tcBorders>
            <w:vAlign w:val="center"/>
          </w:tcPr>
          <w:p w14:paraId="62466209" w14:textId="77777777" w:rsidR="006E5F97" w:rsidRPr="006E5F97" w:rsidRDefault="006E5F97" w:rsidP="006E5F97">
            <w:pPr>
              <w:tabs>
                <w:tab w:val="decimal" w:pos="174"/>
              </w:tabs>
              <w:rPr>
                <w:szCs w:val="24"/>
              </w:rPr>
            </w:pPr>
          </w:p>
        </w:tc>
        <w:tc>
          <w:tcPr>
            <w:tcW w:w="0" w:type="auto"/>
            <w:tcBorders>
              <w:top w:val="nil"/>
              <w:left w:val="nil"/>
              <w:bottom w:val="single" w:sz="4" w:space="0" w:color="auto"/>
              <w:right w:val="nil"/>
            </w:tcBorders>
            <w:vAlign w:val="center"/>
            <w:hideMark/>
          </w:tcPr>
          <w:p w14:paraId="412BD6ED" w14:textId="77777777" w:rsidR="006E5F97" w:rsidRPr="006E5F97" w:rsidRDefault="006E5F97" w:rsidP="006E5F97">
            <w:pPr>
              <w:tabs>
                <w:tab w:val="decimal" w:pos="186"/>
              </w:tabs>
              <w:jc w:val="center"/>
              <w:rPr>
                <w:szCs w:val="24"/>
              </w:rPr>
            </w:pPr>
            <w:r w:rsidRPr="006E5F97">
              <w:rPr>
                <w:szCs w:val="24"/>
              </w:rPr>
              <w:t>1.16</w:t>
            </w:r>
          </w:p>
        </w:tc>
      </w:tr>
      <w:tr w:rsidR="006E5F97" w:rsidRPr="006E5F97" w14:paraId="7AEB2436" w14:textId="77777777" w:rsidTr="006E5F97">
        <w:trPr>
          <w:trHeight w:val="360"/>
        </w:trPr>
        <w:tc>
          <w:tcPr>
            <w:tcW w:w="0" w:type="auto"/>
            <w:tcBorders>
              <w:top w:val="single" w:sz="4" w:space="0" w:color="auto"/>
              <w:left w:val="nil"/>
              <w:bottom w:val="nil"/>
              <w:right w:val="nil"/>
            </w:tcBorders>
            <w:vAlign w:val="center"/>
            <w:hideMark/>
          </w:tcPr>
          <w:p w14:paraId="59927389" w14:textId="77777777" w:rsidR="006E5F97" w:rsidRPr="006E5F97" w:rsidRDefault="006E5F97" w:rsidP="006E5F97">
            <w:pPr>
              <w:rPr>
                <w:szCs w:val="24"/>
                <w:vertAlign w:val="superscript"/>
              </w:rPr>
            </w:pPr>
            <w:r w:rsidRPr="006E5F97">
              <w:rPr>
                <w:szCs w:val="24"/>
              </w:rPr>
              <w:t>Our model</w:t>
            </w:r>
            <w:r w:rsidRPr="006E5F97">
              <w:rPr>
                <w:szCs w:val="24"/>
                <w:vertAlign w:val="superscript"/>
              </w:rPr>
              <w:t>3</w:t>
            </w:r>
          </w:p>
        </w:tc>
        <w:tc>
          <w:tcPr>
            <w:tcW w:w="0" w:type="auto"/>
            <w:tcBorders>
              <w:top w:val="single" w:sz="4" w:space="0" w:color="auto"/>
              <w:left w:val="nil"/>
              <w:bottom w:val="nil"/>
              <w:right w:val="nil"/>
            </w:tcBorders>
            <w:vAlign w:val="center"/>
          </w:tcPr>
          <w:p w14:paraId="626727B5" w14:textId="77777777" w:rsidR="006E5F97" w:rsidRPr="006E5F97" w:rsidRDefault="006E5F97" w:rsidP="006E5F97">
            <w:pPr>
              <w:tabs>
                <w:tab w:val="decimal" w:pos="210"/>
              </w:tabs>
              <w:rPr>
                <w:szCs w:val="24"/>
              </w:rPr>
            </w:pPr>
          </w:p>
        </w:tc>
        <w:tc>
          <w:tcPr>
            <w:tcW w:w="0" w:type="auto"/>
            <w:tcBorders>
              <w:top w:val="single" w:sz="4" w:space="0" w:color="auto"/>
              <w:left w:val="nil"/>
              <w:bottom w:val="nil"/>
              <w:right w:val="nil"/>
            </w:tcBorders>
            <w:vAlign w:val="center"/>
            <w:hideMark/>
          </w:tcPr>
          <w:p w14:paraId="2A6B3BE6" w14:textId="77777777" w:rsidR="006E5F97" w:rsidRPr="006E5F97" w:rsidRDefault="006E5F97" w:rsidP="006E5F97">
            <w:pPr>
              <w:tabs>
                <w:tab w:val="decimal" w:pos="174"/>
              </w:tabs>
              <w:rPr>
                <w:szCs w:val="24"/>
              </w:rPr>
            </w:pPr>
            <w:r w:rsidRPr="006E5F97">
              <w:rPr>
                <w:szCs w:val="24"/>
              </w:rPr>
              <w:t>148</w:t>
            </w:r>
          </w:p>
        </w:tc>
        <w:tc>
          <w:tcPr>
            <w:tcW w:w="0" w:type="auto"/>
            <w:tcBorders>
              <w:top w:val="single" w:sz="4" w:space="0" w:color="auto"/>
              <w:left w:val="nil"/>
              <w:bottom w:val="nil"/>
              <w:right w:val="nil"/>
            </w:tcBorders>
            <w:vAlign w:val="center"/>
          </w:tcPr>
          <w:p w14:paraId="6EE5A4AB" w14:textId="77777777" w:rsidR="006E5F97" w:rsidRPr="006E5F97" w:rsidRDefault="006E5F97" w:rsidP="006E5F97">
            <w:pPr>
              <w:tabs>
                <w:tab w:val="decimal" w:pos="186"/>
              </w:tabs>
              <w:jc w:val="center"/>
              <w:rPr>
                <w:szCs w:val="24"/>
              </w:rPr>
            </w:pPr>
          </w:p>
        </w:tc>
      </w:tr>
      <w:tr w:rsidR="006E5F97" w:rsidRPr="006E5F97" w14:paraId="3C5C792A" w14:textId="77777777" w:rsidTr="006E5F97">
        <w:trPr>
          <w:trHeight w:val="360"/>
        </w:trPr>
        <w:tc>
          <w:tcPr>
            <w:tcW w:w="0" w:type="auto"/>
            <w:tcBorders>
              <w:top w:val="nil"/>
              <w:left w:val="nil"/>
              <w:bottom w:val="nil"/>
              <w:right w:val="nil"/>
            </w:tcBorders>
            <w:vAlign w:val="center"/>
            <w:hideMark/>
          </w:tcPr>
          <w:p w14:paraId="29D921A2" w14:textId="77777777" w:rsidR="006E5F97" w:rsidRPr="006E5F97" w:rsidRDefault="006E5F97" w:rsidP="006E5F97">
            <w:pPr>
              <w:rPr>
                <w:szCs w:val="24"/>
                <w:vertAlign w:val="subscript"/>
              </w:rPr>
            </w:pPr>
            <w:r w:rsidRPr="006E5F97">
              <w:rPr>
                <w:szCs w:val="24"/>
              </w:rPr>
              <w:t xml:space="preserve">   </w:t>
            </w:r>
            <w:proofErr w:type="spellStart"/>
            <w:r w:rsidRPr="006E5F97">
              <w:rPr>
                <w:szCs w:val="24"/>
              </w:rPr>
              <w:t>CG</w:t>
            </w:r>
            <w:r w:rsidRPr="006E5F97">
              <w:rPr>
                <w:szCs w:val="24"/>
                <w:vertAlign w:val="subscript"/>
              </w:rPr>
              <w:t>LOG_centered</w:t>
            </w:r>
            <w:proofErr w:type="spellEnd"/>
          </w:p>
        </w:tc>
        <w:tc>
          <w:tcPr>
            <w:tcW w:w="0" w:type="auto"/>
            <w:tcBorders>
              <w:top w:val="nil"/>
              <w:left w:val="nil"/>
              <w:bottom w:val="nil"/>
              <w:right w:val="nil"/>
            </w:tcBorders>
            <w:vAlign w:val="center"/>
            <w:hideMark/>
          </w:tcPr>
          <w:p w14:paraId="09EBFAA1" w14:textId="77777777" w:rsidR="006E5F97" w:rsidRPr="006E5F97" w:rsidRDefault="006E5F97" w:rsidP="006E5F97">
            <w:pPr>
              <w:tabs>
                <w:tab w:val="decimal" w:pos="210"/>
              </w:tabs>
              <w:rPr>
                <w:szCs w:val="24"/>
              </w:rPr>
            </w:pPr>
            <w:r w:rsidRPr="006E5F97">
              <w:rPr>
                <w:szCs w:val="24"/>
              </w:rPr>
              <w:t>-.33***</w:t>
            </w:r>
          </w:p>
        </w:tc>
        <w:tc>
          <w:tcPr>
            <w:tcW w:w="0" w:type="auto"/>
            <w:tcBorders>
              <w:top w:val="nil"/>
              <w:left w:val="nil"/>
              <w:bottom w:val="nil"/>
              <w:right w:val="nil"/>
            </w:tcBorders>
            <w:vAlign w:val="center"/>
          </w:tcPr>
          <w:p w14:paraId="3CFA9D7F" w14:textId="77777777" w:rsidR="006E5F97" w:rsidRPr="006E5F97" w:rsidRDefault="006E5F97" w:rsidP="006E5F97">
            <w:pPr>
              <w:tabs>
                <w:tab w:val="decimal" w:pos="174"/>
              </w:tabs>
              <w:rPr>
                <w:szCs w:val="24"/>
              </w:rPr>
            </w:pPr>
          </w:p>
        </w:tc>
        <w:tc>
          <w:tcPr>
            <w:tcW w:w="0" w:type="auto"/>
            <w:tcBorders>
              <w:top w:val="nil"/>
              <w:left w:val="nil"/>
              <w:bottom w:val="nil"/>
              <w:right w:val="nil"/>
            </w:tcBorders>
            <w:vAlign w:val="center"/>
            <w:hideMark/>
          </w:tcPr>
          <w:p w14:paraId="7578F503" w14:textId="77777777" w:rsidR="006E5F97" w:rsidRPr="006E5F97" w:rsidRDefault="006E5F97" w:rsidP="006E5F97">
            <w:pPr>
              <w:tabs>
                <w:tab w:val="decimal" w:pos="186"/>
              </w:tabs>
              <w:jc w:val="center"/>
              <w:rPr>
                <w:szCs w:val="24"/>
              </w:rPr>
            </w:pPr>
            <w:r w:rsidRPr="006E5F97">
              <w:rPr>
                <w:szCs w:val="24"/>
              </w:rPr>
              <w:t>1.48</w:t>
            </w:r>
          </w:p>
        </w:tc>
      </w:tr>
      <w:tr w:rsidR="006E5F97" w:rsidRPr="006E5F97" w14:paraId="1C4BAF5C" w14:textId="77777777" w:rsidTr="006E5F97">
        <w:trPr>
          <w:trHeight w:val="360"/>
        </w:trPr>
        <w:tc>
          <w:tcPr>
            <w:tcW w:w="0" w:type="auto"/>
            <w:tcBorders>
              <w:top w:val="nil"/>
              <w:left w:val="nil"/>
              <w:bottom w:val="nil"/>
              <w:right w:val="nil"/>
            </w:tcBorders>
            <w:vAlign w:val="center"/>
            <w:hideMark/>
          </w:tcPr>
          <w:p w14:paraId="42A10A83" w14:textId="77777777" w:rsidR="006E5F97" w:rsidRPr="006E5F97" w:rsidRDefault="006E5F97" w:rsidP="006E5F97">
            <w:pPr>
              <w:rPr>
                <w:szCs w:val="24"/>
                <w:vertAlign w:val="subscript"/>
              </w:rPr>
            </w:pPr>
            <w:r w:rsidRPr="006E5F97">
              <w:rPr>
                <w:szCs w:val="24"/>
              </w:rPr>
              <w:t xml:space="preserve">   </w:t>
            </w:r>
            <w:proofErr w:type="spellStart"/>
            <w:r w:rsidRPr="006E5F97">
              <w:rPr>
                <w:szCs w:val="24"/>
              </w:rPr>
              <w:t>Wealth</w:t>
            </w:r>
            <w:r w:rsidRPr="006E5F97">
              <w:rPr>
                <w:szCs w:val="24"/>
                <w:vertAlign w:val="subscript"/>
              </w:rPr>
              <w:t>centered</w:t>
            </w:r>
            <w:proofErr w:type="spellEnd"/>
          </w:p>
        </w:tc>
        <w:tc>
          <w:tcPr>
            <w:tcW w:w="0" w:type="auto"/>
            <w:tcBorders>
              <w:top w:val="nil"/>
              <w:left w:val="nil"/>
              <w:bottom w:val="nil"/>
              <w:right w:val="nil"/>
            </w:tcBorders>
            <w:vAlign w:val="center"/>
            <w:hideMark/>
          </w:tcPr>
          <w:p w14:paraId="371D1DA8" w14:textId="77777777" w:rsidR="006E5F97" w:rsidRPr="006E5F97" w:rsidRDefault="006E5F97" w:rsidP="006E5F97">
            <w:pPr>
              <w:tabs>
                <w:tab w:val="decimal" w:pos="210"/>
              </w:tabs>
              <w:rPr>
                <w:szCs w:val="24"/>
              </w:rPr>
            </w:pPr>
            <w:r w:rsidRPr="006E5F97">
              <w:rPr>
                <w:szCs w:val="24"/>
              </w:rPr>
              <w:t>.17</w:t>
            </w:r>
          </w:p>
        </w:tc>
        <w:tc>
          <w:tcPr>
            <w:tcW w:w="0" w:type="auto"/>
            <w:tcBorders>
              <w:top w:val="nil"/>
              <w:left w:val="nil"/>
              <w:bottom w:val="nil"/>
              <w:right w:val="nil"/>
            </w:tcBorders>
            <w:vAlign w:val="center"/>
          </w:tcPr>
          <w:p w14:paraId="7307763E" w14:textId="77777777" w:rsidR="006E5F97" w:rsidRPr="006E5F97" w:rsidRDefault="006E5F97" w:rsidP="006E5F97">
            <w:pPr>
              <w:tabs>
                <w:tab w:val="decimal" w:pos="174"/>
              </w:tabs>
              <w:rPr>
                <w:szCs w:val="24"/>
              </w:rPr>
            </w:pPr>
          </w:p>
        </w:tc>
        <w:tc>
          <w:tcPr>
            <w:tcW w:w="0" w:type="auto"/>
            <w:tcBorders>
              <w:top w:val="nil"/>
              <w:left w:val="nil"/>
              <w:bottom w:val="nil"/>
              <w:right w:val="nil"/>
            </w:tcBorders>
            <w:vAlign w:val="center"/>
            <w:hideMark/>
          </w:tcPr>
          <w:p w14:paraId="00501BEB" w14:textId="77777777" w:rsidR="006E5F97" w:rsidRPr="006E5F97" w:rsidRDefault="006E5F97" w:rsidP="006E5F97">
            <w:pPr>
              <w:tabs>
                <w:tab w:val="decimal" w:pos="186"/>
              </w:tabs>
              <w:jc w:val="center"/>
              <w:rPr>
                <w:szCs w:val="24"/>
              </w:rPr>
            </w:pPr>
            <w:r w:rsidRPr="006E5F97">
              <w:rPr>
                <w:szCs w:val="24"/>
              </w:rPr>
              <w:t>1.58</w:t>
            </w:r>
          </w:p>
        </w:tc>
      </w:tr>
      <w:tr w:rsidR="006E5F97" w:rsidRPr="006E5F97" w14:paraId="77BFEEED" w14:textId="77777777" w:rsidTr="006E5F97">
        <w:trPr>
          <w:trHeight w:val="360"/>
        </w:trPr>
        <w:tc>
          <w:tcPr>
            <w:tcW w:w="0" w:type="auto"/>
            <w:tcBorders>
              <w:top w:val="nil"/>
              <w:left w:val="nil"/>
              <w:bottom w:val="nil"/>
              <w:right w:val="nil"/>
            </w:tcBorders>
            <w:vAlign w:val="center"/>
            <w:hideMark/>
          </w:tcPr>
          <w:p w14:paraId="1E931D9D" w14:textId="77777777" w:rsidR="006E5F97" w:rsidRPr="006E5F97" w:rsidRDefault="006E5F97" w:rsidP="006E5F97">
            <w:pPr>
              <w:rPr>
                <w:szCs w:val="24"/>
                <w:vertAlign w:val="subscript"/>
              </w:rPr>
            </w:pPr>
            <w:r w:rsidRPr="006E5F97">
              <w:rPr>
                <w:szCs w:val="24"/>
              </w:rPr>
              <w:t xml:space="preserve">   </w:t>
            </w:r>
            <w:proofErr w:type="spellStart"/>
            <w:r w:rsidRPr="006E5F97">
              <w:rPr>
                <w:szCs w:val="24"/>
              </w:rPr>
              <w:t>Life</w:t>
            </w:r>
            <w:r w:rsidRPr="006E5F97">
              <w:rPr>
                <w:szCs w:val="24"/>
                <w:vertAlign w:val="subscript"/>
              </w:rPr>
              <w:t>centered</w:t>
            </w:r>
            <w:proofErr w:type="spellEnd"/>
          </w:p>
        </w:tc>
        <w:tc>
          <w:tcPr>
            <w:tcW w:w="0" w:type="auto"/>
            <w:tcBorders>
              <w:top w:val="nil"/>
              <w:left w:val="nil"/>
              <w:bottom w:val="nil"/>
              <w:right w:val="nil"/>
            </w:tcBorders>
            <w:vAlign w:val="center"/>
            <w:hideMark/>
          </w:tcPr>
          <w:p w14:paraId="0CE3D2F3" w14:textId="77777777" w:rsidR="006E5F97" w:rsidRPr="006E5F97" w:rsidRDefault="006E5F97" w:rsidP="006E5F97">
            <w:pPr>
              <w:tabs>
                <w:tab w:val="decimal" w:pos="210"/>
              </w:tabs>
              <w:rPr>
                <w:szCs w:val="24"/>
              </w:rPr>
            </w:pPr>
            <w:r w:rsidRPr="006E5F97">
              <w:rPr>
                <w:szCs w:val="24"/>
              </w:rPr>
              <w:t>.26**</w:t>
            </w:r>
          </w:p>
        </w:tc>
        <w:tc>
          <w:tcPr>
            <w:tcW w:w="0" w:type="auto"/>
            <w:tcBorders>
              <w:top w:val="nil"/>
              <w:left w:val="nil"/>
              <w:bottom w:val="nil"/>
              <w:right w:val="nil"/>
            </w:tcBorders>
            <w:vAlign w:val="center"/>
          </w:tcPr>
          <w:p w14:paraId="1B206FA0" w14:textId="77777777" w:rsidR="006E5F97" w:rsidRPr="006E5F97" w:rsidRDefault="006E5F97" w:rsidP="006E5F97">
            <w:pPr>
              <w:tabs>
                <w:tab w:val="decimal" w:pos="174"/>
              </w:tabs>
              <w:rPr>
                <w:szCs w:val="24"/>
              </w:rPr>
            </w:pPr>
          </w:p>
        </w:tc>
        <w:tc>
          <w:tcPr>
            <w:tcW w:w="0" w:type="auto"/>
            <w:tcBorders>
              <w:top w:val="nil"/>
              <w:left w:val="nil"/>
              <w:bottom w:val="nil"/>
              <w:right w:val="nil"/>
            </w:tcBorders>
            <w:vAlign w:val="center"/>
            <w:hideMark/>
          </w:tcPr>
          <w:p w14:paraId="4666FB35" w14:textId="77777777" w:rsidR="006E5F97" w:rsidRPr="006E5F97" w:rsidRDefault="006E5F97" w:rsidP="006E5F97">
            <w:pPr>
              <w:tabs>
                <w:tab w:val="decimal" w:pos="186"/>
              </w:tabs>
              <w:jc w:val="center"/>
              <w:rPr>
                <w:szCs w:val="24"/>
              </w:rPr>
            </w:pPr>
            <w:r w:rsidRPr="006E5F97">
              <w:rPr>
                <w:szCs w:val="24"/>
              </w:rPr>
              <w:t>1.24</w:t>
            </w:r>
          </w:p>
        </w:tc>
      </w:tr>
      <w:tr w:rsidR="006E5F97" w:rsidRPr="006E5F97" w14:paraId="29D77C71" w14:textId="77777777" w:rsidTr="006E5F97">
        <w:trPr>
          <w:trHeight w:val="360"/>
        </w:trPr>
        <w:tc>
          <w:tcPr>
            <w:tcW w:w="0" w:type="auto"/>
            <w:gridSpan w:val="4"/>
            <w:tcBorders>
              <w:top w:val="single" w:sz="8" w:space="0" w:color="auto"/>
              <w:left w:val="nil"/>
              <w:bottom w:val="nil"/>
              <w:right w:val="nil"/>
            </w:tcBorders>
            <w:vAlign w:val="center"/>
            <w:hideMark/>
          </w:tcPr>
          <w:p w14:paraId="193DEFAA" w14:textId="77777777" w:rsidR="006E5F97" w:rsidRPr="006E5F97" w:rsidRDefault="006E5F97" w:rsidP="006E5F97">
            <w:pPr>
              <w:rPr>
                <w:szCs w:val="24"/>
              </w:rPr>
            </w:pPr>
            <w:r w:rsidRPr="006E5F97">
              <w:rPr>
                <w:szCs w:val="24"/>
              </w:rPr>
              <w:t xml:space="preserve">*** </w:t>
            </w:r>
            <w:r w:rsidRPr="006E5F97">
              <w:rPr>
                <w:i/>
                <w:iCs/>
                <w:szCs w:val="24"/>
              </w:rPr>
              <w:t>p</w:t>
            </w:r>
            <w:r w:rsidRPr="006E5F97">
              <w:rPr>
                <w:szCs w:val="24"/>
              </w:rPr>
              <w:t xml:space="preserve"> &lt; .001     ** </w:t>
            </w:r>
            <w:r w:rsidRPr="006E5F97">
              <w:rPr>
                <w:i/>
                <w:iCs/>
                <w:szCs w:val="24"/>
              </w:rPr>
              <w:t>p</w:t>
            </w:r>
            <w:r w:rsidRPr="006E5F97">
              <w:rPr>
                <w:szCs w:val="24"/>
              </w:rPr>
              <w:t xml:space="preserve"> &lt; .01     * p &lt; .05</w:t>
            </w:r>
          </w:p>
          <w:p w14:paraId="78200015" w14:textId="77777777" w:rsidR="006E5F97" w:rsidRPr="006E5F97" w:rsidRDefault="006E5F97" w:rsidP="006E5F97">
            <w:pPr>
              <w:rPr>
                <w:szCs w:val="24"/>
              </w:rPr>
            </w:pPr>
            <w:r w:rsidRPr="006E5F97">
              <w:rPr>
                <w:szCs w:val="24"/>
                <w:vertAlign w:val="superscript"/>
              </w:rPr>
              <w:t>1</w:t>
            </w:r>
            <w:r w:rsidRPr="006E5F97">
              <w:rPr>
                <w:szCs w:val="24"/>
              </w:rPr>
              <w:t xml:space="preserve"> Predicting </w:t>
            </w:r>
            <w:proofErr w:type="spellStart"/>
            <w:r w:rsidRPr="006E5F97">
              <w:rPr>
                <w:szCs w:val="24"/>
              </w:rPr>
              <w:t>IQ</w:t>
            </w:r>
            <w:r w:rsidRPr="006E5F97">
              <w:rPr>
                <w:szCs w:val="24"/>
                <w:vertAlign w:val="subscript"/>
              </w:rPr>
              <w:t>McDaniel</w:t>
            </w:r>
            <w:proofErr w:type="spellEnd"/>
            <w:r w:rsidRPr="006E5F97">
              <w:rPr>
                <w:szCs w:val="24"/>
              </w:rPr>
              <w:t>.</w:t>
            </w:r>
          </w:p>
          <w:p w14:paraId="7EB00FB9" w14:textId="77777777" w:rsidR="006E5F97" w:rsidRPr="006E5F97" w:rsidRDefault="006E5F97" w:rsidP="006E5F97">
            <w:pPr>
              <w:rPr>
                <w:szCs w:val="24"/>
              </w:rPr>
            </w:pPr>
            <w:r w:rsidRPr="006E5F97">
              <w:rPr>
                <w:szCs w:val="24"/>
                <w:vertAlign w:val="superscript"/>
              </w:rPr>
              <w:t>2</w:t>
            </w:r>
            <w:r w:rsidRPr="006E5F97">
              <w:rPr>
                <w:szCs w:val="24"/>
              </w:rPr>
              <w:t xml:space="preserve"> See </w:t>
            </w:r>
            <w:proofErr w:type="spellStart"/>
            <w:r w:rsidRPr="006E5F97">
              <w:rPr>
                <w:szCs w:val="24"/>
              </w:rPr>
              <w:t>Eppig</w:t>
            </w:r>
            <w:proofErr w:type="spellEnd"/>
            <w:r w:rsidRPr="006E5F97">
              <w:rPr>
                <w:szCs w:val="24"/>
              </w:rPr>
              <w:t xml:space="preserve"> and colleagues (2011).</w:t>
            </w:r>
          </w:p>
          <w:p w14:paraId="43583434" w14:textId="77777777" w:rsidR="006E5F97" w:rsidRPr="006E5F97" w:rsidRDefault="006E5F97" w:rsidP="006E5F97">
            <w:pPr>
              <w:rPr>
                <w:szCs w:val="24"/>
              </w:rPr>
            </w:pPr>
            <w:r w:rsidRPr="006E5F97">
              <w:rPr>
                <w:szCs w:val="24"/>
                <w:vertAlign w:val="superscript"/>
              </w:rPr>
              <w:t>3</w:t>
            </w:r>
            <w:r w:rsidRPr="006E5F97">
              <w:rPr>
                <w:szCs w:val="24"/>
              </w:rPr>
              <w:t xml:space="preserve"> Predicting </w:t>
            </w:r>
            <w:proofErr w:type="spellStart"/>
            <w:r w:rsidRPr="006E5F97">
              <w:rPr>
                <w:szCs w:val="24"/>
              </w:rPr>
              <w:t>IQ</w:t>
            </w:r>
            <w:r w:rsidRPr="006E5F97">
              <w:rPr>
                <w:szCs w:val="24"/>
                <w:vertAlign w:val="subscript"/>
              </w:rPr>
              <w:t>centered</w:t>
            </w:r>
            <w:proofErr w:type="spellEnd"/>
            <w:r w:rsidRPr="006E5F97">
              <w:rPr>
                <w:szCs w:val="24"/>
              </w:rPr>
              <w:t>.</w:t>
            </w:r>
          </w:p>
        </w:tc>
      </w:tr>
    </w:tbl>
    <w:p w14:paraId="4ACDD4D1" w14:textId="77777777" w:rsidR="006E5F97" w:rsidRPr="006E5F97" w:rsidRDefault="006E5F97" w:rsidP="006E5F97">
      <w:pPr>
        <w:rPr>
          <w:rFonts w:eastAsia="Calibri"/>
        </w:rPr>
      </w:pPr>
    </w:p>
    <w:p w14:paraId="556A20A1" w14:textId="77777777" w:rsidR="006E5F97" w:rsidRPr="006E5F97" w:rsidRDefault="006E5F97" w:rsidP="006E5F97">
      <w:pPr>
        <w:jc w:val="center"/>
        <w:rPr>
          <w:rFonts w:eastAsia="Calibri"/>
          <w:b/>
        </w:rPr>
      </w:pPr>
      <w:r w:rsidRPr="006E5F97">
        <w:rPr>
          <w:rFonts w:eastAsia="Calibri"/>
          <w:b/>
        </w:rPr>
        <w:t>Discussion</w:t>
      </w:r>
    </w:p>
    <w:p w14:paraId="63729DFF" w14:textId="77777777" w:rsidR="006E5F97" w:rsidRPr="006E5F97" w:rsidRDefault="006E5F97" w:rsidP="006E5F97">
      <w:pPr>
        <w:ind w:firstLine="720"/>
        <w:rPr>
          <w:rFonts w:eastAsia="Calibri"/>
        </w:rPr>
      </w:pPr>
      <w:r w:rsidRPr="006E5F97">
        <w:rPr>
          <w:rFonts w:eastAsia="Calibri"/>
        </w:rPr>
        <w:t xml:space="preserve">Our findings suggest that the association between pathogen prevalence and IQ previously reported by EFT is </w:t>
      </w:r>
      <w:proofErr w:type="spellStart"/>
      <w:r w:rsidRPr="006E5F97">
        <w:rPr>
          <w:rFonts w:eastAsia="Calibri"/>
        </w:rPr>
        <w:t>misaggregated</w:t>
      </w:r>
      <w:proofErr w:type="spellEnd"/>
      <w:r w:rsidRPr="006E5F97">
        <w:rPr>
          <w:rFonts w:eastAsia="Calibri"/>
        </w:rPr>
        <w:t>.</w:t>
      </w:r>
      <w:r w:rsidRPr="006E5F97">
        <w:rPr>
          <w:rFonts w:eastAsia="Calibri"/>
          <w:bCs/>
        </w:rPr>
        <w:t xml:space="preserve"> </w:t>
      </w:r>
      <w:r w:rsidRPr="006E5F97">
        <w:rPr>
          <w:rFonts w:eastAsia="Calibri"/>
        </w:rPr>
        <w:t xml:space="preserve">Once detected, </w:t>
      </w:r>
      <w:proofErr w:type="spellStart"/>
      <w:r w:rsidRPr="006E5F97">
        <w:rPr>
          <w:rFonts w:eastAsia="Calibri"/>
        </w:rPr>
        <w:t>misaggregation</w:t>
      </w:r>
      <w:proofErr w:type="spellEnd"/>
      <w:r w:rsidRPr="006E5F97">
        <w:rPr>
          <w:rFonts w:eastAsia="Calibri"/>
        </w:rPr>
        <w:t xml:space="preserve"> still requires interpretation. The data alone provides little to no indication of whether the aggregate or stratified analyses are correct. However, attending to the (hypothesized) causal context reveals the correct level of analysis (</w:t>
      </w:r>
      <w:proofErr w:type="spellStart"/>
      <w:r w:rsidRPr="006E5F97">
        <w:rPr>
          <w:rFonts w:eastAsia="Calibri"/>
        </w:rPr>
        <w:t>Hernán</w:t>
      </w:r>
      <w:proofErr w:type="spellEnd"/>
      <w:r w:rsidRPr="006E5F97">
        <w:rPr>
          <w:rFonts w:eastAsia="Calibri"/>
        </w:rPr>
        <w:t xml:space="preserve">, Clayton, &amp; </w:t>
      </w:r>
      <w:proofErr w:type="spellStart"/>
      <w:r w:rsidRPr="006E5F97">
        <w:rPr>
          <w:rFonts w:eastAsia="Calibri"/>
        </w:rPr>
        <w:t>Keiding</w:t>
      </w:r>
      <w:proofErr w:type="spellEnd"/>
      <w:r w:rsidRPr="006E5F97">
        <w:rPr>
          <w:rFonts w:eastAsia="Calibri"/>
        </w:rPr>
        <w:t>, 2011). In the case of pathogen prevalence and IQ, EFT hypothesized a developmental trade-off between pathogens and intelligence occurring in individuals. As such, our racial/ethnic subgroup stratified analyses—though still flawed by the usage of state-level rather than individual-level data—present a more accurate representation of the association between pathogen prevalence and IQ.</w:t>
      </w:r>
    </w:p>
    <w:p w14:paraId="3F2433DA" w14:textId="77777777" w:rsidR="006E5F97" w:rsidRPr="006E5F97" w:rsidRDefault="006E5F97" w:rsidP="006E5F97">
      <w:pPr>
        <w:ind w:firstLine="720"/>
        <w:rPr>
          <w:rFonts w:eastAsia="Calibri"/>
        </w:rPr>
      </w:pPr>
      <w:r w:rsidRPr="006E5F97">
        <w:rPr>
          <w:rFonts w:eastAsia="Calibri"/>
        </w:rPr>
        <w:t xml:space="preserve">The limitations to this study highlight how several other concerns may further impact both EFT’s and our own analyses. Our data may be </w:t>
      </w:r>
      <w:proofErr w:type="spellStart"/>
      <w:r w:rsidRPr="006E5F97">
        <w:rPr>
          <w:rFonts w:eastAsia="Calibri"/>
        </w:rPr>
        <w:t>misaggregated</w:t>
      </w:r>
      <w:proofErr w:type="spellEnd"/>
      <w:r w:rsidRPr="006E5F97">
        <w:rPr>
          <w:rFonts w:eastAsia="Calibri"/>
        </w:rPr>
        <w:t xml:space="preserve"> further at the state level and our analyses fail to account for potential spatial autocorrelation (a state’s data may not be independent due to similarities to other nearby states). We also did not attempt to account for other statistical concerns mentioned earlier such as non-equivalence of measurement, non-representative samples, and confounding/covariation. Other minor limitations include missing data points in the measures of IQ and life expectancy, difficulty in finding control variables stratified by both state and racial/ethnic subgroup, and slight differences in the definitions of racial/ethnic subgroups across each variable.</w:t>
      </w:r>
    </w:p>
    <w:p w14:paraId="6AE60178" w14:textId="77777777" w:rsidR="006E5F97" w:rsidRPr="006E5F97" w:rsidRDefault="006E5F97" w:rsidP="006E5F97">
      <w:pPr>
        <w:ind w:firstLine="720"/>
        <w:rPr>
          <w:rFonts w:eastAsia="Calibri"/>
        </w:rPr>
      </w:pPr>
      <w:r w:rsidRPr="006E5F97">
        <w:rPr>
          <w:rFonts w:eastAsia="Calibri"/>
        </w:rPr>
        <w:t xml:space="preserve">By accounting for a single problem, </w:t>
      </w:r>
      <w:proofErr w:type="spellStart"/>
      <w:r w:rsidRPr="006E5F97">
        <w:rPr>
          <w:rFonts w:eastAsia="Calibri"/>
        </w:rPr>
        <w:t>misaggregation</w:t>
      </w:r>
      <w:proofErr w:type="spellEnd"/>
      <w:r w:rsidRPr="006E5F97">
        <w:rPr>
          <w:rFonts w:eastAsia="Calibri"/>
        </w:rPr>
        <w:t xml:space="preserve"> across racial/ethnic subgroups, we found a dramatically different association between pathogen prevalence and IQ. It may be that accounting for other concerns further changes the results, or not. Substantial effort would be needed to account for </w:t>
      </w:r>
      <w:proofErr w:type="gramStart"/>
      <w:r w:rsidRPr="006E5F97">
        <w:rPr>
          <w:rFonts w:eastAsia="Calibri"/>
        </w:rPr>
        <w:t>all of</w:t>
      </w:r>
      <w:proofErr w:type="gramEnd"/>
      <w:r w:rsidRPr="006E5F97">
        <w:rPr>
          <w:rFonts w:eastAsia="Calibri"/>
        </w:rPr>
        <w:t xml:space="preserve"> these statistical concerns using aggregated data. Therefore, we highly recommended that researchers design studies and collect data at the correct level for their analyses (relative to the research question). Individual-level data can always be aggregated across groups and is therefore optimal. In cases where individual-level or stratified data is unavailable or difficult to obtain, we strongly advise that researchers attend to these issues when conducting analyses and interpreting their results.</w:t>
      </w:r>
    </w:p>
    <w:p w14:paraId="6DCF32A4" w14:textId="77777777" w:rsidR="008E7009" w:rsidRDefault="006E5F97" w:rsidP="006E5F97">
      <w:pPr>
        <w:rPr>
          <w:rFonts w:eastAsia="Calibri"/>
        </w:rPr>
      </w:pPr>
      <w:r w:rsidRPr="006E5F97">
        <w:rPr>
          <w:rFonts w:eastAsia="Calibri"/>
        </w:rPr>
        <w:tab/>
        <w:t xml:space="preserve">In the case of parasite stress theory, much of the current research relies on aggregated data and correlational analyses. This often (and perhaps incorrectly) resulted in causal relationships being inferred about individuals. Further, other researchers have pointed out how these studies fail to account for other concerns we have mentioned (e.g., Bromham, Hua, Cardillo, Schneemann, &amp; Greenhill, 2018; Currie &amp; Mace, 2012). </w:t>
      </w:r>
      <w:proofErr w:type="spellStart"/>
      <w:r w:rsidRPr="006E5F97">
        <w:rPr>
          <w:rFonts w:eastAsia="Calibri"/>
        </w:rPr>
        <w:t>Misaggregation</w:t>
      </w:r>
      <w:proofErr w:type="spellEnd"/>
      <w:r w:rsidRPr="006E5F97">
        <w:rPr>
          <w:rFonts w:eastAsia="Calibri"/>
        </w:rPr>
        <w:t xml:space="preserve"> is just one such concern, but we have demonstrated that only one of these issues may dramatically alter a study’s results. This calls into question the validity of much of the research on parasite stress theory. To know for sure, parasite stress theory’s findings should be investigated with more robust empirical methods using data at the correct level of analysis.</w:t>
      </w:r>
    </w:p>
    <w:p w14:paraId="14D3392E" w14:textId="57C64EF0" w:rsidR="006E5F97" w:rsidRPr="006E5F97" w:rsidRDefault="006E5F97" w:rsidP="006E5F97">
      <w:pPr>
        <w:rPr>
          <w:rFonts w:eastAsia="Calibri"/>
        </w:rPr>
      </w:pPr>
      <w:r w:rsidRPr="006E5F97">
        <w:rPr>
          <w:rFonts w:eastAsia="Calibri"/>
        </w:rPr>
        <w:br w:type="page"/>
      </w:r>
    </w:p>
    <w:p w14:paraId="0645526F" w14:textId="77777777" w:rsidR="006E5F97" w:rsidRPr="006E5F97" w:rsidRDefault="006E5F97" w:rsidP="006E5F97">
      <w:pPr>
        <w:jc w:val="center"/>
        <w:rPr>
          <w:rFonts w:eastAsia="Calibri"/>
          <w:b/>
          <w:bCs/>
        </w:rPr>
      </w:pPr>
      <w:r w:rsidRPr="006E5F97">
        <w:rPr>
          <w:rFonts w:eastAsia="Calibri"/>
          <w:bCs/>
        </w:rPr>
        <w:t>References</w:t>
      </w:r>
    </w:p>
    <w:p w14:paraId="2C78330F" w14:textId="77777777" w:rsidR="006E5F97" w:rsidRPr="006E5F97" w:rsidRDefault="006E5F97" w:rsidP="006E5F97">
      <w:pPr>
        <w:ind w:left="720" w:hanging="720"/>
        <w:rPr>
          <w:rFonts w:eastAsia="Calibri"/>
        </w:rPr>
      </w:pPr>
      <w:r w:rsidRPr="006E5F97">
        <w:rPr>
          <w:rFonts w:eastAsia="Calibri"/>
        </w:rPr>
        <w:t>Bickel, P. J., Hammel, E. A., &amp; O'Connell, J. W. (1975). Sex bias in graduate admissions: Data from Berkeley. </w:t>
      </w:r>
      <w:r w:rsidRPr="006E5F97">
        <w:rPr>
          <w:rFonts w:eastAsia="Calibri"/>
          <w:i/>
          <w:iCs/>
        </w:rPr>
        <w:t>Science</w:t>
      </w:r>
      <w:r w:rsidRPr="006E5F97">
        <w:rPr>
          <w:rFonts w:eastAsia="Calibri"/>
        </w:rPr>
        <w:t>, </w:t>
      </w:r>
      <w:r w:rsidRPr="006E5F97">
        <w:rPr>
          <w:rFonts w:eastAsia="Calibri"/>
          <w:i/>
          <w:iCs/>
        </w:rPr>
        <w:t>187</w:t>
      </w:r>
      <w:r w:rsidRPr="006E5F97">
        <w:rPr>
          <w:rFonts w:eastAsia="Calibri"/>
        </w:rPr>
        <w:t>(4175), 398-404. https://doi.org/10.1126/science.187.4175.398</w:t>
      </w:r>
    </w:p>
    <w:p w14:paraId="1A4B8BE9" w14:textId="77777777" w:rsidR="006E5F97" w:rsidRPr="006E5F97" w:rsidRDefault="006E5F97" w:rsidP="006E5F97">
      <w:pPr>
        <w:ind w:left="720" w:hanging="720"/>
        <w:rPr>
          <w:rFonts w:eastAsia="Calibri"/>
        </w:rPr>
      </w:pPr>
      <w:r w:rsidRPr="006E5F97">
        <w:rPr>
          <w:rFonts w:eastAsia="Calibri"/>
        </w:rPr>
        <w:t xml:space="preserve">Bromham, L., Hua, X., Cardillo, M., Schneemann, H., &amp; Greenhill, S. J. (2018). Parasites and politics: why cross-cultural studies must control for relatedness, </w:t>
      </w:r>
      <w:proofErr w:type="gramStart"/>
      <w:r w:rsidRPr="006E5F97">
        <w:rPr>
          <w:rFonts w:eastAsia="Calibri"/>
        </w:rPr>
        <w:t>proximity</w:t>
      </w:r>
      <w:proofErr w:type="gramEnd"/>
      <w:r w:rsidRPr="006E5F97">
        <w:rPr>
          <w:rFonts w:eastAsia="Calibri"/>
        </w:rPr>
        <w:t xml:space="preserve"> and covariation. </w:t>
      </w:r>
      <w:r w:rsidRPr="006E5F97">
        <w:rPr>
          <w:rFonts w:eastAsia="Calibri"/>
          <w:i/>
          <w:iCs/>
        </w:rPr>
        <w:t>Royal Society Open Science</w:t>
      </w:r>
      <w:r w:rsidRPr="006E5F97">
        <w:rPr>
          <w:rFonts w:eastAsia="Calibri"/>
        </w:rPr>
        <w:t xml:space="preserve">, </w:t>
      </w:r>
      <w:r w:rsidRPr="006E5F97">
        <w:rPr>
          <w:rFonts w:eastAsia="Calibri"/>
          <w:i/>
          <w:iCs/>
        </w:rPr>
        <w:t>5</w:t>
      </w:r>
      <w:r w:rsidRPr="006E5F97">
        <w:rPr>
          <w:rFonts w:eastAsia="Calibri"/>
        </w:rPr>
        <w:t>(8). http://dx.doi.org/10.1098/rsos.181100</w:t>
      </w:r>
    </w:p>
    <w:p w14:paraId="5F432BBB" w14:textId="77777777" w:rsidR="006E5F97" w:rsidRPr="006E5F97" w:rsidRDefault="006E5F97" w:rsidP="006E5F97">
      <w:pPr>
        <w:ind w:left="720" w:hanging="720"/>
        <w:rPr>
          <w:rFonts w:eastAsia="Calibri"/>
        </w:rPr>
      </w:pPr>
      <w:r w:rsidRPr="006E5F97">
        <w:rPr>
          <w:rFonts w:eastAsia="Calibri"/>
        </w:rPr>
        <w:t>Currie, T. E., &amp; Mace, R. (2012). Analyses do not support the parasite-stress theory of human sociality. </w:t>
      </w:r>
      <w:r w:rsidRPr="006E5F97">
        <w:rPr>
          <w:rFonts w:eastAsia="Calibri"/>
          <w:i/>
          <w:iCs/>
        </w:rPr>
        <w:t>Behavioral and Brain Sciences</w:t>
      </w:r>
      <w:r w:rsidRPr="006E5F97">
        <w:rPr>
          <w:rFonts w:eastAsia="Calibri"/>
        </w:rPr>
        <w:t>, </w:t>
      </w:r>
      <w:r w:rsidRPr="006E5F97">
        <w:rPr>
          <w:rFonts w:eastAsia="Calibri"/>
          <w:i/>
          <w:iCs/>
        </w:rPr>
        <w:t>35</w:t>
      </w:r>
      <w:r w:rsidRPr="006E5F97">
        <w:rPr>
          <w:rFonts w:eastAsia="Calibri"/>
        </w:rPr>
        <w:t>(2), 83-85. https://doi.org/10.1017/S0140525X11000963</w:t>
      </w:r>
    </w:p>
    <w:p w14:paraId="2EF186B7" w14:textId="77777777" w:rsidR="006E5F97" w:rsidRPr="006E5F97" w:rsidRDefault="006E5F97" w:rsidP="006E5F97">
      <w:pPr>
        <w:ind w:left="720" w:hanging="720"/>
        <w:rPr>
          <w:rFonts w:eastAsia="Calibri"/>
        </w:rPr>
      </w:pPr>
      <w:proofErr w:type="spellStart"/>
      <w:r w:rsidRPr="006E5F97">
        <w:rPr>
          <w:rFonts w:eastAsia="Calibri"/>
        </w:rPr>
        <w:t>Eppig</w:t>
      </w:r>
      <w:proofErr w:type="spellEnd"/>
      <w:r w:rsidRPr="006E5F97">
        <w:rPr>
          <w:rFonts w:eastAsia="Calibri"/>
        </w:rPr>
        <w:t>, C., Fincher, C. L., &amp; Thornhill, R. (2011). Parasite prevalence and the distribution of intelligence among the states of the USA. </w:t>
      </w:r>
      <w:r w:rsidRPr="006E5F97">
        <w:rPr>
          <w:rFonts w:eastAsia="Calibri"/>
          <w:i/>
          <w:iCs/>
        </w:rPr>
        <w:t>Intelligence</w:t>
      </w:r>
      <w:r w:rsidRPr="006E5F97">
        <w:rPr>
          <w:rFonts w:eastAsia="Calibri"/>
        </w:rPr>
        <w:t>, </w:t>
      </w:r>
      <w:r w:rsidRPr="006E5F97">
        <w:rPr>
          <w:rFonts w:eastAsia="Calibri"/>
          <w:i/>
          <w:iCs/>
        </w:rPr>
        <w:t>39</w:t>
      </w:r>
      <w:r w:rsidRPr="006E5F97">
        <w:rPr>
          <w:rFonts w:eastAsia="Calibri"/>
        </w:rPr>
        <w:t>(2-3), 155-160. https://doi.org/10.1016/j.intell.2011.02.008</w:t>
      </w:r>
    </w:p>
    <w:p w14:paraId="02C9F5E6" w14:textId="77777777" w:rsidR="006E5F97" w:rsidRPr="006E5F97" w:rsidRDefault="006E5F97" w:rsidP="006E5F97">
      <w:pPr>
        <w:ind w:left="720" w:hanging="720"/>
        <w:rPr>
          <w:rFonts w:eastAsia="Calibri"/>
        </w:rPr>
      </w:pPr>
      <w:r w:rsidRPr="006E5F97">
        <w:rPr>
          <w:rFonts w:eastAsia="Calibri"/>
        </w:rPr>
        <w:t>Figueredo, A. J., Gladden, P. R., &amp; Black, C. J. (2012). Parasite stress, ethnocentrism, and life history strategy. </w:t>
      </w:r>
      <w:r w:rsidRPr="006E5F97">
        <w:rPr>
          <w:rFonts w:eastAsia="Calibri"/>
          <w:i/>
          <w:iCs/>
        </w:rPr>
        <w:t>Behavioral and Brain Sciences</w:t>
      </w:r>
      <w:r w:rsidRPr="006E5F97">
        <w:rPr>
          <w:rFonts w:eastAsia="Calibri"/>
        </w:rPr>
        <w:t>, </w:t>
      </w:r>
      <w:r w:rsidRPr="006E5F97">
        <w:rPr>
          <w:rFonts w:eastAsia="Calibri"/>
          <w:i/>
          <w:iCs/>
        </w:rPr>
        <w:t>35</w:t>
      </w:r>
      <w:r w:rsidRPr="006E5F97">
        <w:rPr>
          <w:rFonts w:eastAsia="Calibri"/>
        </w:rPr>
        <w:t>(2), 87-88. https://doi.org/10.1017/S0140525X11000999</w:t>
      </w:r>
    </w:p>
    <w:p w14:paraId="18EB1CBF" w14:textId="77777777" w:rsidR="006E5F97" w:rsidRPr="006E5F97" w:rsidRDefault="006E5F97" w:rsidP="006E5F97">
      <w:pPr>
        <w:ind w:left="720" w:hanging="720"/>
        <w:rPr>
          <w:rFonts w:eastAsia="Calibri"/>
        </w:rPr>
      </w:pPr>
      <w:r w:rsidRPr="006E5F97">
        <w:rPr>
          <w:rFonts w:eastAsia="Calibri"/>
        </w:rPr>
        <w:t xml:space="preserve">Fincher, C. L., &amp; Thornhill, R. (2012a). Parasite-stress promotes in-group assortative sociality: The cases of strong family ties and heightened religiosity. </w:t>
      </w:r>
      <w:r w:rsidRPr="006E5F97">
        <w:rPr>
          <w:rFonts w:eastAsia="Calibri"/>
          <w:i/>
          <w:iCs/>
        </w:rPr>
        <w:t>Behavioral and Brain Sciences</w:t>
      </w:r>
      <w:r w:rsidRPr="006E5F97">
        <w:rPr>
          <w:rFonts w:eastAsia="Calibri"/>
        </w:rPr>
        <w:t xml:space="preserve">, </w:t>
      </w:r>
      <w:r w:rsidRPr="006E5F97">
        <w:rPr>
          <w:rFonts w:eastAsia="Calibri"/>
          <w:i/>
          <w:iCs/>
        </w:rPr>
        <w:t>35</w:t>
      </w:r>
      <w:r w:rsidRPr="006E5F97">
        <w:rPr>
          <w:rFonts w:eastAsia="Calibri"/>
        </w:rPr>
        <w:t>(2), 61-79. https://doi.org/10.1017/S0140525X11000021</w:t>
      </w:r>
    </w:p>
    <w:p w14:paraId="0EBA9AF7" w14:textId="77777777" w:rsidR="006E5F97" w:rsidRPr="006E5F97" w:rsidRDefault="006E5F97" w:rsidP="006E5F97">
      <w:pPr>
        <w:ind w:left="720" w:hanging="720"/>
        <w:rPr>
          <w:rFonts w:eastAsia="Calibri"/>
        </w:rPr>
      </w:pPr>
      <w:r w:rsidRPr="006E5F97">
        <w:rPr>
          <w:rFonts w:eastAsia="Calibri"/>
        </w:rPr>
        <w:t>Fincher, C. L., &amp; Thornhill, R. (2012b). The parasite-stress theory may be a general theory of culture and sociality. </w:t>
      </w:r>
      <w:r w:rsidRPr="006E5F97">
        <w:rPr>
          <w:rFonts w:eastAsia="Calibri"/>
          <w:i/>
          <w:iCs/>
        </w:rPr>
        <w:t>Behavioral and Brain Sciences</w:t>
      </w:r>
      <w:r w:rsidRPr="006E5F97">
        <w:rPr>
          <w:rFonts w:eastAsia="Calibri"/>
        </w:rPr>
        <w:t>, </w:t>
      </w:r>
      <w:r w:rsidRPr="006E5F97">
        <w:rPr>
          <w:rFonts w:eastAsia="Calibri"/>
          <w:i/>
          <w:iCs/>
        </w:rPr>
        <w:t>35</w:t>
      </w:r>
      <w:r w:rsidRPr="006E5F97">
        <w:rPr>
          <w:rFonts w:eastAsia="Calibri"/>
        </w:rPr>
        <w:t>(2), 99-119. https://doi.org/10.1017/S0140525X11001774</w:t>
      </w:r>
    </w:p>
    <w:p w14:paraId="27D7BC77" w14:textId="77777777" w:rsidR="006E5F97" w:rsidRPr="006E5F97" w:rsidRDefault="006E5F97" w:rsidP="006E5F97">
      <w:pPr>
        <w:ind w:left="720" w:hanging="720"/>
        <w:rPr>
          <w:rFonts w:eastAsia="Calibri"/>
        </w:rPr>
      </w:pPr>
      <w:r w:rsidRPr="006E5F97">
        <w:rPr>
          <w:rFonts w:eastAsia="Calibri"/>
        </w:rPr>
        <w:t>Fincher, C. L., Thornhill, R., Murray, D. R., &amp; Schaller, M. (2008). Pathogen prevalence predicts human cross-cultural variability in individualism/collectivism. </w:t>
      </w:r>
      <w:r w:rsidRPr="006E5F97">
        <w:rPr>
          <w:rFonts w:eastAsia="Calibri"/>
          <w:i/>
          <w:iCs/>
        </w:rPr>
        <w:t>Proceedings of the Royal Society B: Biological Sciences</w:t>
      </w:r>
      <w:r w:rsidRPr="006E5F97">
        <w:rPr>
          <w:rFonts w:eastAsia="Calibri"/>
        </w:rPr>
        <w:t>, </w:t>
      </w:r>
      <w:r w:rsidRPr="006E5F97">
        <w:rPr>
          <w:rFonts w:eastAsia="Calibri"/>
          <w:i/>
          <w:iCs/>
        </w:rPr>
        <w:t>275</w:t>
      </w:r>
      <w:r w:rsidRPr="006E5F97">
        <w:rPr>
          <w:rFonts w:eastAsia="Calibri"/>
        </w:rPr>
        <w:t>(1640), 1279-1285. https://doi.org/10.1098/rspb.2008.0094</w:t>
      </w:r>
    </w:p>
    <w:p w14:paraId="1A65E6B1" w14:textId="77777777" w:rsidR="006E5F97" w:rsidRPr="006E5F97" w:rsidRDefault="006E5F97" w:rsidP="006E5F97">
      <w:pPr>
        <w:ind w:left="720" w:hanging="720"/>
        <w:rPr>
          <w:rFonts w:eastAsia="Calibri"/>
          <w:highlight w:val="cyan"/>
        </w:rPr>
      </w:pPr>
      <w:r w:rsidRPr="006E5F97">
        <w:rPr>
          <w:rFonts w:eastAsia="Calibri"/>
        </w:rPr>
        <w:t xml:space="preserve">Garson, G. D. (2020). </w:t>
      </w:r>
      <w:r w:rsidRPr="006E5F97">
        <w:rPr>
          <w:rFonts w:eastAsia="Calibri"/>
          <w:i/>
          <w:iCs/>
        </w:rPr>
        <w:t>Multilevel Modeling: Applications in STATA®, IBM® SPSS®, SAS®, R, &amp; HLM™</w:t>
      </w:r>
      <w:r w:rsidRPr="006E5F97">
        <w:rPr>
          <w:rFonts w:eastAsia="Calibri"/>
        </w:rPr>
        <w:t>. SAGE Publications.</w:t>
      </w:r>
    </w:p>
    <w:p w14:paraId="524FD663" w14:textId="77777777" w:rsidR="006E5F97" w:rsidRPr="006E5F97" w:rsidRDefault="006E5F97" w:rsidP="006E5F97">
      <w:pPr>
        <w:ind w:left="720" w:hanging="720"/>
        <w:rPr>
          <w:rFonts w:eastAsia="Calibri"/>
        </w:rPr>
      </w:pPr>
      <w:r w:rsidRPr="006E5F97">
        <w:rPr>
          <w:rFonts w:eastAsia="Calibri"/>
        </w:rPr>
        <w:t xml:space="preserve">Hackman, J., &amp; </w:t>
      </w:r>
      <w:proofErr w:type="spellStart"/>
      <w:r w:rsidRPr="006E5F97">
        <w:rPr>
          <w:rFonts w:eastAsia="Calibri"/>
        </w:rPr>
        <w:t>Hruschka</w:t>
      </w:r>
      <w:proofErr w:type="spellEnd"/>
      <w:r w:rsidRPr="006E5F97">
        <w:rPr>
          <w:rFonts w:eastAsia="Calibri"/>
        </w:rPr>
        <w:t>, D. (2013). Fast life histories, not pathogens, account for state-level variation in homicide, child maltreatment, and family ties in the US. </w:t>
      </w:r>
      <w:r w:rsidRPr="006E5F97">
        <w:rPr>
          <w:rFonts w:eastAsia="Calibri"/>
          <w:i/>
          <w:iCs/>
        </w:rPr>
        <w:t>Evolution and Human Behavior</w:t>
      </w:r>
      <w:r w:rsidRPr="006E5F97">
        <w:rPr>
          <w:rFonts w:eastAsia="Calibri"/>
        </w:rPr>
        <w:t>, </w:t>
      </w:r>
      <w:r w:rsidRPr="006E5F97">
        <w:rPr>
          <w:rFonts w:eastAsia="Calibri"/>
          <w:i/>
          <w:iCs/>
        </w:rPr>
        <w:t>34</w:t>
      </w:r>
      <w:r w:rsidRPr="006E5F97">
        <w:rPr>
          <w:rFonts w:eastAsia="Calibri"/>
        </w:rPr>
        <w:t>(2), 118-124. https://doi.org/10.1016/j.evolhumbehav.2012.11.002</w:t>
      </w:r>
    </w:p>
    <w:p w14:paraId="5BE075BF" w14:textId="77777777" w:rsidR="006E5F97" w:rsidRPr="006E5F97" w:rsidRDefault="006E5F97" w:rsidP="006E5F97">
      <w:pPr>
        <w:ind w:left="720" w:hanging="720"/>
        <w:rPr>
          <w:rFonts w:eastAsia="Calibri"/>
        </w:rPr>
      </w:pPr>
      <w:proofErr w:type="spellStart"/>
      <w:r w:rsidRPr="006E5F97">
        <w:rPr>
          <w:rFonts w:eastAsia="Calibri"/>
        </w:rPr>
        <w:t>Hernán</w:t>
      </w:r>
      <w:proofErr w:type="spellEnd"/>
      <w:r w:rsidRPr="006E5F97">
        <w:rPr>
          <w:rFonts w:eastAsia="Calibri"/>
        </w:rPr>
        <w:t xml:space="preserve">, M. A., Clayton, D., &amp; </w:t>
      </w:r>
      <w:proofErr w:type="spellStart"/>
      <w:r w:rsidRPr="006E5F97">
        <w:rPr>
          <w:rFonts w:eastAsia="Calibri"/>
        </w:rPr>
        <w:t>Keiding</w:t>
      </w:r>
      <w:proofErr w:type="spellEnd"/>
      <w:r w:rsidRPr="006E5F97">
        <w:rPr>
          <w:rFonts w:eastAsia="Calibri"/>
        </w:rPr>
        <w:t xml:space="preserve">, N. (2011). The Simpson's paradox unraveled. </w:t>
      </w:r>
      <w:r w:rsidRPr="006E5F97">
        <w:rPr>
          <w:rFonts w:eastAsia="Calibri"/>
          <w:i/>
          <w:iCs/>
        </w:rPr>
        <w:t>International Journal of Epidemiology</w:t>
      </w:r>
      <w:r w:rsidRPr="006E5F97">
        <w:rPr>
          <w:rFonts w:eastAsia="Calibri"/>
        </w:rPr>
        <w:t xml:space="preserve">, </w:t>
      </w:r>
      <w:r w:rsidRPr="006E5F97">
        <w:rPr>
          <w:rFonts w:eastAsia="Calibri"/>
          <w:i/>
          <w:iCs/>
        </w:rPr>
        <w:t>40</w:t>
      </w:r>
      <w:r w:rsidRPr="006E5F97">
        <w:rPr>
          <w:rFonts w:eastAsia="Calibri"/>
        </w:rPr>
        <w:t>(3), 780-785. https://doi.org/10.1093/ije/dyr041</w:t>
      </w:r>
    </w:p>
    <w:p w14:paraId="4D11FBCC" w14:textId="77777777" w:rsidR="006E5F97" w:rsidRPr="006E5F97" w:rsidRDefault="006E5F97" w:rsidP="006E5F97">
      <w:pPr>
        <w:ind w:left="720" w:hanging="720"/>
        <w:rPr>
          <w:rFonts w:eastAsia="Calibri"/>
        </w:rPr>
      </w:pPr>
      <w:proofErr w:type="spellStart"/>
      <w:r w:rsidRPr="006E5F97">
        <w:rPr>
          <w:rFonts w:eastAsia="Calibri"/>
        </w:rPr>
        <w:t>Hruschka</w:t>
      </w:r>
      <w:proofErr w:type="spellEnd"/>
      <w:r w:rsidRPr="006E5F97">
        <w:rPr>
          <w:rFonts w:eastAsia="Calibri"/>
        </w:rPr>
        <w:t xml:space="preserve">, D. J., &amp; Hackman, J. (2014). When are cross-group differences a product of a human behavioral immune system? </w:t>
      </w:r>
      <w:r w:rsidRPr="006E5F97">
        <w:rPr>
          <w:rFonts w:eastAsia="Calibri"/>
          <w:i/>
          <w:iCs/>
        </w:rPr>
        <w:t>Evolutionary Behavioral Sciences</w:t>
      </w:r>
      <w:r w:rsidRPr="006E5F97">
        <w:rPr>
          <w:rFonts w:eastAsia="Calibri"/>
        </w:rPr>
        <w:t xml:space="preserve">, </w:t>
      </w:r>
      <w:r w:rsidRPr="006E5F97">
        <w:rPr>
          <w:rFonts w:eastAsia="Calibri"/>
          <w:i/>
          <w:iCs/>
        </w:rPr>
        <w:t>8</w:t>
      </w:r>
      <w:r w:rsidRPr="006E5F97">
        <w:rPr>
          <w:rFonts w:eastAsia="Calibri"/>
        </w:rPr>
        <w:t>(4), 265-273. https://doi.org/10.1037/ebs0000013</w:t>
      </w:r>
    </w:p>
    <w:p w14:paraId="45F5B207" w14:textId="77777777" w:rsidR="006E5F97" w:rsidRPr="006E5F97" w:rsidRDefault="006E5F97" w:rsidP="006E5F97">
      <w:pPr>
        <w:ind w:left="720" w:hanging="720"/>
        <w:rPr>
          <w:rFonts w:eastAsia="Calibri"/>
        </w:rPr>
      </w:pPr>
      <w:proofErr w:type="spellStart"/>
      <w:r w:rsidRPr="006E5F97">
        <w:rPr>
          <w:rFonts w:eastAsia="Calibri"/>
        </w:rPr>
        <w:t>Huitfeldt</w:t>
      </w:r>
      <w:proofErr w:type="spellEnd"/>
      <w:r w:rsidRPr="006E5F97">
        <w:rPr>
          <w:rFonts w:eastAsia="Calibri"/>
        </w:rPr>
        <w:t xml:space="preserve">, A., </w:t>
      </w:r>
      <w:proofErr w:type="spellStart"/>
      <w:r w:rsidRPr="006E5F97">
        <w:rPr>
          <w:rFonts w:eastAsia="Calibri"/>
        </w:rPr>
        <w:t>Stensrud</w:t>
      </w:r>
      <w:proofErr w:type="spellEnd"/>
      <w:r w:rsidRPr="006E5F97">
        <w:rPr>
          <w:rFonts w:eastAsia="Calibri"/>
        </w:rPr>
        <w:t xml:space="preserve">, M. J., &amp; Suzuki, E. (2019). On the collapsibility of measures of effect in the counterfactual causal framework. </w:t>
      </w:r>
      <w:r w:rsidRPr="006E5F97">
        <w:rPr>
          <w:rFonts w:eastAsia="Calibri"/>
          <w:i/>
          <w:iCs/>
        </w:rPr>
        <w:t>Emerging Themes in Epidemiology</w:t>
      </w:r>
      <w:r w:rsidRPr="006E5F97">
        <w:rPr>
          <w:rFonts w:eastAsia="Calibri"/>
        </w:rPr>
        <w:t xml:space="preserve">, </w:t>
      </w:r>
      <w:r w:rsidRPr="006E5F97">
        <w:rPr>
          <w:rFonts w:eastAsia="Calibri"/>
          <w:i/>
          <w:iCs/>
        </w:rPr>
        <w:t>16</w:t>
      </w:r>
      <w:r w:rsidRPr="006E5F97">
        <w:rPr>
          <w:rFonts w:eastAsia="Calibri"/>
        </w:rPr>
        <w:t>(1), 1. https://doi.org/10.1186/s12982-018-0083-9</w:t>
      </w:r>
    </w:p>
    <w:p w14:paraId="7DBB861D" w14:textId="77777777" w:rsidR="006E5F97" w:rsidRPr="006E5F97" w:rsidRDefault="006E5F97" w:rsidP="006E5F97">
      <w:pPr>
        <w:ind w:left="720" w:hanging="720"/>
        <w:rPr>
          <w:rFonts w:eastAsia="Calibri"/>
        </w:rPr>
      </w:pPr>
      <w:r w:rsidRPr="006E5F97">
        <w:rPr>
          <w:rFonts w:eastAsia="Calibri"/>
        </w:rPr>
        <w:t xml:space="preserve">Koenig, B. L., van Leeuwen, F., &amp; Park, J. H. (2017). Cross-race </w:t>
      </w:r>
      <w:proofErr w:type="spellStart"/>
      <w:r w:rsidRPr="006E5F97">
        <w:rPr>
          <w:rFonts w:eastAsia="Calibri"/>
        </w:rPr>
        <w:t>misaggregation</w:t>
      </w:r>
      <w:proofErr w:type="spellEnd"/>
      <w:r w:rsidRPr="006E5F97">
        <w:rPr>
          <w:rFonts w:eastAsia="Calibri"/>
        </w:rPr>
        <w:t>: Its detection, a mathematical decomposition, and Simpson’s Paradox. </w:t>
      </w:r>
      <w:r w:rsidRPr="006E5F97">
        <w:rPr>
          <w:rFonts w:eastAsia="Calibri"/>
          <w:i/>
          <w:iCs/>
        </w:rPr>
        <w:t>Evolutionary Behavioral Sciences</w:t>
      </w:r>
      <w:r w:rsidRPr="006E5F97">
        <w:rPr>
          <w:rFonts w:eastAsia="Calibri"/>
        </w:rPr>
        <w:t>, </w:t>
      </w:r>
      <w:r w:rsidRPr="006E5F97">
        <w:rPr>
          <w:rFonts w:eastAsia="Calibri"/>
          <w:i/>
          <w:iCs/>
        </w:rPr>
        <w:t>11</w:t>
      </w:r>
      <w:r w:rsidRPr="006E5F97">
        <w:rPr>
          <w:rFonts w:eastAsia="Calibri"/>
        </w:rPr>
        <w:t>(1), 16-22. https://doi.org/10.1037/ebs0000067</w:t>
      </w:r>
    </w:p>
    <w:p w14:paraId="1E1502FE" w14:textId="77777777" w:rsidR="006E5F97" w:rsidRPr="006E5F97" w:rsidRDefault="006E5F97" w:rsidP="006E5F97">
      <w:pPr>
        <w:ind w:left="720" w:hanging="720"/>
        <w:rPr>
          <w:rFonts w:eastAsia="Calibri"/>
        </w:rPr>
      </w:pPr>
      <w:r w:rsidRPr="006E5F97">
        <w:rPr>
          <w:rFonts w:eastAsia="Calibri"/>
        </w:rPr>
        <w:t xml:space="preserve">Lewis, K., &amp; </w:t>
      </w:r>
      <w:proofErr w:type="spellStart"/>
      <w:r w:rsidRPr="006E5F97">
        <w:rPr>
          <w:rFonts w:eastAsia="Calibri"/>
        </w:rPr>
        <w:t>Burd</w:t>
      </w:r>
      <w:proofErr w:type="spellEnd"/>
      <w:r w:rsidRPr="006E5F97">
        <w:rPr>
          <w:rFonts w:eastAsia="Calibri"/>
        </w:rPr>
        <w:t xml:space="preserve">-Sharps, S., (2014). </w:t>
      </w:r>
      <w:r w:rsidRPr="006E5F97">
        <w:rPr>
          <w:rFonts w:eastAsia="Calibri"/>
          <w:i/>
          <w:iCs/>
        </w:rPr>
        <w:t>The Measure of America 2013–2014</w:t>
      </w:r>
      <w:r w:rsidRPr="006E5F97">
        <w:rPr>
          <w:rFonts w:eastAsia="Calibri"/>
        </w:rPr>
        <w:t>. Measure of America. http://www.measureofamerica.org/docs/MOA-III-June-18-FINAL.pdf</w:t>
      </w:r>
    </w:p>
    <w:p w14:paraId="272098E0" w14:textId="77777777" w:rsidR="006E5F97" w:rsidRPr="006E5F97" w:rsidRDefault="006E5F97" w:rsidP="006E5F97">
      <w:pPr>
        <w:ind w:left="720" w:hanging="720"/>
        <w:rPr>
          <w:rFonts w:eastAsia="Calibri"/>
        </w:rPr>
      </w:pPr>
      <w:r w:rsidRPr="006E5F97">
        <w:rPr>
          <w:rFonts w:eastAsia="Calibri"/>
        </w:rPr>
        <w:t>McDaniel, M. A. (2006). Estimating state IQ: Measurement challenges and preliminary correlates. </w:t>
      </w:r>
      <w:r w:rsidRPr="006E5F97">
        <w:rPr>
          <w:rFonts w:eastAsia="Calibri"/>
          <w:i/>
          <w:iCs/>
        </w:rPr>
        <w:t>Intelligence</w:t>
      </w:r>
      <w:r w:rsidRPr="006E5F97">
        <w:rPr>
          <w:rFonts w:eastAsia="Calibri"/>
        </w:rPr>
        <w:t>, </w:t>
      </w:r>
      <w:r w:rsidRPr="006E5F97">
        <w:rPr>
          <w:rFonts w:eastAsia="Calibri"/>
          <w:i/>
          <w:iCs/>
        </w:rPr>
        <w:t>34</w:t>
      </w:r>
      <w:r w:rsidRPr="006E5F97">
        <w:rPr>
          <w:rFonts w:eastAsia="Calibri"/>
        </w:rPr>
        <w:t>(6), 607-619. https://doi.org/10.1016/j.intell.2006.08.007</w:t>
      </w:r>
    </w:p>
    <w:p w14:paraId="2895919C" w14:textId="77777777" w:rsidR="006E5F97" w:rsidRPr="006E5F97" w:rsidRDefault="006E5F97" w:rsidP="006E5F97">
      <w:pPr>
        <w:ind w:left="720" w:hanging="720"/>
        <w:rPr>
          <w:rFonts w:eastAsia="Calibri"/>
        </w:rPr>
      </w:pPr>
      <w:proofErr w:type="spellStart"/>
      <w:r w:rsidRPr="006E5F97">
        <w:rPr>
          <w:rFonts w:eastAsia="Calibri"/>
        </w:rPr>
        <w:t>McNeish</w:t>
      </w:r>
      <w:proofErr w:type="spellEnd"/>
      <w:r w:rsidRPr="006E5F97">
        <w:rPr>
          <w:rFonts w:eastAsia="Calibri"/>
        </w:rPr>
        <w:t xml:space="preserve">, D., &amp; Stapleton, L. M. (2016). Modeling clustered data with very few clusters. </w:t>
      </w:r>
      <w:r w:rsidRPr="006E5F97">
        <w:rPr>
          <w:rFonts w:eastAsia="Calibri"/>
          <w:i/>
          <w:iCs/>
        </w:rPr>
        <w:t>Multivariate Behavioral Research</w:t>
      </w:r>
      <w:r w:rsidRPr="006E5F97">
        <w:rPr>
          <w:rFonts w:eastAsia="Calibri"/>
        </w:rPr>
        <w:t xml:space="preserve">, </w:t>
      </w:r>
      <w:r w:rsidRPr="006E5F97">
        <w:rPr>
          <w:rFonts w:eastAsia="Calibri"/>
          <w:i/>
          <w:iCs/>
        </w:rPr>
        <w:t>51</w:t>
      </w:r>
      <w:r w:rsidRPr="006E5F97">
        <w:rPr>
          <w:rFonts w:eastAsia="Calibri"/>
        </w:rPr>
        <w:t>(4), 495-518. https://doi.org/10.1080/00273171.2016.1167008</w:t>
      </w:r>
    </w:p>
    <w:p w14:paraId="0CFFC50C" w14:textId="77777777" w:rsidR="006E5F97" w:rsidRPr="006E5F97" w:rsidRDefault="006E5F97" w:rsidP="006E5F97">
      <w:pPr>
        <w:ind w:left="720" w:hanging="720"/>
        <w:rPr>
          <w:rFonts w:eastAsia="Calibri"/>
        </w:rPr>
      </w:pPr>
      <w:proofErr w:type="spellStart"/>
      <w:r w:rsidRPr="006E5F97">
        <w:rPr>
          <w:rFonts w:eastAsia="Calibri"/>
        </w:rPr>
        <w:t>Möhring</w:t>
      </w:r>
      <w:proofErr w:type="spellEnd"/>
      <w:r w:rsidRPr="006E5F97">
        <w:rPr>
          <w:rFonts w:eastAsia="Calibri"/>
        </w:rPr>
        <w:t xml:space="preserve">, K. (2012, September). </w:t>
      </w:r>
      <w:r w:rsidRPr="006E5F97">
        <w:rPr>
          <w:rFonts w:eastAsia="Calibri"/>
          <w:i/>
          <w:iCs/>
        </w:rPr>
        <w:t>The fixed effects approach as alternative to multilevel models for cross-national analyses</w:t>
      </w:r>
      <w:r w:rsidRPr="006E5F97">
        <w:rPr>
          <w:rFonts w:eastAsia="Calibri"/>
        </w:rPr>
        <w:t xml:space="preserve">. In 10th </w:t>
      </w:r>
      <w:proofErr w:type="spellStart"/>
      <w:r w:rsidRPr="006E5F97">
        <w:rPr>
          <w:rFonts w:eastAsia="Calibri"/>
        </w:rPr>
        <w:t>ESPAnet</w:t>
      </w:r>
      <w:proofErr w:type="spellEnd"/>
      <w:r w:rsidRPr="006E5F97">
        <w:rPr>
          <w:rFonts w:eastAsia="Calibri"/>
        </w:rPr>
        <w:t xml:space="preserve"> Conference, Edinburgh, Scotland.</w:t>
      </w:r>
    </w:p>
    <w:p w14:paraId="4B3719C0" w14:textId="77777777" w:rsidR="006E5F97" w:rsidRPr="006E5F97" w:rsidRDefault="006E5F97" w:rsidP="006E5F97">
      <w:pPr>
        <w:ind w:left="720" w:hanging="720"/>
        <w:rPr>
          <w:rFonts w:eastAsia="Calibri"/>
        </w:rPr>
      </w:pPr>
      <w:proofErr w:type="spellStart"/>
      <w:r w:rsidRPr="006E5F97">
        <w:rPr>
          <w:rFonts w:eastAsia="Calibri"/>
        </w:rPr>
        <w:t>Pollet</w:t>
      </w:r>
      <w:proofErr w:type="spellEnd"/>
      <w:r w:rsidRPr="006E5F97">
        <w:rPr>
          <w:rFonts w:eastAsia="Calibri"/>
        </w:rPr>
        <w:t xml:space="preserve">, T. V., </w:t>
      </w:r>
      <w:proofErr w:type="spellStart"/>
      <w:r w:rsidRPr="006E5F97">
        <w:rPr>
          <w:rFonts w:eastAsia="Calibri"/>
        </w:rPr>
        <w:t>Tybur</w:t>
      </w:r>
      <w:proofErr w:type="spellEnd"/>
      <w:r w:rsidRPr="006E5F97">
        <w:rPr>
          <w:rFonts w:eastAsia="Calibri"/>
        </w:rPr>
        <w:t xml:space="preserve">, J. M., </w:t>
      </w:r>
      <w:proofErr w:type="spellStart"/>
      <w:r w:rsidRPr="006E5F97">
        <w:rPr>
          <w:rFonts w:eastAsia="Calibri"/>
        </w:rPr>
        <w:t>Frankenhuis</w:t>
      </w:r>
      <w:proofErr w:type="spellEnd"/>
      <w:r w:rsidRPr="006E5F97">
        <w:rPr>
          <w:rFonts w:eastAsia="Calibri"/>
        </w:rPr>
        <w:t xml:space="preserve">, W. E., &amp; Rickard, I. J. (2014). What can cross-cultural correlations teach us about human nature? </w:t>
      </w:r>
      <w:r w:rsidRPr="006E5F97">
        <w:rPr>
          <w:rFonts w:eastAsia="Calibri"/>
          <w:i/>
          <w:iCs/>
        </w:rPr>
        <w:t>Human Nature</w:t>
      </w:r>
      <w:r w:rsidRPr="006E5F97">
        <w:rPr>
          <w:rFonts w:eastAsia="Calibri"/>
        </w:rPr>
        <w:t xml:space="preserve">, </w:t>
      </w:r>
      <w:r w:rsidRPr="006E5F97">
        <w:rPr>
          <w:rFonts w:eastAsia="Calibri"/>
          <w:i/>
          <w:iCs/>
        </w:rPr>
        <w:t>25</w:t>
      </w:r>
      <w:r w:rsidRPr="006E5F97">
        <w:rPr>
          <w:rFonts w:eastAsia="Calibri"/>
        </w:rPr>
        <w:t>(3), 410-429. https://doi.org/10.1007/s12110-014-9206-3</w:t>
      </w:r>
    </w:p>
    <w:p w14:paraId="1BE3C407" w14:textId="77777777" w:rsidR="006E5F97" w:rsidRPr="006E5F97" w:rsidRDefault="006E5F97" w:rsidP="006E5F97">
      <w:pPr>
        <w:ind w:left="720" w:hanging="720"/>
        <w:rPr>
          <w:rFonts w:eastAsia="Calibri"/>
        </w:rPr>
      </w:pPr>
      <w:r w:rsidRPr="006E5F97">
        <w:rPr>
          <w:rFonts w:eastAsia="Calibri"/>
        </w:rPr>
        <w:t xml:space="preserve">Robinson, W. S. (1950). Ecological Correlations and the Behavior of Individuals. </w:t>
      </w:r>
      <w:r w:rsidRPr="006E5F97">
        <w:rPr>
          <w:rFonts w:eastAsia="Calibri"/>
          <w:i/>
          <w:iCs/>
        </w:rPr>
        <w:t>American Sociological Review</w:t>
      </w:r>
      <w:r w:rsidRPr="006E5F97">
        <w:rPr>
          <w:rFonts w:eastAsia="Calibri"/>
        </w:rPr>
        <w:t xml:space="preserve">, </w:t>
      </w:r>
      <w:r w:rsidRPr="006E5F97">
        <w:rPr>
          <w:rFonts w:eastAsia="Calibri"/>
          <w:i/>
          <w:iCs/>
        </w:rPr>
        <w:t>15</w:t>
      </w:r>
      <w:r w:rsidRPr="006E5F97">
        <w:rPr>
          <w:rFonts w:eastAsia="Calibri"/>
        </w:rPr>
        <w:t>(3). https://doi.org/10.1093/ije/dyn357</w:t>
      </w:r>
    </w:p>
    <w:p w14:paraId="0BE3FBE4" w14:textId="77777777" w:rsidR="006E5F97" w:rsidRPr="006E5F97" w:rsidRDefault="006E5F97" w:rsidP="006E5F97">
      <w:pPr>
        <w:ind w:left="720" w:hanging="720"/>
        <w:rPr>
          <w:rFonts w:eastAsia="Calibri"/>
        </w:rPr>
      </w:pPr>
      <w:r w:rsidRPr="006E5F97">
        <w:rPr>
          <w:rFonts w:eastAsia="Calibri"/>
        </w:rPr>
        <w:t xml:space="preserve">Schaller, M., &amp; Murray, D. R. (2008). Pathogens, personality, and culture: Disease prevalence predicts worldwide variability in </w:t>
      </w:r>
      <w:proofErr w:type="spellStart"/>
      <w:r w:rsidRPr="006E5F97">
        <w:rPr>
          <w:rFonts w:eastAsia="Calibri"/>
        </w:rPr>
        <w:t>sociosexuality</w:t>
      </w:r>
      <w:proofErr w:type="spellEnd"/>
      <w:r w:rsidRPr="006E5F97">
        <w:rPr>
          <w:rFonts w:eastAsia="Calibri"/>
        </w:rPr>
        <w:t>, extraversion, and openness to experience. </w:t>
      </w:r>
      <w:r w:rsidRPr="006E5F97">
        <w:rPr>
          <w:rFonts w:eastAsia="Calibri"/>
          <w:i/>
          <w:iCs/>
        </w:rPr>
        <w:t>Journal of Personality and Social Psychology</w:t>
      </w:r>
      <w:r w:rsidRPr="006E5F97">
        <w:rPr>
          <w:rFonts w:eastAsia="Calibri"/>
        </w:rPr>
        <w:t>, </w:t>
      </w:r>
      <w:r w:rsidRPr="006E5F97">
        <w:rPr>
          <w:rFonts w:eastAsia="Calibri"/>
          <w:i/>
          <w:iCs/>
        </w:rPr>
        <w:t>95</w:t>
      </w:r>
      <w:r w:rsidRPr="006E5F97">
        <w:rPr>
          <w:rFonts w:eastAsia="Calibri"/>
        </w:rPr>
        <w:t>(1), 212-221. https://doi.org/10.1037/0022-3514.95.1.212</w:t>
      </w:r>
    </w:p>
    <w:p w14:paraId="444307E9" w14:textId="77777777" w:rsidR="006E5F97" w:rsidRPr="006E5F97" w:rsidRDefault="006E5F97" w:rsidP="006E5F97">
      <w:pPr>
        <w:ind w:left="720" w:hanging="720"/>
        <w:rPr>
          <w:rFonts w:eastAsia="Calibri"/>
          <w:highlight w:val="yellow"/>
        </w:rPr>
      </w:pPr>
      <w:r w:rsidRPr="006E5F97">
        <w:rPr>
          <w:rFonts w:eastAsia="Calibri"/>
        </w:rPr>
        <w:t xml:space="preserve">Simpson, E. H. (1951). The interpretation of interaction in contingency tables. </w:t>
      </w:r>
      <w:r w:rsidRPr="006E5F97">
        <w:rPr>
          <w:rFonts w:eastAsia="Calibri"/>
          <w:i/>
          <w:iCs/>
        </w:rPr>
        <w:t>Journal of the Royal Statistical Society: Series B (Methodological)</w:t>
      </w:r>
      <w:r w:rsidRPr="006E5F97">
        <w:rPr>
          <w:rFonts w:eastAsia="Calibri"/>
        </w:rPr>
        <w:t xml:space="preserve">, </w:t>
      </w:r>
      <w:r w:rsidRPr="006E5F97">
        <w:rPr>
          <w:rFonts w:eastAsia="Calibri"/>
          <w:i/>
          <w:iCs/>
        </w:rPr>
        <w:t>13</w:t>
      </w:r>
      <w:r w:rsidRPr="006E5F97">
        <w:rPr>
          <w:rFonts w:eastAsia="Calibri"/>
        </w:rPr>
        <w:t>(2), 238-241. https://doi.org/10.1111/j.2517-6161.1951.tb00088.x</w:t>
      </w:r>
    </w:p>
    <w:p w14:paraId="5A934451" w14:textId="77777777" w:rsidR="006E5F97" w:rsidRPr="006E5F97" w:rsidRDefault="006E5F97" w:rsidP="006E5F97">
      <w:pPr>
        <w:ind w:left="720" w:hanging="720"/>
        <w:rPr>
          <w:rFonts w:eastAsia="Calibri"/>
        </w:rPr>
      </w:pPr>
      <w:r w:rsidRPr="006E5F97">
        <w:rPr>
          <w:rFonts w:eastAsia="Calibri"/>
        </w:rPr>
        <w:t xml:space="preserve">Thornhill, R., &amp; Fincher, C. L. (2014). </w:t>
      </w:r>
      <w:r w:rsidRPr="006E5F97">
        <w:rPr>
          <w:rFonts w:eastAsia="Calibri"/>
          <w:i/>
          <w:iCs/>
        </w:rPr>
        <w:t xml:space="preserve">The parasite-stress theory of values and sociality: Infectious disease, </w:t>
      </w:r>
      <w:proofErr w:type="gramStart"/>
      <w:r w:rsidRPr="006E5F97">
        <w:rPr>
          <w:rFonts w:eastAsia="Calibri"/>
          <w:i/>
          <w:iCs/>
        </w:rPr>
        <w:t>history</w:t>
      </w:r>
      <w:proofErr w:type="gramEnd"/>
      <w:r w:rsidRPr="006E5F97">
        <w:rPr>
          <w:rFonts w:eastAsia="Calibri"/>
          <w:i/>
          <w:iCs/>
        </w:rPr>
        <w:t xml:space="preserve"> and human values worldwide</w:t>
      </w:r>
      <w:r w:rsidRPr="006E5F97">
        <w:rPr>
          <w:rFonts w:eastAsia="Calibri"/>
        </w:rPr>
        <w:t>. New York, NY: Springer. https://doi.org/10.1007/978-3-319-08040-6</w:t>
      </w:r>
    </w:p>
    <w:p w14:paraId="5EB0CCFD" w14:textId="77777777" w:rsidR="006E5F97" w:rsidRPr="006E5F97" w:rsidRDefault="006E5F97" w:rsidP="006E5F97">
      <w:pPr>
        <w:ind w:left="720" w:hanging="720"/>
        <w:rPr>
          <w:rFonts w:eastAsia="Calibri"/>
        </w:rPr>
      </w:pPr>
      <w:r w:rsidRPr="006E5F97">
        <w:rPr>
          <w:rFonts w:eastAsia="Calibri"/>
        </w:rPr>
        <w:t xml:space="preserve">Thornhill, R., &amp; Fincher, C. L. (2015). The parasite-stress theory of sociality and the behavioral immune system. In </w:t>
      </w:r>
      <w:r w:rsidRPr="006E5F97">
        <w:rPr>
          <w:rFonts w:eastAsia="Calibri"/>
          <w:i/>
          <w:iCs/>
        </w:rPr>
        <w:t>Evolutionary Perspectives on Social Psychology</w:t>
      </w:r>
      <w:r w:rsidRPr="006E5F97">
        <w:rPr>
          <w:rFonts w:eastAsia="Calibri"/>
        </w:rPr>
        <w:t xml:space="preserve"> (pp. 419-437). Cham, Switzerland: Springer. https://doi.org/10.1007/978-3-319-12697-5_32</w:t>
      </w:r>
    </w:p>
    <w:p w14:paraId="3FB4DF86" w14:textId="77777777" w:rsidR="006E5F97" w:rsidRPr="006E5F97" w:rsidRDefault="006E5F97" w:rsidP="006E5F97">
      <w:pPr>
        <w:ind w:left="720" w:hanging="720"/>
        <w:rPr>
          <w:rFonts w:eastAsia="Calibri"/>
        </w:rPr>
      </w:pPr>
      <w:r w:rsidRPr="006E5F97">
        <w:rPr>
          <w:rFonts w:eastAsia="Calibri"/>
        </w:rPr>
        <w:t>Thornhill, R., Fincher, C. L., Murray, D. R., &amp; Schaller, M. (2010). Zoonotic and non-zoonotic diseases in relation to human personality and societal values: Support for the parasite-stress model. </w:t>
      </w:r>
      <w:r w:rsidRPr="006E5F97">
        <w:rPr>
          <w:rFonts w:eastAsia="Calibri"/>
          <w:i/>
          <w:iCs/>
        </w:rPr>
        <w:t>Evolutionary Psychology</w:t>
      </w:r>
      <w:r w:rsidRPr="006E5F97">
        <w:rPr>
          <w:rFonts w:eastAsia="Calibri"/>
        </w:rPr>
        <w:t>, </w:t>
      </w:r>
      <w:r w:rsidRPr="006E5F97">
        <w:rPr>
          <w:rFonts w:eastAsia="Calibri"/>
          <w:i/>
          <w:iCs/>
        </w:rPr>
        <w:t>8</w:t>
      </w:r>
      <w:r w:rsidRPr="006E5F97">
        <w:rPr>
          <w:rFonts w:eastAsia="Calibri"/>
        </w:rPr>
        <w:t>(2), 151-169. https://doi.org/10.1177/147470491000800201</w:t>
      </w:r>
    </w:p>
    <w:p w14:paraId="18EFFAD0" w14:textId="037B59F4" w:rsidR="006E5F97" w:rsidRPr="006E5F97" w:rsidRDefault="006E5F97" w:rsidP="006E5F97">
      <w:pPr>
        <w:ind w:left="720" w:hanging="720"/>
        <w:rPr>
          <w:rFonts w:eastAsia="Calibri"/>
        </w:rPr>
      </w:pPr>
      <w:bookmarkStart w:id="1" w:name="_Hlk52917717"/>
      <w:r w:rsidRPr="006E5F97">
        <w:rPr>
          <w:rFonts w:eastAsia="Calibri"/>
        </w:rPr>
        <w:t xml:space="preserve">U.S. Census Bureau (2000). </w:t>
      </w:r>
      <w:r w:rsidR="00086039">
        <w:rPr>
          <w:rFonts w:eastAsia="Calibri"/>
          <w:i/>
          <w:iCs/>
        </w:rPr>
        <w:t>Median Household Income in 1999, Per Capita Income in 1999</w:t>
      </w:r>
      <w:r w:rsidRPr="006E5F97">
        <w:rPr>
          <w:rFonts w:eastAsia="Calibri"/>
        </w:rPr>
        <w:t xml:space="preserve">. Retrieved 19 </w:t>
      </w:r>
      <w:proofErr w:type="gramStart"/>
      <w:r w:rsidRPr="006E5F97">
        <w:rPr>
          <w:rFonts w:eastAsia="Calibri"/>
        </w:rPr>
        <w:t>January,</w:t>
      </w:r>
      <w:proofErr w:type="gramEnd"/>
      <w:r w:rsidRPr="006E5F97">
        <w:rPr>
          <w:rFonts w:eastAsia="Calibri"/>
        </w:rPr>
        <w:t xml:space="preserve"> 2020, from data.census.gov</w:t>
      </w:r>
    </w:p>
    <w:bookmarkEnd w:id="1"/>
    <w:p w14:paraId="4975BCF4" w14:textId="77777777" w:rsidR="006E5F97" w:rsidRPr="006E5F97" w:rsidRDefault="006E5F97" w:rsidP="006E5F97">
      <w:pPr>
        <w:ind w:left="720" w:hanging="720"/>
        <w:rPr>
          <w:rFonts w:eastAsia="Calibri"/>
        </w:rPr>
      </w:pPr>
      <w:r w:rsidRPr="006E5F97">
        <w:rPr>
          <w:rFonts w:eastAsia="Calibri"/>
        </w:rPr>
        <w:t xml:space="preserve">U.S. Department of Education, Institute of Education Sciences, National Center for Education Statistics, National Assessment of Educational Progress (NAEP), 1990, 1992, 1994, 1996, 1998, 2000, 2002, 2003, and 2005, Math and Reading Assessments. Retrieved 18 </w:t>
      </w:r>
      <w:proofErr w:type="gramStart"/>
      <w:r w:rsidRPr="006E5F97">
        <w:rPr>
          <w:rFonts w:eastAsia="Calibri"/>
        </w:rPr>
        <w:t>March,</w:t>
      </w:r>
      <w:proofErr w:type="gramEnd"/>
      <w:r w:rsidRPr="006E5F97">
        <w:rPr>
          <w:rFonts w:eastAsia="Calibri"/>
        </w:rPr>
        <w:t xml:space="preserve"> 2019, from https://www.nationsreportcard.gov/</w:t>
      </w:r>
    </w:p>
    <w:p w14:paraId="44DEA9BE" w14:textId="77777777" w:rsidR="006E5F97" w:rsidRPr="006E5F97" w:rsidRDefault="006E5F97" w:rsidP="006E5F97">
      <w:pPr>
        <w:ind w:left="720" w:hanging="720"/>
        <w:rPr>
          <w:rFonts w:eastAsia="Calibri"/>
        </w:rPr>
      </w:pPr>
      <w:bookmarkStart w:id="2" w:name="_Hlk51156142"/>
      <w:r w:rsidRPr="006E5F97">
        <w:rPr>
          <w:rFonts w:eastAsia="Calibri"/>
        </w:rPr>
        <w:t>U.S. Department of Health and Human Services. (2011</w:t>
      </w:r>
      <w:bookmarkEnd w:id="2"/>
      <w:r w:rsidRPr="006E5F97">
        <w:rPr>
          <w:rFonts w:eastAsia="Calibri"/>
        </w:rPr>
        <w:t xml:space="preserve">, June). </w:t>
      </w:r>
      <w:r w:rsidRPr="006E5F97">
        <w:rPr>
          <w:rFonts w:eastAsia="Calibri"/>
          <w:i/>
          <w:iCs/>
        </w:rPr>
        <w:t>Centers for Disease Control and Prevention, National Center for HIV, STD, and TB Prevention (NCHSTP), Division of STD/HIV Prevention, Sexually Transmitted Disease Morbidity for selected STDs by age, race/</w:t>
      </w:r>
      <w:proofErr w:type="gramStart"/>
      <w:r w:rsidRPr="006E5F97">
        <w:rPr>
          <w:rFonts w:eastAsia="Calibri"/>
          <w:i/>
          <w:iCs/>
        </w:rPr>
        <w:t>ethnicity</w:t>
      </w:r>
      <w:proofErr w:type="gramEnd"/>
      <w:r w:rsidRPr="006E5F97">
        <w:rPr>
          <w:rFonts w:eastAsia="Calibri"/>
          <w:i/>
          <w:iCs/>
        </w:rPr>
        <w:t xml:space="preserve"> and gender 1996 –2009 [CDC WONDER online database]</w:t>
      </w:r>
      <w:r w:rsidRPr="006E5F97">
        <w:rPr>
          <w:rFonts w:eastAsia="Calibri"/>
        </w:rPr>
        <w:t xml:space="preserve">. Retrieved 16 </w:t>
      </w:r>
      <w:proofErr w:type="gramStart"/>
      <w:r w:rsidRPr="006E5F97">
        <w:rPr>
          <w:rFonts w:eastAsia="Calibri"/>
        </w:rPr>
        <w:t>June,</w:t>
      </w:r>
      <w:proofErr w:type="gramEnd"/>
      <w:r w:rsidRPr="006E5F97">
        <w:rPr>
          <w:rFonts w:eastAsia="Calibri"/>
        </w:rPr>
        <w:t xml:space="preserve"> 2013, from https://wonder.cdc.gov/</w:t>
      </w:r>
    </w:p>
    <w:p w14:paraId="2D22B458" w14:textId="77777777" w:rsidR="006E5F97" w:rsidRPr="006E5F97" w:rsidRDefault="006E5F97" w:rsidP="006E5F97">
      <w:pPr>
        <w:ind w:left="720" w:hanging="720"/>
        <w:rPr>
          <w:rFonts w:eastAsia="Calibri"/>
        </w:rPr>
      </w:pPr>
      <w:r w:rsidRPr="006E5F97">
        <w:rPr>
          <w:rFonts w:eastAsia="Calibri"/>
        </w:rPr>
        <w:t xml:space="preserve">Van de </w:t>
      </w:r>
      <w:proofErr w:type="spellStart"/>
      <w:r w:rsidRPr="006E5F97">
        <w:rPr>
          <w:rFonts w:eastAsia="Calibri"/>
        </w:rPr>
        <w:t>Vliert</w:t>
      </w:r>
      <w:proofErr w:type="spellEnd"/>
      <w:r w:rsidRPr="006E5F97">
        <w:rPr>
          <w:rFonts w:eastAsia="Calibri"/>
        </w:rPr>
        <w:t xml:space="preserve">, E., &amp; </w:t>
      </w:r>
      <w:proofErr w:type="spellStart"/>
      <w:r w:rsidRPr="006E5F97">
        <w:rPr>
          <w:rFonts w:eastAsia="Calibri"/>
        </w:rPr>
        <w:t>Postmes</w:t>
      </w:r>
      <w:proofErr w:type="spellEnd"/>
      <w:r w:rsidRPr="006E5F97">
        <w:rPr>
          <w:rFonts w:eastAsia="Calibri"/>
        </w:rPr>
        <w:t xml:space="preserve">, T. (2012). </w:t>
      </w:r>
      <w:proofErr w:type="spellStart"/>
      <w:r w:rsidRPr="006E5F97">
        <w:rPr>
          <w:rFonts w:eastAsia="Calibri"/>
        </w:rPr>
        <w:t>Climato</w:t>
      </w:r>
      <w:proofErr w:type="spellEnd"/>
      <w:r w:rsidRPr="006E5F97">
        <w:rPr>
          <w:rFonts w:eastAsia="Calibri"/>
        </w:rPr>
        <w:t>-economic livability predicts societal collectivism and political autocracy better than parasitic stress does. </w:t>
      </w:r>
      <w:r w:rsidRPr="006E5F97">
        <w:rPr>
          <w:rFonts w:eastAsia="Calibri"/>
          <w:i/>
          <w:iCs/>
        </w:rPr>
        <w:t>Behavioral and Brain Sciences</w:t>
      </w:r>
      <w:r w:rsidRPr="006E5F97">
        <w:rPr>
          <w:rFonts w:eastAsia="Calibri"/>
        </w:rPr>
        <w:t>, </w:t>
      </w:r>
      <w:r w:rsidRPr="006E5F97">
        <w:rPr>
          <w:rFonts w:eastAsia="Calibri"/>
          <w:i/>
          <w:iCs/>
        </w:rPr>
        <w:t>35</w:t>
      </w:r>
      <w:r w:rsidRPr="006E5F97">
        <w:rPr>
          <w:rFonts w:eastAsia="Calibri"/>
        </w:rPr>
        <w:t>(2), 94-95. https://doi.org/10.1017/S0140525X11001075</w:t>
      </w:r>
    </w:p>
    <w:p w14:paraId="387BE8E5" w14:textId="77777777" w:rsidR="006E5F97" w:rsidRDefault="006E5F97" w:rsidP="002F378D">
      <w:pPr>
        <w:ind w:left="720" w:hanging="720"/>
      </w:pPr>
    </w:p>
    <w:sectPr w:rsidR="006E5F97" w:rsidSect="007B04D1">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32ED1" w14:textId="77777777" w:rsidR="00072324" w:rsidRDefault="00072324" w:rsidP="007B04D1">
      <w:pPr>
        <w:spacing w:line="240" w:lineRule="auto"/>
      </w:pPr>
      <w:r>
        <w:separator/>
      </w:r>
    </w:p>
  </w:endnote>
  <w:endnote w:type="continuationSeparator" w:id="0">
    <w:p w14:paraId="75756E47" w14:textId="77777777" w:rsidR="00072324" w:rsidRDefault="00072324" w:rsidP="007B0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DDC9B" w14:textId="77777777" w:rsidR="00072324" w:rsidRDefault="00072324" w:rsidP="007B04D1">
      <w:pPr>
        <w:spacing w:line="240" w:lineRule="auto"/>
      </w:pPr>
      <w:r>
        <w:separator/>
      </w:r>
    </w:p>
  </w:footnote>
  <w:footnote w:type="continuationSeparator" w:id="0">
    <w:p w14:paraId="3E6C2D7E" w14:textId="77777777" w:rsidR="00072324" w:rsidRDefault="00072324" w:rsidP="007B04D1">
      <w:pPr>
        <w:spacing w:line="240" w:lineRule="auto"/>
      </w:pPr>
      <w:r>
        <w:continuationSeparator/>
      </w:r>
    </w:p>
  </w:footnote>
  <w:footnote w:id="1">
    <w:p w14:paraId="5025B64C" w14:textId="77777777" w:rsidR="006E5F97" w:rsidRDefault="006E5F97" w:rsidP="006E5F97">
      <w:pPr>
        <w:pStyle w:val="FootnoteText"/>
      </w:pPr>
      <w:r>
        <w:rPr>
          <w:rStyle w:val="FootnoteReference"/>
        </w:rPr>
        <w:footnoteRef/>
      </w:r>
      <w:r>
        <w:t xml:space="preserve"> This was accomplished by subtracting the national mean for each subgroup from each score for members in that subgroup. To maximize the sample size for each analysis, variables were centered based off the corresponding analysis’ available list-wise sample (i.e., analyses including both IQ and life expectancy have N = 148 whereas analyses without life expectancy have N = 180). National means were recalculated for the final sample for each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386109"/>
      <w:docPartObj>
        <w:docPartGallery w:val="Page Numbers (Top of Page)"/>
        <w:docPartUnique/>
      </w:docPartObj>
    </w:sdtPr>
    <w:sdtEndPr>
      <w:rPr>
        <w:noProof/>
      </w:rPr>
    </w:sdtEndPr>
    <w:sdtContent>
      <w:p w14:paraId="17CC6614" w14:textId="5133BF6B" w:rsidR="002F5210" w:rsidRDefault="002F5210">
        <w:pPr>
          <w:pStyle w:val="Header"/>
        </w:pPr>
        <w:r>
          <w:t>RE-ANALYSIS OF PATHOGEN PREVALENCE PREDICTING IQ</w:t>
        </w:r>
        <w:r>
          <w:tab/>
        </w:r>
        <w:r>
          <w:fldChar w:fldCharType="begin"/>
        </w:r>
        <w:r>
          <w:instrText xml:space="preserve"> PAGE   \* MERGEFORMAT </w:instrText>
        </w:r>
        <w:r>
          <w:fldChar w:fldCharType="separate"/>
        </w:r>
        <w:r w:rsidR="00157E22">
          <w:rPr>
            <w:noProof/>
          </w:rPr>
          <w:t>2</w:t>
        </w:r>
        <w:r>
          <w:rPr>
            <w:noProof/>
          </w:rPr>
          <w:fldChar w:fldCharType="end"/>
        </w:r>
      </w:p>
    </w:sdtContent>
  </w:sdt>
  <w:p w14:paraId="1D432E3F" w14:textId="77777777" w:rsidR="002F5210" w:rsidRDefault="002F5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750776"/>
      <w:docPartObj>
        <w:docPartGallery w:val="Page Numbers (Top of Page)"/>
        <w:docPartUnique/>
      </w:docPartObj>
    </w:sdtPr>
    <w:sdtEndPr>
      <w:rPr>
        <w:noProof/>
      </w:rPr>
    </w:sdtEndPr>
    <w:sdtContent>
      <w:p w14:paraId="413B7532" w14:textId="715C42C1" w:rsidR="002F5210" w:rsidRDefault="002F5210">
        <w:pPr>
          <w:pStyle w:val="Header"/>
        </w:pPr>
        <w:r>
          <w:t>Running head: RE-ANALYSIS OF PATHOGEN PREVALENCE PREDICTING IQ</w:t>
        </w:r>
        <w:r>
          <w:tab/>
        </w:r>
        <w:r>
          <w:fldChar w:fldCharType="begin"/>
        </w:r>
        <w:r>
          <w:instrText xml:space="preserve"> PAGE   \* MERGEFORMAT </w:instrText>
        </w:r>
        <w:r>
          <w:fldChar w:fldCharType="separate"/>
        </w:r>
        <w:r w:rsidR="00997B64">
          <w:rPr>
            <w:noProof/>
          </w:rPr>
          <w:t>1</w:t>
        </w:r>
        <w:r>
          <w:rPr>
            <w:noProof/>
          </w:rPr>
          <w:fldChar w:fldCharType="end"/>
        </w:r>
      </w:p>
    </w:sdtContent>
  </w:sdt>
  <w:p w14:paraId="58F4A4FB" w14:textId="77777777" w:rsidR="002F5210" w:rsidRDefault="002F5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62E8"/>
    <w:multiLevelType w:val="hybridMultilevel"/>
    <w:tmpl w:val="0F082592"/>
    <w:lvl w:ilvl="0" w:tplc="32D0CDB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9B1DFE"/>
    <w:multiLevelType w:val="hybridMultilevel"/>
    <w:tmpl w:val="F612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458307">
    <w:abstractNumId w:val="1"/>
  </w:num>
  <w:num w:numId="2" w16cid:durableId="102112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D1"/>
    <w:rsid w:val="000016E2"/>
    <w:rsid w:val="00002F87"/>
    <w:rsid w:val="000039D8"/>
    <w:rsid w:val="00003BBE"/>
    <w:rsid w:val="00006644"/>
    <w:rsid w:val="00007B56"/>
    <w:rsid w:val="00010E4E"/>
    <w:rsid w:val="00010F19"/>
    <w:rsid w:val="00013071"/>
    <w:rsid w:val="00013E35"/>
    <w:rsid w:val="00014093"/>
    <w:rsid w:val="0001484D"/>
    <w:rsid w:val="00015B3A"/>
    <w:rsid w:val="00015FCD"/>
    <w:rsid w:val="00020163"/>
    <w:rsid w:val="00020CC6"/>
    <w:rsid w:val="00021976"/>
    <w:rsid w:val="00023519"/>
    <w:rsid w:val="00023DBB"/>
    <w:rsid w:val="00023F2D"/>
    <w:rsid w:val="000255B6"/>
    <w:rsid w:val="0002626D"/>
    <w:rsid w:val="0002680B"/>
    <w:rsid w:val="000268C9"/>
    <w:rsid w:val="0003279B"/>
    <w:rsid w:val="00033607"/>
    <w:rsid w:val="00033750"/>
    <w:rsid w:val="00037C94"/>
    <w:rsid w:val="000505F6"/>
    <w:rsid w:val="00051397"/>
    <w:rsid w:val="0005331E"/>
    <w:rsid w:val="00054A75"/>
    <w:rsid w:val="00056BF5"/>
    <w:rsid w:val="0005707C"/>
    <w:rsid w:val="000611F8"/>
    <w:rsid w:val="0006236E"/>
    <w:rsid w:val="000627EB"/>
    <w:rsid w:val="00064772"/>
    <w:rsid w:val="00066EAE"/>
    <w:rsid w:val="00072324"/>
    <w:rsid w:val="00074F60"/>
    <w:rsid w:val="00075455"/>
    <w:rsid w:val="00076002"/>
    <w:rsid w:val="0007786F"/>
    <w:rsid w:val="00080301"/>
    <w:rsid w:val="00080F8E"/>
    <w:rsid w:val="00082B4A"/>
    <w:rsid w:val="00082CC5"/>
    <w:rsid w:val="0008375F"/>
    <w:rsid w:val="0008422E"/>
    <w:rsid w:val="00086039"/>
    <w:rsid w:val="00092EBB"/>
    <w:rsid w:val="00093713"/>
    <w:rsid w:val="000959A5"/>
    <w:rsid w:val="00095B87"/>
    <w:rsid w:val="000A102A"/>
    <w:rsid w:val="000A105A"/>
    <w:rsid w:val="000A2F45"/>
    <w:rsid w:val="000A4280"/>
    <w:rsid w:val="000A53E3"/>
    <w:rsid w:val="000A79B9"/>
    <w:rsid w:val="000B37CA"/>
    <w:rsid w:val="000B3BC9"/>
    <w:rsid w:val="000B5983"/>
    <w:rsid w:val="000B6918"/>
    <w:rsid w:val="000C02D0"/>
    <w:rsid w:val="000C5D7C"/>
    <w:rsid w:val="000C68EA"/>
    <w:rsid w:val="000D1480"/>
    <w:rsid w:val="000D1E34"/>
    <w:rsid w:val="000D1EFA"/>
    <w:rsid w:val="000D32CC"/>
    <w:rsid w:val="000D4C08"/>
    <w:rsid w:val="000D629D"/>
    <w:rsid w:val="000D7826"/>
    <w:rsid w:val="000D7832"/>
    <w:rsid w:val="000E0ED2"/>
    <w:rsid w:val="000E10C0"/>
    <w:rsid w:val="000E1DAB"/>
    <w:rsid w:val="000E577B"/>
    <w:rsid w:val="000F2637"/>
    <w:rsid w:val="000F5D82"/>
    <w:rsid w:val="000F68B6"/>
    <w:rsid w:val="00102CC2"/>
    <w:rsid w:val="00103759"/>
    <w:rsid w:val="00105341"/>
    <w:rsid w:val="00105C35"/>
    <w:rsid w:val="00106993"/>
    <w:rsid w:val="001105BD"/>
    <w:rsid w:val="001141A9"/>
    <w:rsid w:val="00121D45"/>
    <w:rsid w:val="001226B9"/>
    <w:rsid w:val="00127920"/>
    <w:rsid w:val="001321EC"/>
    <w:rsid w:val="00132BAC"/>
    <w:rsid w:val="00136B2B"/>
    <w:rsid w:val="00140AC4"/>
    <w:rsid w:val="0014120A"/>
    <w:rsid w:val="0014201A"/>
    <w:rsid w:val="001471A9"/>
    <w:rsid w:val="00147259"/>
    <w:rsid w:val="00157E22"/>
    <w:rsid w:val="0016045C"/>
    <w:rsid w:val="00160BAA"/>
    <w:rsid w:val="00160E2E"/>
    <w:rsid w:val="00163B95"/>
    <w:rsid w:val="00164287"/>
    <w:rsid w:val="00164488"/>
    <w:rsid w:val="0016526B"/>
    <w:rsid w:val="00167424"/>
    <w:rsid w:val="00167FE4"/>
    <w:rsid w:val="001708FC"/>
    <w:rsid w:val="00171783"/>
    <w:rsid w:val="0017218F"/>
    <w:rsid w:val="00175645"/>
    <w:rsid w:val="0017696B"/>
    <w:rsid w:val="00177420"/>
    <w:rsid w:val="00177BD6"/>
    <w:rsid w:val="00180351"/>
    <w:rsid w:val="001808AF"/>
    <w:rsid w:val="0018443B"/>
    <w:rsid w:val="0018584B"/>
    <w:rsid w:val="00185984"/>
    <w:rsid w:val="0018750D"/>
    <w:rsid w:val="00187670"/>
    <w:rsid w:val="00187B47"/>
    <w:rsid w:val="00190DA7"/>
    <w:rsid w:val="001910F9"/>
    <w:rsid w:val="00192CE3"/>
    <w:rsid w:val="00195DF4"/>
    <w:rsid w:val="00197B4E"/>
    <w:rsid w:val="001A0140"/>
    <w:rsid w:val="001A0957"/>
    <w:rsid w:val="001A434D"/>
    <w:rsid w:val="001A5971"/>
    <w:rsid w:val="001A6B0D"/>
    <w:rsid w:val="001A7C24"/>
    <w:rsid w:val="001B1626"/>
    <w:rsid w:val="001B1CE2"/>
    <w:rsid w:val="001B4C26"/>
    <w:rsid w:val="001B67F4"/>
    <w:rsid w:val="001B788B"/>
    <w:rsid w:val="001C1E37"/>
    <w:rsid w:val="001C6FD1"/>
    <w:rsid w:val="001C7936"/>
    <w:rsid w:val="001D0760"/>
    <w:rsid w:val="001D22A7"/>
    <w:rsid w:val="001D2AB6"/>
    <w:rsid w:val="001D3604"/>
    <w:rsid w:val="001D3B96"/>
    <w:rsid w:val="001D446C"/>
    <w:rsid w:val="001D44BE"/>
    <w:rsid w:val="001D4AEC"/>
    <w:rsid w:val="001D51E9"/>
    <w:rsid w:val="001E2D5F"/>
    <w:rsid w:val="001E3793"/>
    <w:rsid w:val="001E4049"/>
    <w:rsid w:val="001E463B"/>
    <w:rsid w:val="001E5CAE"/>
    <w:rsid w:val="001E606C"/>
    <w:rsid w:val="001E6997"/>
    <w:rsid w:val="001E76C5"/>
    <w:rsid w:val="001F3152"/>
    <w:rsid w:val="001F6EEF"/>
    <w:rsid w:val="001F7B3D"/>
    <w:rsid w:val="002003DB"/>
    <w:rsid w:val="0020040B"/>
    <w:rsid w:val="0020121B"/>
    <w:rsid w:val="002024E1"/>
    <w:rsid w:val="00203146"/>
    <w:rsid w:val="00203486"/>
    <w:rsid w:val="00206BB3"/>
    <w:rsid w:val="00211B14"/>
    <w:rsid w:val="00212295"/>
    <w:rsid w:val="002125B7"/>
    <w:rsid w:val="00215CB8"/>
    <w:rsid w:val="00216117"/>
    <w:rsid w:val="00216EA8"/>
    <w:rsid w:val="00217ED4"/>
    <w:rsid w:val="002228CD"/>
    <w:rsid w:val="0022451D"/>
    <w:rsid w:val="00224557"/>
    <w:rsid w:val="002247AB"/>
    <w:rsid w:val="00226137"/>
    <w:rsid w:val="0023160D"/>
    <w:rsid w:val="00232E55"/>
    <w:rsid w:val="00232EC2"/>
    <w:rsid w:val="0023368C"/>
    <w:rsid w:val="00240C8D"/>
    <w:rsid w:val="00240FA6"/>
    <w:rsid w:val="002437BB"/>
    <w:rsid w:val="00244F9B"/>
    <w:rsid w:val="002450CA"/>
    <w:rsid w:val="00245F9C"/>
    <w:rsid w:val="002513AD"/>
    <w:rsid w:val="00254ECA"/>
    <w:rsid w:val="00256313"/>
    <w:rsid w:val="00260A5D"/>
    <w:rsid w:val="00262B4B"/>
    <w:rsid w:val="00262BEB"/>
    <w:rsid w:val="002645AD"/>
    <w:rsid w:val="0027051E"/>
    <w:rsid w:val="00271340"/>
    <w:rsid w:val="00271818"/>
    <w:rsid w:val="00271C7B"/>
    <w:rsid w:val="002727C5"/>
    <w:rsid w:val="00273AB6"/>
    <w:rsid w:val="00274AA2"/>
    <w:rsid w:val="00275F8E"/>
    <w:rsid w:val="00280DA8"/>
    <w:rsid w:val="00282B16"/>
    <w:rsid w:val="00283547"/>
    <w:rsid w:val="0028693F"/>
    <w:rsid w:val="0028709F"/>
    <w:rsid w:val="00292C72"/>
    <w:rsid w:val="00292D65"/>
    <w:rsid w:val="00295A82"/>
    <w:rsid w:val="00296A86"/>
    <w:rsid w:val="00296D9C"/>
    <w:rsid w:val="002A14CA"/>
    <w:rsid w:val="002A169D"/>
    <w:rsid w:val="002A1F28"/>
    <w:rsid w:val="002A39F7"/>
    <w:rsid w:val="002A3E4E"/>
    <w:rsid w:val="002A76BD"/>
    <w:rsid w:val="002B061F"/>
    <w:rsid w:val="002B2D71"/>
    <w:rsid w:val="002B4564"/>
    <w:rsid w:val="002B52C7"/>
    <w:rsid w:val="002C15A6"/>
    <w:rsid w:val="002C17FB"/>
    <w:rsid w:val="002C30E2"/>
    <w:rsid w:val="002C3103"/>
    <w:rsid w:val="002C3997"/>
    <w:rsid w:val="002C3F52"/>
    <w:rsid w:val="002C7454"/>
    <w:rsid w:val="002D2FED"/>
    <w:rsid w:val="002D3484"/>
    <w:rsid w:val="002D38CC"/>
    <w:rsid w:val="002D4971"/>
    <w:rsid w:val="002D5B3A"/>
    <w:rsid w:val="002D5D29"/>
    <w:rsid w:val="002D7638"/>
    <w:rsid w:val="002E339D"/>
    <w:rsid w:val="002E5B8C"/>
    <w:rsid w:val="002E681E"/>
    <w:rsid w:val="002E6B4E"/>
    <w:rsid w:val="002E7062"/>
    <w:rsid w:val="002E7280"/>
    <w:rsid w:val="002E7486"/>
    <w:rsid w:val="002F0B67"/>
    <w:rsid w:val="002F0BF8"/>
    <w:rsid w:val="002F378D"/>
    <w:rsid w:val="002F37EC"/>
    <w:rsid w:val="002F3DFB"/>
    <w:rsid w:val="002F423F"/>
    <w:rsid w:val="002F5210"/>
    <w:rsid w:val="002F60C1"/>
    <w:rsid w:val="002F6EC9"/>
    <w:rsid w:val="002F7532"/>
    <w:rsid w:val="002F7DF4"/>
    <w:rsid w:val="00305E86"/>
    <w:rsid w:val="00306931"/>
    <w:rsid w:val="00310817"/>
    <w:rsid w:val="003111B9"/>
    <w:rsid w:val="00311214"/>
    <w:rsid w:val="0031553A"/>
    <w:rsid w:val="003159CE"/>
    <w:rsid w:val="00315F04"/>
    <w:rsid w:val="00316030"/>
    <w:rsid w:val="003164BA"/>
    <w:rsid w:val="00322434"/>
    <w:rsid w:val="003249DE"/>
    <w:rsid w:val="00324C7E"/>
    <w:rsid w:val="0032537F"/>
    <w:rsid w:val="00325640"/>
    <w:rsid w:val="00327071"/>
    <w:rsid w:val="003305C8"/>
    <w:rsid w:val="0033136A"/>
    <w:rsid w:val="00332F88"/>
    <w:rsid w:val="0033451C"/>
    <w:rsid w:val="003371B7"/>
    <w:rsid w:val="003411AA"/>
    <w:rsid w:val="0034131F"/>
    <w:rsid w:val="00341424"/>
    <w:rsid w:val="00343997"/>
    <w:rsid w:val="00345DAA"/>
    <w:rsid w:val="00350802"/>
    <w:rsid w:val="00350E03"/>
    <w:rsid w:val="0035288E"/>
    <w:rsid w:val="00352D94"/>
    <w:rsid w:val="003533D2"/>
    <w:rsid w:val="003539CA"/>
    <w:rsid w:val="00353D93"/>
    <w:rsid w:val="00356B65"/>
    <w:rsid w:val="00357F35"/>
    <w:rsid w:val="003608A6"/>
    <w:rsid w:val="003633AC"/>
    <w:rsid w:val="00363430"/>
    <w:rsid w:val="00363933"/>
    <w:rsid w:val="00365EBC"/>
    <w:rsid w:val="0037100E"/>
    <w:rsid w:val="00375445"/>
    <w:rsid w:val="003767A4"/>
    <w:rsid w:val="00377B84"/>
    <w:rsid w:val="0038237F"/>
    <w:rsid w:val="00385EC1"/>
    <w:rsid w:val="00390672"/>
    <w:rsid w:val="003912BA"/>
    <w:rsid w:val="003925F5"/>
    <w:rsid w:val="003944BA"/>
    <w:rsid w:val="00395E84"/>
    <w:rsid w:val="00395FFB"/>
    <w:rsid w:val="00396BDB"/>
    <w:rsid w:val="00397322"/>
    <w:rsid w:val="003979FE"/>
    <w:rsid w:val="003A0ADF"/>
    <w:rsid w:val="003A1AE8"/>
    <w:rsid w:val="003A252C"/>
    <w:rsid w:val="003A25F4"/>
    <w:rsid w:val="003A2AD1"/>
    <w:rsid w:val="003A47E3"/>
    <w:rsid w:val="003A5123"/>
    <w:rsid w:val="003A6B11"/>
    <w:rsid w:val="003A77A6"/>
    <w:rsid w:val="003B0989"/>
    <w:rsid w:val="003B1AF1"/>
    <w:rsid w:val="003B3E9A"/>
    <w:rsid w:val="003C24F9"/>
    <w:rsid w:val="003C4450"/>
    <w:rsid w:val="003C5B8F"/>
    <w:rsid w:val="003D057D"/>
    <w:rsid w:val="003D0717"/>
    <w:rsid w:val="003D103E"/>
    <w:rsid w:val="003D1A7B"/>
    <w:rsid w:val="003D23C4"/>
    <w:rsid w:val="003D2400"/>
    <w:rsid w:val="003D3664"/>
    <w:rsid w:val="003D6AE6"/>
    <w:rsid w:val="003D6FCE"/>
    <w:rsid w:val="003D7BE5"/>
    <w:rsid w:val="003E002B"/>
    <w:rsid w:val="003E0C95"/>
    <w:rsid w:val="003E12DE"/>
    <w:rsid w:val="003E2531"/>
    <w:rsid w:val="003E256F"/>
    <w:rsid w:val="003E4278"/>
    <w:rsid w:val="003E633E"/>
    <w:rsid w:val="003F05D4"/>
    <w:rsid w:val="003F11FE"/>
    <w:rsid w:val="003F1355"/>
    <w:rsid w:val="003F398A"/>
    <w:rsid w:val="003F58D9"/>
    <w:rsid w:val="003F679A"/>
    <w:rsid w:val="003F7DC5"/>
    <w:rsid w:val="00400FA3"/>
    <w:rsid w:val="00401EB0"/>
    <w:rsid w:val="004027CC"/>
    <w:rsid w:val="00402A2D"/>
    <w:rsid w:val="004055EC"/>
    <w:rsid w:val="004058CE"/>
    <w:rsid w:val="004065AC"/>
    <w:rsid w:val="004072A2"/>
    <w:rsid w:val="004102FA"/>
    <w:rsid w:val="004116A6"/>
    <w:rsid w:val="0041284C"/>
    <w:rsid w:val="00413051"/>
    <w:rsid w:val="004132FB"/>
    <w:rsid w:val="00413DF5"/>
    <w:rsid w:val="00415614"/>
    <w:rsid w:val="00415652"/>
    <w:rsid w:val="00416601"/>
    <w:rsid w:val="00416F7E"/>
    <w:rsid w:val="00417338"/>
    <w:rsid w:val="00420B8F"/>
    <w:rsid w:val="0042214C"/>
    <w:rsid w:val="00422670"/>
    <w:rsid w:val="00422690"/>
    <w:rsid w:val="00423D17"/>
    <w:rsid w:val="004248BF"/>
    <w:rsid w:val="00430C0C"/>
    <w:rsid w:val="0043453D"/>
    <w:rsid w:val="004347AB"/>
    <w:rsid w:val="00435EE5"/>
    <w:rsid w:val="0044025A"/>
    <w:rsid w:val="00443AAF"/>
    <w:rsid w:val="004475AC"/>
    <w:rsid w:val="00447C54"/>
    <w:rsid w:val="004504BD"/>
    <w:rsid w:val="004509C0"/>
    <w:rsid w:val="00451DB5"/>
    <w:rsid w:val="00452D7B"/>
    <w:rsid w:val="004575BB"/>
    <w:rsid w:val="004577EE"/>
    <w:rsid w:val="00461295"/>
    <w:rsid w:val="00461591"/>
    <w:rsid w:val="00465B47"/>
    <w:rsid w:val="0047170A"/>
    <w:rsid w:val="00472225"/>
    <w:rsid w:val="00472EAC"/>
    <w:rsid w:val="00474EDE"/>
    <w:rsid w:val="00475A83"/>
    <w:rsid w:val="00475B55"/>
    <w:rsid w:val="00476CA9"/>
    <w:rsid w:val="0047769D"/>
    <w:rsid w:val="00480B00"/>
    <w:rsid w:val="00482942"/>
    <w:rsid w:val="00483CE6"/>
    <w:rsid w:val="00484033"/>
    <w:rsid w:val="00484FE2"/>
    <w:rsid w:val="004852CC"/>
    <w:rsid w:val="0048533D"/>
    <w:rsid w:val="00486E18"/>
    <w:rsid w:val="004877CF"/>
    <w:rsid w:val="0049306D"/>
    <w:rsid w:val="00493152"/>
    <w:rsid w:val="00494C6D"/>
    <w:rsid w:val="004951C5"/>
    <w:rsid w:val="00495880"/>
    <w:rsid w:val="00495EF2"/>
    <w:rsid w:val="004978E1"/>
    <w:rsid w:val="00497E4D"/>
    <w:rsid w:val="004A03C0"/>
    <w:rsid w:val="004A0F75"/>
    <w:rsid w:val="004A3C77"/>
    <w:rsid w:val="004A47DE"/>
    <w:rsid w:val="004A486C"/>
    <w:rsid w:val="004A529C"/>
    <w:rsid w:val="004A622E"/>
    <w:rsid w:val="004A74DF"/>
    <w:rsid w:val="004B2013"/>
    <w:rsid w:val="004B3A56"/>
    <w:rsid w:val="004B670E"/>
    <w:rsid w:val="004B6D18"/>
    <w:rsid w:val="004B7C96"/>
    <w:rsid w:val="004C02B3"/>
    <w:rsid w:val="004C0764"/>
    <w:rsid w:val="004C17C6"/>
    <w:rsid w:val="004C18D3"/>
    <w:rsid w:val="004C30E2"/>
    <w:rsid w:val="004C4328"/>
    <w:rsid w:val="004C4F64"/>
    <w:rsid w:val="004C5D46"/>
    <w:rsid w:val="004C75AE"/>
    <w:rsid w:val="004D1543"/>
    <w:rsid w:val="004D265C"/>
    <w:rsid w:val="004D2985"/>
    <w:rsid w:val="004D394D"/>
    <w:rsid w:val="004D4562"/>
    <w:rsid w:val="004D4F34"/>
    <w:rsid w:val="004D582F"/>
    <w:rsid w:val="004D5A82"/>
    <w:rsid w:val="004D5CD8"/>
    <w:rsid w:val="004D68A5"/>
    <w:rsid w:val="004E1551"/>
    <w:rsid w:val="004E17AB"/>
    <w:rsid w:val="004E1803"/>
    <w:rsid w:val="004E1BB3"/>
    <w:rsid w:val="004E2EE2"/>
    <w:rsid w:val="004E3614"/>
    <w:rsid w:val="004F03D4"/>
    <w:rsid w:val="004F33BA"/>
    <w:rsid w:val="004F4848"/>
    <w:rsid w:val="004F50E1"/>
    <w:rsid w:val="004F6C82"/>
    <w:rsid w:val="00500231"/>
    <w:rsid w:val="00512142"/>
    <w:rsid w:val="00512686"/>
    <w:rsid w:val="00514153"/>
    <w:rsid w:val="00517F5A"/>
    <w:rsid w:val="00525709"/>
    <w:rsid w:val="00526F75"/>
    <w:rsid w:val="00530362"/>
    <w:rsid w:val="005307EB"/>
    <w:rsid w:val="0053160F"/>
    <w:rsid w:val="005367CD"/>
    <w:rsid w:val="00545F5D"/>
    <w:rsid w:val="00546110"/>
    <w:rsid w:val="00546C4C"/>
    <w:rsid w:val="0054784A"/>
    <w:rsid w:val="00547F39"/>
    <w:rsid w:val="00552F41"/>
    <w:rsid w:val="005545DE"/>
    <w:rsid w:val="00554870"/>
    <w:rsid w:val="00554995"/>
    <w:rsid w:val="00555149"/>
    <w:rsid w:val="005555E1"/>
    <w:rsid w:val="00555952"/>
    <w:rsid w:val="00557AD9"/>
    <w:rsid w:val="00557B87"/>
    <w:rsid w:val="0056149F"/>
    <w:rsid w:val="00563C3E"/>
    <w:rsid w:val="00564374"/>
    <w:rsid w:val="0056737A"/>
    <w:rsid w:val="005726D6"/>
    <w:rsid w:val="00573827"/>
    <w:rsid w:val="00574F1F"/>
    <w:rsid w:val="00575B0D"/>
    <w:rsid w:val="00575DBA"/>
    <w:rsid w:val="005823B8"/>
    <w:rsid w:val="00585803"/>
    <w:rsid w:val="00587DBF"/>
    <w:rsid w:val="005917A2"/>
    <w:rsid w:val="00591D0B"/>
    <w:rsid w:val="0059289C"/>
    <w:rsid w:val="00592973"/>
    <w:rsid w:val="005939EF"/>
    <w:rsid w:val="0059410F"/>
    <w:rsid w:val="0059420F"/>
    <w:rsid w:val="00594542"/>
    <w:rsid w:val="0059523F"/>
    <w:rsid w:val="0059581E"/>
    <w:rsid w:val="00595C8B"/>
    <w:rsid w:val="005A055B"/>
    <w:rsid w:val="005A0743"/>
    <w:rsid w:val="005A1B8C"/>
    <w:rsid w:val="005A2B9A"/>
    <w:rsid w:val="005A3023"/>
    <w:rsid w:val="005A6AE4"/>
    <w:rsid w:val="005B0760"/>
    <w:rsid w:val="005B0828"/>
    <w:rsid w:val="005B0889"/>
    <w:rsid w:val="005B2066"/>
    <w:rsid w:val="005B2357"/>
    <w:rsid w:val="005B32AB"/>
    <w:rsid w:val="005B3651"/>
    <w:rsid w:val="005B4ABF"/>
    <w:rsid w:val="005C42E0"/>
    <w:rsid w:val="005D1AAF"/>
    <w:rsid w:val="005D1B2D"/>
    <w:rsid w:val="005D203F"/>
    <w:rsid w:val="005D5AA7"/>
    <w:rsid w:val="005D5AE0"/>
    <w:rsid w:val="005D6471"/>
    <w:rsid w:val="005D7770"/>
    <w:rsid w:val="005E0240"/>
    <w:rsid w:val="005E1348"/>
    <w:rsid w:val="005E17A6"/>
    <w:rsid w:val="005E1C3B"/>
    <w:rsid w:val="005E21BC"/>
    <w:rsid w:val="005E21C6"/>
    <w:rsid w:val="005E4EC8"/>
    <w:rsid w:val="005E5F34"/>
    <w:rsid w:val="005E75A4"/>
    <w:rsid w:val="005F057A"/>
    <w:rsid w:val="005F13F9"/>
    <w:rsid w:val="005F330E"/>
    <w:rsid w:val="005F350F"/>
    <w:rsid w:val="005F53C2"/>
    <w:rsid w:val="005F5510"/>
    <w:rsid w:val="005F5B6E"/>
    <w:rsid w:val="005F6DA3"/>
    <w:rsid w:val="00600FF0"/>
    <w:rsid w:val="00604B99"/>
    <w:rsid w:val="00606397"/>
    <w:rsid w:val="00607EE6"/>
    <w:rsid w:val="006100E0"/>
    <w:rsid w:val="006102DE"/>
    <w:rsid w:val="0061180F"/>
    <w:rsid w:val="00613C3A"/>
    <w:rsid w:val="0061520D"/>
    <w:rsid w:val="00615DA3"/>
    <w:rsid w:val="00615DAD"/>
    <w:rsid w:val="00616332"/>
    <w:rsid w:val="00617172"/>
    <w:rsid w:val="0062001A"/>
    <w:rsid w:val="00620663"/>
    <w:rsid w:val="006213A2"/>
    <w:rsid w:val="006229D6"/>
    <w:rsid w:val="00624C79"/>
    <w:rsid w:val="00624E63"/>
    <w:rsid w:val="00624E7C"/>
    <w:rsid w:val="006250F5"/>
    <w:rsid w:val="006251C7"/>
    <w:rsid w:val="00625F8F"/>
    <w:rsid w:val="00626F2C"/>
    <w:rsid w:val="00627476"/>
    <w:rsid w:val="00627C7A"/>
    <w:rsid w:val="00627CF2"/>
    <w:rsid w:val="006322E5"/>
    <w:rsid w:val="00633282"/>
    <w:rsid w:val="00633700"/>
    <w:rsid w:val="00633E39"/>
    <w:rsid w:val="0063425D"/>
    <w:rsid w:val="00634500"/>
    <w:rsid w:val="006357DE"/>
    <w:rsid w:val="006404B0"/>
    <w:rsid w:val="00640AF1"/>
    <w:rsid w:val="00641014"/>
    <w:rsid w:val="00642816"/>
    <w:rsid w:val="00642EC9"/>
    <w:rsid w:val="00644FC9"/>
    <w:rsid w:val="00650EED"/>
    <w:rsid w:val="00651D93"/>
    <w:rsid w:val="00654A4D"/>
    <w:rsid w:val="006551BA"/>
    <w:rsid w:val="00655A02"/>
    <w:rsid w:val="00655DAF"/>
    <w:rsid w:val="006569D9"/>
    <w:rsid w:val="006623D5"/>
    <w:rsid w:val="00666514"/>
    <w:rsid w:val="006709AE"/>
    <w:rsid w:val="00671EB6"/>
    <w:rsid w:val="00673D9A"/>
    <w:rsid w:val="00673FA9"/>
    <w:rsid w:val="00675647"/>
    <w:rsid w:val="00676895"/>
    <w:rsid w:val="006775E5"/>
    <w:rsid w:val="00681813"/>
    <w:rsid w:val="0068228A"/>
    <w:rsid w:val="00682F7C"/>
    <w:rsid w:val="0068435B"/>
    <w:rsid w:val="006859CB"/>
    <w:rsid w:val="00685C81"/>
    <w:rsid w:val="00685FF3"/>
    <w:rsid w:val="00686633"/>
    <w:rsid w:val="00690636"/>
    <w:rsid w:val="0069284A"/>
    <w:rsid w:val="0069347B"/>
    <w:rsid w:val="00693CC7"/>
    <w:rsid w:val="00696E15"/>
    <w:rsid w:val="006978FB"/>
    <w:rsid w:val="006A1951"/>
    <w:rsid w:val="006A2B46"/>
    <w:rsid w:val="006A4423"/>
    <w:rsid w:val="006A4B0D"/>
    <w:rsid w:val="006B1CEE"/>
    <w:rsid w:val="006B25DE"/>
    <w:rsid w:val="006B390B"/>
    <w:rsid w:val="006B42AF"/>
    <w:rsid w:val="006B44CB"/>
    <w:rsid w:val="006B52C9"/>
    <w:rsid w:val="006B54A7"/>
    <w:rsid w:val="006C004E"/>
    <w:rsid w:val="006C10BB"/>
    <w:rsid w:val="006C2FF4"/>
    <w:rsid w:val="006C32BF"/>
    <w:rsid w:val="006C36C3"/>
    <w:rsid w:val="006C3952"/>
    <w:rsid w:val="006C4D9C"/>
    <w:rsid w:val="006D1388"/>
    <w:rsid w:val="006D4938"/>
    <w:rsid w:val="006D4F27"/>
    <w:rsid w:val="006D5992"/>
    <w:rsid w:val="006D6523"/>
    <w:rsid w:val="006D72A3"/>
    <w:rsid w:val="006D72DF"/>
    <w:rsid w:val="006E0BB5"/>
    <w:rsid w:val="006E5F97"/>
    <w:rsid w:val="006E7569"/>
    <w:rsid w:val="006F079E"/>
    <w:rsid w:val="006F0BA1"/>
    <w:rsid w:val="006F10B3"/>
    <w:rsid w:val="006F379A"/>
    <w:rsid w:val="006F416E"/>
    <w:rsid w:val="006F59F5"/>
    <w:rsid w:val="006F6015"/>
    <w:rsid w:val="006F6A16"/>
    <w:rsid w:val="006F7E9F"/>
    <w:rsid w:val="00706708"/>
    <w:rsid w:val="00711364"/>
    <w:rsid w:val="00711DB8"/>
    <w:rsid w:val="00712B69"/>
    <w:rsid w:val="007130D8"/>
    <w:rsid w:val="00714786"/>
    <w:rsid w:val="007147DB"/>
    <w:rsid w:val="007158F6"/>
    <w:rsid w:val="00715A08"/>
    <w:rsid w:val="00720716"/>
    <w:rsid w:val="007215AC"/>
    <w:rsid w:val="0072375C"/>
    <w:rsid w:val="00723835"/>
    <w:rsid w:val="007257FE"/>
    <w:rsid w:val="00726977"/>
    <w:rsid w:val="00730C94"/>
    <w:rsid w:val="007310B8"/>
    <w:rsid w:val="007316A0"/>
    <w:rsid w:val="00731EA6"/>
    <w:rsid w:val="00732AC0"/>
    <w:rsid w:val="0073321E"/>
    <w:rsid w:val="00734ED5"/>
    <w:rsid w:val="00735A7C"/>
    <w:rsid w:val="00740F31"/>
    <w:rsid w:val="007417AF"/>
    <w:rsid w:val="007419D5"/>
    <w:rsid w:val="0074200D"/>
    <w:rsid w:val="0074235A"/>
    <w:rsid w:val="00744F35"/>
    <w:rsid w:val="0074522B"/>
    <w:rsid w:val="00750703"/>
    <w:rsid w:val="0075246E"/>
    <w:rsid w:val="00752DD7"/>
    <w:rsid w:val="00753C8D"/>
    <w:rsid w:val="0075513A"/>
    <w:rsid w:val="00757766"/>
    <w:rsid w:val="00760AB7"/>
    <w:rsid w:val="00760B06"/>
    <w:rsid w:val="00760F9B"/>
    <w:rsid w:val="00762855"/>
    <w:rsid w:val="00765F23"/>
    <w:rsid w:val="00771077"/>
    <w:rsid w:val="007719A0"/>
    <w:rsid w:val="007721E7"/>
    <w:rsid w:val="00772419"/>
    <w:rsid w:val="00772775"/>
    <w:rsid w:val="00774493"/>
    <w:rsid w:val="00774C2D"/>
    <w:rsid w:val="007758CC"/>
    <w:rsid w:val="00775941"/>
    <w:rsid w:val="00777F12"/>
    <w:rsid w:val="00782F71"/>
    <w:rsid w:val="00783971"/>
    <w:rsid w:val="007879AE"/>
    <w:rsid w:val="00792FC9"/>
    <w:rsid w:val="00795038"/>
    <w:rsid w:val="007952FF"/>
    <w:rsid w:val="00796C98"/>
    <w:rsid w:val="007A0E34"/>
    <w:rsid w:val="007A4487"/>
    <w:rsid w:val="007A791E"/>
    <w:rsid w:val="007B04D1"/>
    <w:rsid w:val="007B0611"/>
    <w:rsid w:val="007B13D2"/>
    <w:rsid w:val="007B197B"/>
    <w:rsid w:val="007B2247"/>
    <w:rsid w:val="007B4693"/>
    <w:rsid w:val="007B625A"/>
    <w:rsid w:val="007D3DD8"/>
    <w:rsid w:val="007E002E"/>
    <w:rsid w:val="007E11E4"/>
    <w:rsid w:val="007E3B52"/>
    <w:rsid w:val="007E5EB4"/>
    <w:rsid w:val="007E7D0C"/>
    <w:rsid w:val="007F1D4F"/>
    <w:rsid w:val="007F297A"/>
    <w:rsid w:val="007F7BCD"/>
    <w:rsid w:val="00800AAD"/>
    <w:rsid w:val="008017E3"/>
    <w:rsid w:val="00801E84"/>
    <w:rsid w:val="00802E24"/>
    <w:rsid w:val="00803443"/>
    <w:rsid w:val="00803E43"/>
    <w:rsid w:val="00804005"/>
    <w:rsid w:val="0080406D"/>
    <w:rsid w:val="008124C7"/>
    <w:rsid w:val="00812945"/>
    <w:rsid w:val="00812DAF"/>
    <w:rsid w:val="00813F76"/>
    <w:rsid w:val="00815A3A"/>
    <w:rsid w:val="00815B22"/>
    <w:rsid w:val="00817367"/>
    <w:rsid w:val="0082260F"/>
    <w:rsid w:val="008264E6"/>
    <w:rsid w:val="00826A29"/>
    <w:rsid w:val="00827564"/>
    <w:rsid w:val="008277D9"/>
    <w:rsid w:val="0083132B"/>
    <w:rsid w:val="0083197F"/>
    <w:rsid w:val="008328DB"/>
    <w:rsid w:val="00833631"/>
    <w:rsid w:val="0083507C"/>
    <w:rsid w:val="008352B2"/>
    <w:rsid w:val="00836498"/>
    <w:rsid w:val="008367D3"/>
    <w:rsid w:val="00840123"/>
    <w:rsid w:val="00844868"/>
    <w:rsid w:val="00844B79"/>
    <w:rsid w:val="00844C60"/>
    <w:rsid w:val="00845DC2"/>
    <w:rsid w:val="0084646A"/>
    <w:rsid w:val="00847EC0"/>
    <w:rsid w:val="00851C23"/>
    <w:rsid w:val="0085239D"/>
    <w:rsid w:val="00853D83"/>
    <w:rsid w:val="00856223"/>
    <w:rsid w:val="00856B17"/>
    <w:rsid w:val="008600D2"/>
    <w:rsid w:val="008604EC"/>
    <w:rsid w:val="008617E4"/>
    <w:rsid w:val="008622A4"/>
    <w:rsid w:val="00863B54"/>
    <w:rsid w:val="008641D2"/>
    <w:rsid w:val="00865D10"/>
    <w:rsid w:val="0086629E"/>
    <w:rsid w:val="00866357"/>
    <w:rsid w:val="00866A9E"/>
    <w:rsid w:val="00870B31"/>
    <w:rsid w:val="008718CD"/>
    <w:rsid w:val="00873E2D"/>
    <w:rsid w:val="00874F07"/>
    <w:rsid w:val="008764D7"/>
    <w:rsid w:val="0088029B"/>
    <w:rsid w:val="008826A8"/>
    <w:rsid w:val="00882F3E"/>
    <w:rsid w:val="0088444A"/>
    <w:rsid w:val="00885F16"/>
    <w:rsid w:val="008862B6"/>
    <w:rsid w:val="00886BD8"/>
    <w:rsid w:val="0089049C"/>
    <w:rsid w:val="008907CC"/>
    <w:rsid w:val="00890EB6"/>
    <w:rsid w:val="00891A70"/>
    <w:rsid w:val="008933C6"/>
    <w:rsid w:val="008962CD"/>
    <w:rsid w:val="00897BF1"/>
    <w:rsid w:val="00897EE4"/>
    <w:rsid w:val="008A078D"/>
    <w:rsid w:val="008A1066"/>
    <w:rsid w:val="008A197C"/>
    <w:rsid w:val="008A19C0"/>
    <w:rsid w:val="008A1AAA"/>
    <w:rsid w:val="008A1E06"/>
    <w:rsid w:val="008A1F0B"/>
    <w:rsid w:val="008A2C24"/>
    <w:rsid w:val="008B0921"/>
    <w:rsid w:val="008B43D4"/>
    <w:rsid w:val="008B4D3F"/>
    <w:rsid w:val="008C04E0"/>
    <w:rsid w:val="008C2E03"/>
    <w:rsid w:val="008C5EE7"/>
    <w:rsid w:val="008C6B7E"/>
    <w:rsid w:val="008D0900"/>
    <w:rsid w:val="008D3EF3"/>
    <w:rsid w:val="008D4AE6"/>
    <w:rsid w:val="008E01F1"/>
    <w:rsid w:val="008E0C81"/>
    <w:rsid w:val="008E4CA1"/>
    <w:rsid w:val="008E599A"/>
    <w:rsid w:val="008E7009"/>
    <w:rsid w:val="008E7693"/>
    <w:rsid w:val="008F1E14"/>
    <w:rsid w:val="008F2E69"/>
    <w:rsid w:val="008F3314"/>
    <w:rsid w:val="008F6D6E"/>
    <w:rsid w:val="00902A4B"/>
    <w:rsid w:val="00904F31"/>
    <w:rsid w:val="00906341"/>
    <w:rsid w:val="00907254"/>
    <w:rsid w:val="0090725D"/>
    <w:rsid w:val="00911DE5"/>
    <w:rsid w:val="00912D96"/>
    <w:rsid w:val="009159E9"/>
    <w:rsid w:val="00916A3E"/>
    <w:rsid w:val="0091774C"/>
    <w:rsid w:val="009178A7"/>
    <w:rsid w:val="0092062C"/>
    <w:rsid w:val="00921527"/>
    <w:rsid w:val="00921A20"/>
    <w:rsid w:val="0092409B"/>
    <w:rsid w:val="009244BD"/>
    <w:rsid w:val="00924F52"/>
    <w:rsid w:val="009251BE"/>
    <w:rsid w:val="009256AD"/>
    <w:rsid w:val="00927AE0"/>
    <w:rsid w:val="00931CA5"/>
    <w:rsid w:val="00932E75"/>
    <w:rsid w:val="00933728"/>
    <w:rsid w:val="009341F6"/>
    <w:rsid w:val="00937AE8"/>
    <w:rsid w:val="00937B9B"/>
    <w:rsid w:val="009406EA"/>
    <w:rsid w:val="009427F3"/>
    <w:rsid w:val="00943655"/>
    <w:rsid w:val="00943DE0"/>
    <w:rsid w:val="00945BA7"/>
    <w:rsid w:val="00946246"/>
    <w:rsid w:val="0094724F"/>
    <w:rsid w:val="00950392"/>
    <w:rsid w:val="009527AB"/>
    <w:rsid w:val="0095496C"/>
    <w:rsid w:val="00954A5A"/>
    <w:rsid w:val="00954E3D"/>
    <w:rsid w:val="00955A0C"/>
    <w:rsid w:val="00956534"/>
    <w:rsid w:val="00956FE9"/>
    <w:rsid w:val="009639E0"/>
    <w:rsid w:val="009651F6"/>
    <w:rsid w:val="00966957"/>
    <w:rsid w:val="00967C4A"/>
    <w:rsid w:val="00971500"/>
    <w:rsid w:val="00972DB6"/>
    <w:rsid w:val="00973674"/>
    <w:rsid w:val="00973922"/>
    <w:rsid w:val="00976029"/>
    <w:rsid w:val="00981186"/>
    <w:rsid w:val="00981878"/>
    <w:rsid w:val="00982E1A"/>
    <w:rsid w:val="00982F79"/>
    <w:rsid w:val="009831AE"/>
    <w:rsid w:val="00983B88"/>
    <w:rsid w:val="009848B2"/>
    <w:rsid w:val="00992524"/>
    <w:rsid w:val="009936B6"/>
    <w:rsid w:val="009941A9"/>
    <w:rsid w:val="00997B64"/>
    <w:rsid w:val="009A0EE6"/>
    <w:rsid w:val="009A3BDC"/>
    <w:rsid w:val="009A405D"/>
    <w:rsid w:val="009A40EB"/>
    <w:rsid w:val="009A4823"/>
    <w:rsid w:val="009A5EDA"/>
    <w:rsid w:val="009A7E17"/>
    <w:rsid w:val="009B00F6"/>
    <w:rsid w:val="009B07B4"/>
    <w:rsid w:val="009B1EAC"/>
    <w:rsid w:val="009B1F95"/>
    <w:rsid w:val="009B221E"/>
    <w:rsid w:val="009B6DF5"/>
    <w:rsid w:val="009C1757"/>
    <w:rsid w:val="009C18EB"/>
    <w:rsid w:val="009C2B93"/>
    <w:rsid w:val="009C45B5"/>
    <w:rsid w:val="009C6012"/>
    <w:rsid w:val="009C6805"/>
    <w:rsid w:val="009C68C1"/>
    <w:rsid w:val="009C72FE"/>
    <w:rsid w:val="009D0323"/>
    <w:rsid w:val="009D28B2"/>
    <w:rsid w:val="009D5286"/>
    <w:rsid w:val="009D7B80"/>
    <w:rsid w:val="009E3C94"/>
    <w:rsid w:val="009E50C4"/>
    <w:rsid w:val="009E514F"/>
    <w:rsid w:val="009E6110"/>
    <w:rsid w:val="009E7EAB"/>
    <w:rsid w:val="009F1215"/>
    <w:rsid w:val="009F1308"/>
    <w:rsid w:val="009F2212"/>
    <w:rsid w:val="009F4284"/>
    <w:rsid w:val="009F4937"/>
    <w:rsid w:val="00A04B9B"/>
    <w:rsid w:val="00A0644F"/>
    <w:rsid w:val="00A07846"/>
    <w:rsid w:val="00A11F7D"/>
    <w:rsid w:val="00A13894"/>
    <w:rsid w:val="00A167D8"/>
    <w:rsid w:val="00A177FA"/>
    <w:rsid w:val="00A20200"/>
    <w:rsid w:val="00A2079D"/>
    <w:rsid w:val="00A21964"/>
    <w:rsid w:val="00A24F98"/>
    <w:rsid w:val="00A25693"/>
    <w:rsid w:val="00A270F9"/>
    <w:rsid w:val="00A3183F"/>
    <w:rsid w:val="00A31A88"/>
    <w:rsid w:val="00A33649"/>
    <w:rsid w:val="00A36AAB"/>
    <w:rsid w:val="00A36BEC"/>
    <w:rsid w:val="00A37E54"/>
    <w:rsid w:val="00A42641"/>
    <w:rsid w:val="00A46959"/>
    <w:rsid w:val="00A50A2D"/>
    <w:rsid w:val="00A52759"/>
    <w:rsid w:val="00A54E1A"/>
    <w:rsid w:val="00A61582"/>
    <w:rsid w:val="00A64215"/>
    <w:rsid w:val="00A658A5"/>
    <w:rsid w:val="00A71114"/>
    <w:rsid w:val="00A728F9"/>
    <w:rsid w:val="00A7639E"/>
    <w:rsid w:val="00A77787"/>
    <w:rsid w:val="00A77921"/>
    <w:rsid w:val="00A80F2C"/>
    <w:rsid w:val="00A8139D"/>
    <w:rsid w:val="00A81602"/>
    <w:rsid w:val="00A82253"/>
    <w:rsid w:val="00A86641"/>
    <w:rsid w:val="00A90CAE"/>
    <w:rsid w:val="00A92E1A"/>
    <w:rsid w:val="00A9380F"/>
    <w:rsid w:val="00A943BA"/>
    <w:rsid w:val="00A94885"/>
    <w:rsid w:val="00A94A2D"/>
    <w:rsid w:val="00A95E72"/>
    <w:rsid w:val="00A966CC"/>
    <w:rsid w:val="00A9697B"/>
    <w:rsid w:val="00A97973"/>
    <w:rsid w:val="00AA0801"/>
    <w:rsid w:val="00AA1116"/>
    <w:rsid w:val="00AA2214"/>
    <w:rsid w:val="00AA37B9"/>
    <w:rsid w:val="00AA5D21"/>
    <w:rsid w:val="00AA7475"/>
    <w:rsid w:val="00AA7A3E"/>
    <w:rsid w:val="00AB0DFC"/>
    <w:rsid w:val="00AB14A0"/>
    <w:rsid w:val="00AB4A80"/>
    <w:rsid w:val="00AB4BE9"/>
    <w:rsid w:val="00AB630E"/>
    <w:rsid w:val="00AC025A"/>
    <w:rsid w:val="00AC0352"/>
    <w:rsid w:val="00AC1F90"/>
    <w:rsid w:val="00AC29A8"/>
    <w:rsid w:val="00AC4491"/>
    <w:rsid w:val="00AC675B"/>
    <w:rsid w:val="00AC74DF"/>
    <w:rsid w:val="00AD2099"/>
    <w:rsid w:val="00AD3865"/>
    <w:rsid w:val="00AD43FD"/>
    <w:rsid w:val="00AD5A6C"/>
    <w:rsid w:val="00AD7867"/>
    <w:rsid w:val="00AD78E4"/>
    <w:rsid w:val="00AE1A45"/>
    <w:rsid w:val="00AE2014"/>
    <w:rsid w:val="00AE3728"/>
    <w:rsid w:val="00AE565C"/>
    <w:rsid w:val="00AF0003"/>
    <w:rsid w:val="00AF011B"/>
    <w:rsid w:val="00AF097D"/>
    <w:rsid w:val="00AF0BCA"/>
    <w:rsid w:val="00AF0E2C"/>
    <w:rsid w:val="00AF24F0"/>
    <w:rsid w:val="00AF3A67"/>
    <w:rsid w:val="00AF4206"/>
    <w:rsid w:val="00AF71FC"/>
    <w:rsid w:val="00B008A1"/>
    <w:rsid w:val="00B00A3B"/>
    <w:rsid w:val="00B0105D"/>
    <w:rsid w:val="00B0142A"/>
    <w:rsid w:val="00B03419"/>
    <w:rsid w:val="00B03A8B"/>
    <w:rsid w:val="00B045E2"/>
    <w:rsid w:val="00B06394"/>
    <w:rsid w:val="00B0699B"/>
    <w:rsid w:val="00B074A7"/>
    <w:rsid w:val="00B10836"/>
    <w:rsid w:val="00B13481"/>
    <w:rsid w:val="00B14B0B"/>
    <w:rsid w:val="00B156A9"/>
    <w:rsid w:val="00B165E3"/>
    <w:rsid w:val="00B16ACA"/>
    <w:rsid w:val="00B2001F"/>
    <w:rsid w:val="00B200DC"/>
    <w:rsid w:val="00B209A8"/>
    <w:rsid w:val="00B20C13"/>
    <w:rsid w:val="00B21A2E"/>
    <w:rsid w:val="00B2239B"/>
    <w:rsid w:val="00B306FE"/>
    <w:rsid w:val="00B30FE3"/>
    <w:rsid w:val="00B3195C"/>
    <w:rsid w:val="00B326C2"/>
    <w:rsid w:val="00B334D9"/>
    <w:rsid w:val="00B34F15"/>
    <w:rsid w:val="00B3539A"/>
    <w:rsid w:val="00B36842"/>
    <w:rsid w:val="00B36F50"/>
    <w:rsid w:val="00B4049C"/>
    <w:rsid w:val="00B43BBF"/>
    <w:rsid w:val="00B46F23"/>
    <w:rsid w:val="00B47F65"/>
    <w:rsid w:val="00B512AB"/>
    <w:rsid w:val="00B545D9"/>
    <w:rsid w:val="00B561E6"/>
    <w:rsid w:val="00B572FA"/>
    <w:rsid w:val="00B576A6"/>
    <w:rsid w:val="00B60348"/>
    <w:rsid w:val="00B62E63"/>
    <w:rsid w:val="00B64551"/>
    <w:rsid w:val="00B701F9"/>
    <w:rsid w:val="00B71C84"/>
    <w:rsid w:val="00B767D8"/>
    <w:rsid w:val="00B820D4"/>
    <w:rsid w:val="00B8346F"/>
    <w:rsid w:val="00B835FA"/>
    <w:rsid w:val="00B836FE"/>
    <w:rsid w:val="00B85A4C"/>
    <w:rsid w:val="00B86168"/>
    <w:rsid w:val="00B86532"/>
    <w:rsid w:val="00B86E20"/>
    <w:rsid w:val="00B8701C"/>
    <w:rsid w:val="00B877BE"/>
    <w:rsid w:val="00B87CAE"/>
    <w:rsid w:val="00B90113"/>
    <w:rsid w:val="00B91F78"/>
    <w:rsid w:val="00B92DAF"/>
    <w:rsid w:val="00B95384"/>
    <w:rsid w:val="00B965A8"/>
    <w:rsid w:val="00B9687B"/>
    <w:rsid w:val="00BA0A07"/>
    <w:rsid w:val="00BA0A6B"/>
    <w:rsid w:val="00BB23BB"/>
    <w:rsid w:val="00BC0D32"/>
    <w:rsid w:val="00BC2F56"/>
    <w:rsid w:val="00BC4164"/>
    <w:rsid w:val="00BC6032"/>
    <w:rsid w:val="00BC6181"/>
    <w:rsid w:val="00BC6533"/>
    <w:rsid w:val="00BC6F38"/>
    <w:rsid w:val="00BC73A0"/>
    <w:rsid w:val="00BC7BF4"/>
    <w:rsid w:val="00BD1CBA"/>
    <w:rsid w:val="00BD23C7"/>
    <w:rsid w:val="00BD48A9"/>
    <w:rsid w:val="00BD7C4F"/>
    <w:rsid w:val="00BE0A99"/>
    <w:rsid w:val="00BE14B3"/>
    <w:rsid w:val="00BE17AB"/>
    <w:rsid w:val="00BE51B1"/>
    <w:rsid w:val="00BE584C"/>
    <w:rsid w:val="00BE5D6A"/>
    <w:rsid w:val="00BE5F51"/>
    <w:rsid w:val="00BE7331"/>
    <w:rsid w:val="00BE7E32"/>
    <w:rsid w:val="00BE7F15"/>
    <w:rsid w:val="00BF60E1"/>
    <w:rsid w:val="00BF7654"/>
    <w:rsid w:val="00C009D1"/>
    <w:rsid w:val="00C01885"/>
    <w:rsid w:val="00C02168"/>
    <w:rsid w:val="00C02437"/>
    <w:rsid w:val="00C037CE"/>
    <w:rsid w:val="00C05980"/>
    <w:rsid w:val="00C07469"/>
    <w:rsid w:val="00C124D9"/>
    <w:rsid w:val="00C13C99"/>
    <w:rsid w:val="00C14A6C"/>
    <w:rsid w:val="00C15071"/>
    <w:rsid w:val="00C16012"/>
    <w:rsid w:val="00C163D6"/>
    <w:rsid w:val="00C169D7"/>
    <w:rsid w:val="00C169F5"/>
    <w:rsid w:val="00C178CD"/>
    <w:rsid w:val="00C20BF5"/>
    <w:rsid w:val="00C21B48"/>
    <w:rsid w:val="00C2512A"/>
    <w:rsid w:val="00C25DA0"/>
    <w:rsid w:val="00C2671A"/>
    <w:rsid w:val="00C27A32"/>
    <w:rsid w:val="00C32472"/>
    <w:rsid w:val="00C335B8"/>
    <w:rsid w:val="00C34E45"/>
    <w:rsid w:val="00C34EF0"/>
    <w:rsid w:val="00C36DC3"/>
    <w:rsid w:val="00C379FD"/>
    <w:rsid w:val="00C42D6B"/>
    <w:rsid w:val="00C446C1"/>
    <w:rsid w:val="00C47B16"/>
    <w:rsid w:val="00C50716"/>
    <w:rsid w:val="00C53711"/>
    <w:rsid w:val="00C55734"/>
    <w:rsid w:val="00C5664D"/>
    <w:rsid w:val="00C614F2"/>
    <w:rsid w:val="00C6249B"/>
    <w:rsid w:val="00C6307A"/>
    <w:rsid w:val="00C663D6"/>
    <w:rsid w:val="00C67866"/>
    <w:rsid w:val="00C7105A"/>
    <w:rsid w:val="00C71E94"/>
    <w:rsid w:val="00C733A5"/>
    <w:rsid w:val="00C76CB5"/>
    <w:rsid w:val="00C76FC7"/>
    <w:rsid w:val="00C774F0"/>
    <w:rsid w:val="00C7765A"/>
    <w:rsid w:val="00C81F6C"/>
    <w:rsid w:val="00C8378C"/>
    <w:rsid w:val="00C90435"/>
    <w:rsid w:val="00C92C02"/>
    <w:rsid w:val="00C94710"/>
    <w:rsid w:val="00C9545A"/>
    <w:rsid w:val="00C960E0"/>
    <w:rsid w:val="00C96ACA"/>
    <w:rsid w:val="00CA340B"/>
    <w:rsid w:val="00CA35CA"/>
    <w:rsid w:val="00CA3AE1"/>
    <w:rsid w:val="00CA4084"/>
    <w:rsid w:val="00CA4444"/>
    <w:rsid w:val="00CA4782"/>
    <w:rsid w:val="00CA5AF2"/>
    <w:rsid w:val="00CA692D"/>
    <w:rsid w:val="00CA6A60"/>
    <w:rsid w:val="00CB2D79"/>
    <w:rsid w:val="00CB3685"/>
    <w:rsid w:val="00CB5846"/>
    <w:rsid w:val="00CB6036"/>
    <w:rsid w:val="00CB7700"/>
    <w:rsid w:val="00CC0C8B"/>
    <w:rsid w:val="00CC12F5"/>
    <w:rsid w:val="00CC3B40"/>
    <w:rsid w:val="00CC3DCB"/>
    <w:rsid w:val="00CC3E0E"/>
    <w:rsid w:val="00CC46E9"/>
    <w:rsid w:val="00CC7A2B"/>
    <w:rsid w:val="00CD03AB"/>
    <w:rsid w:val="00CD4240"/>
    <w:rsid w:val="00CD72C3"/>
    <w:rsid w:val="00CD7EF7"/>
    <w:rsid w:val="00CE2698"/>
    <w:rsid w:val="00CE27E8"/>
    <w:rsid w:val="00CE29C1"/>
    <w:rsid w:val="00CE337B"/>
    <w:rsid w:val="00CE5BA3"/>
    <w:rsid w:val="00CE639D"/>
    <w:rsid w:val="00CE7883"/>
    <w:rsid w:val="00CE7AF2"/>
    <w:rsid w:val="00CF1916"/>
    <w:rsid w:val="00CF39B9"/>
    <w:rsid w:val="00CF54CC"/>
    <w:rsid w:val="00D0370B"/>
    <w:rsid w:val="00D03B7A"/>
    <w:rsid w:val="00D03F0E"/>
    <w:rsid w:val="00D04FB2"/>
    <w:rsid w:val="00D145F6"/>
    <w:rsid w:val="00D14F47"/>
    <w:rsid w:val="00D15235"/>
    <w:rsid w:val="00D16085"/>
    <w:rsid w:val="00D1716B"/>
    <w:rsid w:val="00D209E2"/>
    <w:rsid w:val="00D20AC2"/>
    <w:rsid w:val="00D21B39"/>
    <w:rsid w:val="00D25F33"/>
    <w:rsid w:val="00D26098"/>
    <w:rsid w:val="00D357A0"/>
    <w:rsid w:val="00D405DE"/>
    <w:rsid w:val="00D43FC1"/>
    <w:rsid w:val="00D44A4D"/>
    <w:rsid w:val="00D45D78"/>
    <w:rsid w:val="00D460C0"/>
    <w:rsid w:val="00D473E3"/>
    <w:rsid w:val="00D552CD"/>
    <w:rsid w:val="00D56533"/>
    <w:rsid w:val="00D57DD5"/>
    <w:rsid w:val="00D6317F"/>
    <w:rsid w:val="00D67D51"/>
    <w:rsid w:val="00D72A50"/>
    <w:rsid w:val="00D73223"/>
    <w:rsid w:val="00D73A77"/>
    <w:rsid w:val="00D752DF"/>
    <w:rsid w:val="00D76434"/>
    <w:rsid w:val="00D76E3A"/>
    <w:rsid w:val="00D809C6"/>
    <w:rsid w:val="00D8186C"/>
    <w:rsid w:val="00D82EA6"/>
    <w:rsid w:val="00D83812"/>
    <w:rsid w:val="00D846A3"/>
    <w:rsid w:val="00D85233"/>
    <w:rsid w:val="00D86347"/>
    <w:rsid w:val="00D9279E"/>
    <w:rsid w:val="00D94B2C"/>
    <w:rsid w:val="00D95107"/>
    <w:rsid w:val="00D95CB2"/>
    <w:rsid w:val="00DA207F"/>
    <w:rsid w:val="00DA39F1"/>
    <w:rsid w:val="00DA4303"/>
    <w:rsid w:val="00DA4373"/>
    <w:rsid w:val="00DA5C2F"/>
    <w:rsid w:val="00DA6D80"/>
    <w:rsid w:val="00DB0921"/>
    <w:rsid w:val="00DB169B"/>
    <w:rsid w:val="00DB41F1"/>
    <w:rsid w:val="00DB45FB"/>
    <w:rsid w:val="00DB50D4"/>
    <w:rsid w:val="00DC178F"/>
    <w:rsid w:val="00DC699F"/>
    <w:rsid w:val="00DC7E55"/>
    <w:rsid w:val="00DD0561"/>
    <w:rsid w:val="00DD1EE0"/>
    <w:rsid w:val="00DD3A64"/>
    <w:rsid w:val="00DD60BF"/>
    <w:rsid w:val="00DE0701"/>
    <w:rsid w:val="00DE6671"/>
    <w:rsid w:val="00DE6CA4"/>
    <w:rsid w:val="00DE77AC"/>
    <w:rsid w:val="00DF116E"/>
    <w:rsid w:val="00DF355D"/>
    <w:rsid w:val="00DF4E35"/>
    <w:rsid w:val="00E02C05"/>
    <w:rsid w:val="00E039C0"/>
    <w:rsid w:val="00E051D4"/>
    <w:rsid w:val="00E07A9F"/>
    <w:rsid w:val="00E111CF"/>
    <w:rsid w:val="00E125CA"/>
    <w:rsid w:val="00E128C2"/>
    <w:rsid w:val="00E13F84"/>
    <w:rsid w:val="00E15E17"/>
    <w:rsid w:val="00E16B4F"/>
    <w:rsid w:val="00E16F53"/>
    <w:rsid w:val="00E21199"/>
    <w:rsid w:val="00E22A97"/>
    <w:rsid w:val="00E22BF5"/>
    <w:rsid w:val="00E22EB6"/>
    <w:rsid w:val="00E2491A"/>
    <w:rsid w:val="00E24DA2"/>
    <w:rsid w:val="00E27CC7"/>
    <w:rsid w:val="00E32069"/>
    <w:rsid w:val="00E339A2"/>
    <w:rsid w:val="00E340B2"/>
    <w:rsid w:val="00E34D11"/>
    <w:rsid w:val="00E34DED"/>
    <w:rsid w:val="00E35B67"/>
    <w:rsid w:val="00E36265"/>
    <w:rsid w:val="00E37E7F"/>
    <w:rsid w:val="00E42027"/>
    <w:rsid w:val="00E42568"/>
    <w:rsid w:val="00E439A9"/>
    <w:rsid w:val="00E44629"/>
    <w:rsid w:val="00E44776"/>
    <w:rsid w:val="00E44C3E"/>
    <w:rsid w:val="00E45DC2"/>
    <w:rsid w:val="00E469BD"/>
    <w:rsid w:val="00E46EDE"/>
    <w:rsid w:val="00E50A05"/>
    <w:rsid w:val="00E511E6"/>
    <w:rsid w:val="00E51640"/>
    <w:rsid w:val="00E51FA2"/>
    <w:rsid w:val="00E53E05"/>
    <w:rsid w:val="00E5442E"/>
    <w:rsid w:val="00E61E54"/>
    <w:rsid w:val="00E6268E"/>
    <w:rsid w:val="00E63231"/>
    <w:rsid w:val="00E645E9"/>
    <w:rsid w:val="00E66E58"/>
    <w:rsid w:val="00E7097D"/>
    <w:rsid w:val="00E735AA"/>
    <w:rsid w:val="00E73DA8"/>
    <w:rsid w:val="00E75096"/>
    <w:rsid w:val="00E75735"/>
    <w:rsid w:val="00E760ED"/>
    <w:rsid w:val="00E76F61"/>
    <w:rsid w:val="00E776F3"/>
    <w:rsid w:val="00E81C9F"/>
    <w:rsid w:val="00E82A27"/>
    <w:rsid w:val="00E83329"/>
    <w:rsid w:val="00E85014"/>
    <w:rsid w:val="00E86561"/>
    <w:rsid w:val="00E86EF1"/>
    <w:rsid w:val="00E919FC"/>
    <w:rsid w:val="00E91A1E"/>
    <w:rsid w:val="00E92E60"/>
    <w:rsid w:val="00E93676"/>
    <w:rsid w:val="00E941F8"/>
    <w:rsid w:val="00E96D92"/>
    <w:rsid w:val="00E9726E"/>
    <w:rsid w:val="00EA1C32"/>
    <w:rsid w:val="00EA5A72"/>
    <w:rsid w:val="00EB1AC1"/>
    <w:rsid w:val="00EB3576"/>
    <w:rsid w:val="00EB386D"/>
    <w:rsid w:val="00EB42FD"/>
    <w:rsid w:val="00EB5EE3"/>
    <w:rsid w:val="00EC1485"/>
    <w:rsid w:val="00EC25A4"/>
    <w:rsid w:val="00EC77CF"/>
    <w:rsid w:val="00ED010D"/>
    <w:rsid w:val="00ED294E"/>
    <w:rsid w:val="00ED2F73"/>
    <w:rsid w:val="00ED4726"/>
    <w:rsid w:val="00ED5EAF"/>
    <w:rsid w:val="00ED7AA1"/>
    <w:rsid w:val="00EE1813"/>
    <w:rsid w:val="00EE44E9"/>
    <w:rsid w:val="00EE7027"/>
    <w:rsid w:val="00EF2036"/>
    <w:rsid w:val="00EF22A7"/>
    <w:rsid w:val="00EF28A2"/>
    <w:rsid w:val="00EF2EEC"/>
    <w:rsid w:val="00EF318A"/>
    <w:rsid w:val="00EF3284"/>
    <w:rsid w:val="00EF3AA9"/>
    <w:rsid w:val="00EF54AC"/>
    <w:rsid w:val="00EF6857"/>
    <w:rsid w:val="00F006E2"/>
    <w:rsid w:val="00F00957"/>
    <w:rsid w:val="00F014A5"/>
    <w:rsid w:val="00F04AF3"/>
    <w:rsid w:val="00F0577A"/>
    <w:rsid w:val="00F07E0B"/>
    <w:rsid w:val="00F10953"/>
    <w:rsid w:val="00F12D9F"/>
    <w:rsid w:val="00F13E7B"/>
    <w:rsid w:val="00F1761A"/>
    <w:rsid w:val="00F17763"/>
    <w:rsid w:val="00F214F1"/>
    <w:rsid w:val="00F227A0"/>
    <w:rsid w:val="00F23A61"/>
    <w:rsid w:val="00F23D84"/>
    <w:rsid w:val="00F24906"/>
    <w:rsid w:val="00F262E8"/>
    <w:rsid w:val="00F26354"/>
    <w:rsid w:val="00F2715F"/>
    <w:rsid w:val="00F27384"/>
    <w:rsid w:val="00F31A95"/>
    <w:rsid w:val="00F34660"/>
    <w:rsid w:val="00F35324"/>
    <w:rsid w:val="00F361E7"/>
    <w:rsid w:val="00F36A46"/>
    <w:rsid w:val="00F37AFF"/>
    <w:rsid w:val="00F40B73"/>
    <w:rsid w:val="00F4167A"/>
    <w:rsid w:val="00F42765"/>
    <w:rsid w:val="00F43909"/>
    <w:rsid w:val="00F45D4D"/>
    <w:rsid w:val="00F46293"/>
    <w:rsid w:val="00F50A2D"/>
    <w:rsid w:val="00F52CA2"/>
    <w:rsid w:val="00F55573"/>
    <w:rsid w:val="00F55EE1"/>
    <w:rsid w:val="00F56915"/>
    <w:rsid w:val="00F57527"/>
    <w:rsid w:val="00F61768"/>
    <w:rsid w:val="00F63536"/>
    <w:rsid w:val="00F63A17"/>
    <w:rsid w:val="00F647FE"/>
    <w:rsid w:val="00F66730"/>
    <w:rsid w:val="00F674DA"/>
    <w:rsid w:val="00F7040E"/>
    <w:rsid w:val="00F70CC4"/>
    <w:rsid w:val="00F70EC2"/>
    <w:rsid w:val="00F71129"/>
    <w:rsid w:val="00F752EF"/>
    <w:rsid w:val="00F76FEF"/>
    <w:rsid w:val="00F774E0"/>
    <w:rsid w:val="00F81999"/>
    <w:rsid w:val="00F83A18"/>
    <w:rsid w:val="00F859C4"/>
    <w:rsid w:val="00F86608"/>
    <w:rsid w:val="00F914DD"/>
    <w:rsid w:val="00F92835"/>
    <w:rsid w:val="00F973A2"/>
    <w:rsid w:val="00FA1425"/>
    <w:rsid w:val="00FA2F30"/>
    <w:rsid w:val="00FA5006"/>
    <w:rsid w:val="00FA50B4"/>
    <w:rsid w:val="00FA6E16"/>
    <w:rsid w:val="00FA7890"/>
    <w:rsid w:val="00FA7D78"/>
    <w:rsid w:val="00FB0EB7"/>
    <w:rsid w:val="00FB2F4E"/>
    <w:rsid w:val="00FB3E46"/>
    <w:rsid w:val="00FB4A58"/>
    <w:rsid w:val="00FB561D"/>
    <w:rsid w:val="00FB648B"/>
    <w:rsid w:val="00FC2CF3"/>
    <w:rsid w:val="00FC47B2"/>
    <w:rsid w:val="00FC52CD"/>
    <w:rsid w:val="00FD0A48"/>
    <w:rsid w:val="00FD3A66"/>
    <w:rsid w:val="00FD4700"/>
    <w:rsid w:val="00FD4B6C"/>
    <w:rsid w:val="00FD57E5"/>
    <w:rsid w:val="00FE2259"/>
    <w:rsid w:val="00FE264D"/>
    <w:rsid w:val="00FE30CC"/>
    <w:rsid w:val="00FF0A34"/>
    <w:rsid w:val="00FF12E3"/>
    <w:rsid w:val="00FF226A"/>
    <w:rsid w:val="00FF236B"/>
    <w:rsid w:val="00FF2692"/>
    <w:rsid w:val="00FF7406"/>
    <w:rsid w:val="00FF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19419"/>
  <w15:chartTrackingRefBased/>
  <w15:docId w15:val="{B23C0A8C-4DA9-4EF7-AC5E-557E3853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B87"/>
  </w:style>
  <w:style w:type="paragraph" w:styleId="Heading1">
    <w:name w:val="heading 1"/>
    <w:basedOn w:val="Normal"/>
    <w:next w:val="Normal"/>
    <w:link w:val="Heading1Char"/>
    <w:uiPriority w:val="9"/>
    <w:qFormat/>
    <w:rsid w:val="00EF22A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F68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4D1"/>
    <w:pPr>
      <w:tabs>
        <w:tab w:val="center" w:pos="4680"/>
        <w:tab w:val="right" w:pos="9360"/>
      </w:tabs>
      <w:spacing w:line="240" w:lineRule="auto"/>
    </w:pPr>
  </w:style>
  <w:style w:type="character" w:customStyle="1" w:styleId="HeaderChar">
    <w:name w:val="Header Char"/>
    <w:basedOn w:val="DefaultParagraphFont"/>
    <w:link w:val="Header"/>
    <w:uiPriority w:val="99"/>
    <w:rsid w:val="007B04D1"/>
  </w:style>
  <w:style w:type="paragraph" w:styleId="Footer">
    <w:name w:val="footer"/>
    <w:basedOn w:val="Normal"/>
    <w:link w:val="FooterChar"/>
    <w:uiPriority w:val="99"/>
    <w:unhideWhenUsed/>
    <w:rsid w:val="007B04D1"/>
    <w:pPr>
      <w:tabs>
        <w:tab w:val="center" w:pos="4680"/>
        <w:tab w:val="right" w:pos="9360"/>
      </w:tabs>
      <w:spacing w:line="240" w:lineRule="auto"/>
    </w:pPr>
  </w:style>
  <w:style w:type="character" w:customStyle="1" w:styleId="FooterChar">
    <w:name w:val="Footer Char"/>
    <w:basedOn w:val="DefaultParagraphFont"/>
    <w:link w:val="Footer"/>
    <w:uiPriority w:val="99"/>
    <w:rsid w:val="007B04D1"/>
  </w:style>
  <w:style w:type="character" w:styleId="Hyperlink">
    <w:name w:val="Hyperlink"/>
    <w:basedOn w:val="DefaultParagraphFont"/>
    <w:uiPriority w:val="99"/>
    <w:unhideWhenUsed/>
    <w:rsid w:val="00E96D92"/>
    <w:rPr>
      <w:color w:val="0563C1" w:themeColor="hyperlink"/>
      <w:u w:val="single"/>
    </w:rPr>
  </w:style>
  <w:style w:type="character" w:customStyle="1" w:styleId="UnresolvedMention1">
    <w:name w:val="Unresolved Mention1"/>
    <w:basedOn w:val="DefaultParagraphFont"/>
    <w:uiPriority w:val="99"/>
    <w:semiHidden/>
    <w:unhideWhenUsed/>
    <w:rsid w:val="00E96D92"/>
    <w:rPr>
      <w:color w:val="605E5C"/>
      <w:shd w:val="clear" w:color="auto" w:fill="E1DFDD"/>
    </w:rPr>
  </w:style>
  <w:style w:type="character" w:styleId="CommentReference">
    <w:name w:val="annotation reference"/>
    <w:basedOn w:val="DefaultParagraphFont"/>
    <w:uiPriority w:val="99"/>
    <w:semiHidden/>
    <w:unhideWhenUsed/>
    <w:rsid w:val="00082B4A"/>
    <w:rPr>
      <w:sz w:val="16"/>
      <w:szCs w:val="16"/>
    </w:rPr>
  </w:style>
  <w:style w:type="paragraph" w:styleId="CommentText">
    <w:name w:val="annotation text"/>
    <w:basedOn w:val="Normal"/>
    <w:link w:val="CommentTextChar"/>
    <w:uiPriority w:val="99"/>
    <w:unhideWhenUsed/>
    <w:rsid w:val="00082B4A"/>
    <w:pPr>
      <w:spacing w:line="240" w:lineRule="auto"/>
    </w:pPr>
    <w:rPr>
      <w:sz w:val="20"/>
      <w:szCs w:val="20"/>
    </w:rPr>
  </w:style>
  <w:style w:type="character" w:customStyle="1" w:styleId="CommentTextChar">
    <w:name w:val="Comment Text Char"/>
    <w:basedOn w:val="DefaultParagraphFont"/>
    <w:link w:val="CommentText"/>
    <w:uiPriority w:val="99"/>
    <w:rsid w:val="00082B4A"/>
    <w:rPr>
      <w:sz w:val="20"/>
      <w:szCs w:val="20"/>
    </w:rPr>
  </w:style>
  <w:style w:type="paragraph" w:styleId="CommentSubject">
    <w:name w:val="annotation subject"/>
    <w:basedOn w:val="CommentText"/>
    <w:next w:val="CommentText"/>
    <w:link w:val="CommentSubjectChar"/>
    <w:uiPriority w:val="99"/>
    <w:semiHidden/>
    <w:unhideWhenUsed/>
    <w:rsid w:val="00082B4A"/>
    <w:rPr>
      <w:b/>
      <w:bCs/>
    </w:rPr>
  </w:style>
  <w:style w:type="character" w:customStyle="1" w:styleId="CommentSubjectChar">
    <w:name w:val="Comment Subject Char"/>
    <w:basedOn w:val="CommentTextChar"/>
    <w:link w:val="CommentSubject"/>
    <w:uiPriority w:val="99"/>
    <w:semiHidden/>
    <w:rsid w:val="00082B4A"/>
    <w:rPr>
      <w:b/>
      <w:bCs/>
      <w:sz w:val="20"/>
      <w:szCs w:val="20"/>
    </w:rPr>
  </w:style>
  <w:style w:type="paragraph" w:styleId="BalloonText">
    <w:name w:val="Balloon Text"/>
    <w:basedOn w:val="Normal"/>
    <w:link w:val="BalloonTextChar"/>
    <w:uiPriority w:val="99"/>
    <w:semiHidden/>
    <w:unhideWhenUsed/>
    <w:rsid w:val="00082B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B4A"/>
    <w:rPr>
      <w:rFonts w:ascii="Segoe UI" w:hAnsi="Segoe UI" w:cs="Segoe UI"/>
      <w:sz w:val="18"/>
      <w:szCs w:val="18"/>
    </w:rPr>
  </w:style>
  <w:style w:type="table" w:styleId="TableGrid">
    <w:name w:val="Table Grid"/>
    <w:basedOn w:val="TableNormal"/>
    <w:uiPriority w:val="39"/>
    <w:rsid w:val="00AB63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30E"/>
    <w:pPr>
      <w:ind w:left="720"/>
      <w:contextualSpacing/>
    </w:pPr>
  </w:style>
  <w:style w:type="paragraph" w:styleId="Revision">
    <w:name w:val="Revision"/>
    <w:hidden/>
    <w:uiPriority w:val="99"/>
    <w:semiHidden/>
    <w:rsid w:val="00167FE4"/>
    <w:pPr>
      <w:spacing w:line="240" w:lineRule="auto"/>
    </w:pPr>
  </w:style>
  <w:style w:type="character" w:customStyle="1" w:styleId="Heading1Char">
    <w:name w:val="Heading 1 Char"/>
    <w:basedOn w:val="DefaultParagraphFont"/>
    <w:link w:val="Heading1"/>
    <w:uiPriority w:val="9"/>
    <w:rsid w:val="00EF22A7"/>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9244BD"/>
    <w:rPr>
      <w:color w:val="605E5C"/>
      <w:shd w:val="clear" w:color="auto" w:fill="E1DFDD"/>
    </w:rPr>
  </w:style>
  <w:style w:type="character" w:customStyle="1" w:styleId="Heading4Char">
    <w:name w:val="Heading 4 Char"/>
    <w:basedOn w:val="DefaultParagraphFont"/>
    <w:link w:val="Heading4"/>
    <w:uiPriority w:val="9"/>
    <w:semiHidden/>
    <w:rsid w:val="00EF6857"/>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4509C0"/>
    <w:pPr>
      <w:spacing w:line="240" w:lineRule="auto"/>
    </w:pPr>
    <w:rPr>
      <w:sz w:val="20"/>
      <w:szCs w:val="20"/>
    </w:rPr>
  </w:style>
  <w:style w:type="character" w:customStyle="1" w:styleId="FootnoteTextChar">
    <w:name w:val="Footnote Text Char"/>
    <w:basedOn w:val="DefaultParagraphFont"/>
    <w:link w:val="FootnoteText"/>
    <w:uiPriority w:val="99"/>
    <w:semiHidden/>
    <w:rsid w:val="004509C0"/>
    <w:rPr>
      <w:sz w:val="20"/>
      <w:szCs w:val="20"/>
    </w:rPr>
  </w:style>
  <w:style w:type="character" w:styleId="FootnoteReference">
    <w:name w:val="footnote reference"/>
    <w:basedOn w:val="DefaultParagraphFont"/>
    <w:uiPriority w:val="99"/>
    <w:semiHidden/>
    <w:unhideWhenUsed/>
    <w:rsid w:val="004509C0"/>
    <w:rPr>
      <w:vertAlign w:val="superscript"/>
    </w:rPr>
  </w:style>
  <w:style w:type="character" w:styleId="UnresolvedMention">
    <w:name w:val="Unresolved Mention"/>
    <w:basedOn w:val="DefaultParagraphFont"/>
    <w:uiPriority w:val="99"/>
    <w:semiHidden/>
    <w:unhideWhenUsed/>
    <w:rsid w:val="006E5F97"/>
    <w:rPr>
      <w:color w:val="605E5C"/>
      <w:shd w:val="clear" w:color="auto" w:fill="E1DFDD"/>
    </w:rPr>
  </w:style>
  <w:style w:type="table" w:customStyle="1" w:styleId="TableGrid1">
    <w:name w:val="Table Grid1"/>
    <w:basedOn w:val="TableNormal"/>
    <w:next w:val="TableGrid"/>
    <w:uiPriority w:val="39"/>
    <w:rsid w:val="006E5F97"/>
    <w:pPr>
      <w:spacing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534">
      <w:bodyDiv w:val="1"/>
      <w:marLeft w:val="0"/>
      <w:marRight w:val="0"/>
      <w:marTop w:val="0"/>
      <w:marBottom w:val="0"/>
      <w:divBdr>
        <w:top w:val="none" w:sz="0" w:space="0" w:color="auto"/>
        <w:left w:val="none" w:sz="0" w:space="0" w:color="auto"/>
        <w:bottom w:val="none" w:sz="0" w:space="0" w:color="auto"/>
        <w:right w:val="none" w:sz="0" w:space="0" w:color="auto"/>
      </w:divBdr>
    </w:div>
    <w:div w:id="99692646">
      <w:bodyDiv w:val="1"/>
      <w:marLeft w:val="0"/>
      <w:marRight w:val="0"/>
      <w:marTop w:val="0"/>
      <w:marBottom w:val="0"/>
      <w:divBdr>
        <w:top w:val="none" w:sz="0" w:space="0" w:color="auto"/>
        <w:left w:val="none" w:sz="0" w:space="0" w:color="auto"/>
        <w:bottom w:val="none" w:sz="0" w:space="0" w:color="auto"/>
        <w:right w:val="none" w:sz="0" w:space="0" w:color="auto"/>
      </w:divBdr>
    </w:div>
    <w:div w:id="153184346">
      <w:bodyDiv w:val="1"/>
      <w:marLeft w:val="0"/>
      <w:marRight w:val="0"/>
      <w:marTop w:val="0"/>
      <w:marBottom w:val="0"/>
      <w:divBdr>
        <w:top w:val="none" w:sz="0" w:space="0" w:color="auto"/>
        <w:left w:val="none" w:sz="0" w:space="0" w:color="auto"/>
        <w:bottom w:val="none" w:sz="0" w:space="0" w:color="auto"/>
        <w:right w:val="none" w:sz="0" w:space="0" w:color="auto"/>
      </w:divBdr>
    </w:div>
    <w:div w:id="227037349">
      <w:bodyDiv w:val="1"/>
      <w:marLeft w:val="0"/>
      <w:marRight w:val="0"/>
      <w:marTop w:val="0"/>
      <w:marBottom w:val="0"/>
      <w:divBdr>
        <w:top w:val="none" w:sz="0" w:space="0" w:color="auto"/>
        <w:left w:val="none" w:sz="0" w:space="0" w:color="auto"/>
        <w:bottom w:val="none" w:sz="0" w:space="0" w:color="auto"/>
        <w:right w:val="none" w:sz="0" w:space="0" w:color="auto"/>
      </w:divBdr>
    </w:div>
    <w:div w:id="267934037">
      <w:bodyDiv w:val="1"/>
      <w:marLeft w:val="0"/>
      <w:marRight w:val="0"/>
      <w:marTop w:val="0"/>
      <w:marBottom w:val="0"/>
      <w:divBdr>
        <w:top w:val="none" w:sz="0" w:space="0" w:color="auto"/>
        <w:left w:val="none" w:sz="0" w:space="0" w:color="auto"/>
        <w:bottom w:val="none" w:sz="0" w:space="0" w:color="auto"/>
        <w:right w:val="none" w:sz="0" w:space="0" w:color="auto"/>
      </w:divBdr>
    </w:div>
    <w:div w:id="272322196">
      <w:bodyDiv w:val="1"/>
      <w:marLeft w:val="0"/>
      <w:marRight w:val="0"/>
      <w:marTop w:val="0"/>
      <w:marBottom w:val="0"/>
      <w:divBdr>
        <w:top w:val="none" w:sz="0" w:space="0" w:color="auto"/>
        <w:left w:val="none" w:sz="0" w:space="0" w:color="auto"/>
        <w:bottom w:val="none" w:sz="0" w:space="0" w:color="auto"/>
        <w:right w:val="none" w:sz="0" w:space="0" w:color="auto"/>
      </w:divBdr>
    </w:div>
    <w:div w:id="345638614">
      <w:bodyDiv w:val="1"/>
      <w:marLeft w:val="0"/>
      <w:marRight w:val="0"/>
      <w:marTop w:val="0"/>
      <w:marBottom w:val="0"/>
      <w:divBdr>
        <w:top w:val="none" w:sz="0" w:space="0" w:color="auto"/>
        <w:left w:val="none" w:sz="0" w:space="0" w:color="auto"/>
        <w:bottom w:val="none" w:sz="0" w:space="0" w:color="auto"/>
        <w:right w:val="none" w:sz="0" w:space="0" w:color="auto"/>
      </w:divBdr>
      <w:divsChild>
        <w:div w:id="167062261">
          <w:marLeft w:val="0"/>
          <w:marRight w:val="-7980"/>
          <w:marTop w:val="0"/>
          <w:marBottom w:val="0"/>
          <w:divBdr>
            <w:top w:val="none" w:sz="0" w:space="0" w:color="auto"/>
            <w:left w:val="none" w:sz="0" w:space="0" w:color="auto"/>
            <w:bottom w:val="none" w:sz="0" w:space="0" w:color="auto"/>
            <w:right w:val="none" w:sz="0" w:space="0" w:color="auto"/>
          </w:divBdr>
        </w:div>
        <w:div w:id="687950633">
          <w:marLeft w:val="0"/>
          <w:marRight w:val="-7980"/>
          <w:marTop w:val="0"/>
          <w:marBottom w:val="0"/>
          <w:divBdr>
            <w:top w:val="none" w:sz="0" w:space="0" w:color="auto"/>
            <w:left w:val="none" w:sz="0" w:space="0" w:color="auto"/>
            <w:bottom w:val="none" w:sz="0" w:space="0" w:color="auto"/>
            <w:right w:val="none" w:sz="0" w:space="0" w:color="auto"/>
          </w:divBdr>
        </w:div>
        <w:div w:id="833880467">
          <w:marLeft w:val="0"/>
          <w:marRight w:val="-7980"/>
          <w:marTop w:val="0"/>
          <w:marBottom w:val="0"/>
          <w:divBdr>
            <w:top w:val="none" w:sz="0" w:space="0" w:color="auto"/>
            <w:left w:val="none" w:sz="0" w:space="0" w:color="auto"/>
            <w:bottom w:val="none" w:sz="0" w:space="0" w:color="auto"/>
            <w:right w:val="none" w:sz="0" w:space="0" w:color="auto"/>
          </w:divBdr>
        </w:div>
        <w:div w:id="921447168">
          <w:marLeft w:val="0"/>
          <w:marRight w:val="-7980"/>
          <w:marTop w:val="0"/>
          <w:marBottom w:val="0"/>
          <w:divBdr>
            <w:top w:val="none" w:sz="0" w:space="0" w:color="auto"/>
            <w:left w:val="none" w:sz="0" w:space="0" w:color="auto"/>
            <w:bottom w:val="none" w:sz="0" w:space="0" w:color="auto"/>
            <w:right w:val="none" w:sz="0" w:space="0" w:color="auto"/>
          </w:divBdr>
        </w:div>
        <w:div w:id="1273053206">
          <w:marLeft w:val="0"/>
          <w:marRight w:val="-7980"/>
          <w:marTop w:val="0"/>
          <w:marBottom w:val="0"/>
          <w:divBdr>
            <w:top w:val="none" w:sz="0" w:space="0" w:color="auto"/>
            <w:left w:val="none" w:sz="0" w:space="0" w:color="auto"/>
            <w:bottom w:val="none" w:sz="0" w:space="0" w:color="auto"/>
            <w:right w:val="none" w:sz="0" w:space="0" w:color="auto"/>
          </w:divBdr>
        </w:div>
        <w:div w:id="1819371548">
          <w:marLeft w:val="0"/>
          <w:marRight w:val="-7980"/>
          <w:marTop w:val="0"/>
          <w:marBottom w:val="0"/>
          <w:divBdr>
            <w:top w:val="none" w:sz="0" w:space="0" w:color="auto"/>
            <w:left w:val="none" w:sz="0" w:space="0" w:color="auto"/>
            <w:bottom w:val="none" w:sz="0" w:space="0" w:color="auto"/>
            <w:right w:val="none" w:sz="0" w:space="0" w:color="auto"/>
          </w:divBdr>
        </w:div>
        <w:div w:id="1893157483">
          <w:marLeft w:val="0"/>
          <w:marRight w:val="-7980"/>
          <w:marTop w:val="0"/>
          <w:marBottom w:val="0"/>
          <w:divBdr>
            <w:top w:val="none" w:sz="0" w:space="0" w:color="auto"/>
            <w:left w:val="none" w:sz="0" w:space="0" w:color="auto"/>
            <w:bottom w:val="none" w:sz="0" w:space="0" w:color="auto"/>
            <w:right w:val="none" w:sz="0" w:space="0" w:color="auto"/>
          </w:divBdr>
        </w:div>
        <w:div w:id="1981303121">
          <w:marLeft w:val="0"/>
          <w:marRight w:val="-7980"/>
          <w:marTop w:val="0"/>
          <w:marBottom w:val="0"/>
          <w:divBdr>
            <w:top w:val="none" w:sz="0" w:space="0" w:color="auto"/>
            <w:left w:val="none" w:sz="0" w:space="0" w:color="auto"/>
            <w:bottom w:val="none" w:sz="0" w:space="0" w:color="auto"/>
            <w:right w:val="none" w:sz="0" w:space="0" w:color="auto"/>
          </w:divBdr>
        </w:div>
      </w:divsChild>
    </w:div>
    <w:div w:id="373623384">
      <w:bodyDiv w:val="1"/>
      <w:marLeft w:val="0"/>
      <w:marRight w:val="0"/>
      <w:marTop w:val="0"/>
      <w:marBottom w:val="0"/>
      <w:divBdr>
        <w:top w:val="none" w:sz="0" w:space="0" w:color="auto"/>
        <w:left w:val="none" w:sz="0" w:space="0" w:color="auto"/>
        <w:bottom w:val="none" w:sz="0" w:space="0" w:color="auto"/>
        <w:right w:val="none" w:sz="0" w:space="0" w:color="auto"/>
      </w:divBdr>
      <w:divsChild>
        <w:div w:id="397748812">
          <w:marLeft w:val="0"/>
          <w:marRight w:val="0"/>
          <w:marTop w:val="0"/>
          <w:marBottom w:val="0"/>
          <w:divBdr>
            <w:top w:val="none" w:sz="0" w:space="0" w:color="auto"/>
            <w:left w:val="none" w:sz="0" w:space="0" w:color="auto"/>
            <w:bottom w:val="none" w:sz="0" w:space="0" w:color="auto"/>
            <w:right w:val="none" w:sz="0" w:space="0" w:color="auto"/>
          </w:divBdr>
        </w:div>
        <w:div w:id="926961027">
          <w:marLeft w:val="0"/>
          <w:marRight w:val="0"/>
          <w:marTop w:val="0"/>
          <w:marBottom w:val="0"/>
          <w:divBdr>
            <w:top w:val="none" w:sz="0" w:space="0" w:color="auto"/>
            <w:left w:val="none" w:sz="0" w:space="0" w:color="auto"/>
            <w:bottom w:val="none" w:sz="0" w:space="0" w:color="auto"/>
            <w:right w:val="none" w:sz="0" w:space="0" w:color="auto"/>
          </w:divBdr>
        </w:div>
        <w:div w:id="1272669120">
          <w:marLeft w:val="0"/>
          <w:marRight w:val="0"/>
          <w:marTop w:val="0"/>
          <w:marBottom w:val="0"/>
          <w:divBdr>
            <w:top w:val="none" w:sz="0" w:space="0" w:color="auto"/>
            <w:left w:val="none" w:sz="0" w:space="0" w:color="auto"/>
            <w:bottom w:val="none" w:sz="0" w:space="0" w:color="auto"/>
            <w:right w:val="none" w:sz="0" w:space="0" w:color="auto"/>
          </w:divBdr>
        </w:div>
        <w:div w:id="1277253086">
          <w:marLeft w:val="0"/>
          <w:marRight w:val="0"/>
          <w:marTop w:val="0"/>
          <w:marBottom w:val="0"/>
          <w:divBdr>
            <w:top w:val="none" w:sz="0" w:space="0" w:color="auto"/>
            <w:left w:val="none" w:sz="0" w:space="0" w:color="auto"/>
            <w:bottom w:val="none" w:sz="0" w:space="0" w:color="auto"/>
            <w:right w:val="none" w:sz="0" w:space="0" w:color="auto"/>
          </w:divBdr>
        </w:div>
        <w:div w:id="1887714819">
          <w:marLeft w:val="0"/>
          <w:marRight w:val="0"/>
          <w:marTop w:val="0"/>
          <w:marBottom w:val="0"/>
          <w:divBdr>
            <w:top w:val="none" w:sz="0" w:space="0" w:color="auto"/>
            <w:left w:val="none" w:sz="0" w:space="0" w:color="auto"/>
            <w:bottom w:val="none" w:sz="0" w:space="0" w:color="auto"/>
            <w:right w:val="none" w:sz="0" w:space="0" w:color="auto"/>
          </w:divBdr>
        </w:div>
      </w:divsChild>
    </w:div>
    <w:div w:id="529220609">
      <w:bodyDiv w:val="1"/>
      <w:marLeft w:val="0"/>
      <w:marRight w:val="0"/>
      <w:marTop w:val="0"/>
      <w:marBottom w:val="0"/>
      <w:divBdr>
        <w:top w:val="none" w:sz="0" w:space="0" w:color="auto"/>
        <w:left w:val="none" w:sz="0" w:space="0" w:color="auto"/>
        <w:bottom w:val="none" w:sz="0" w:space="0" w:color="auto"/>
        <w:right w:val="none" w:sz="0" w:space="0" w:color="auto"/>
      </w:divBdr>
    </w:div>
    <w:div w:id="573585216">
      <w:bodyDiv w:val="1"/>
      <w:marLeft w:val="0"/>
      <w:marRight w:val="0"/>
      <w:marTop w:val="0"/>
      <w:marBottom w:val="0"/>
      <w:divBdr>
        <w:top w:val="none" w:sz="0" w:space="0" w:color="auto"/>
        <w:left w:val="none" w:sz="0" w:space="0" w:color="auto"/>
        <w:bottom w:val="none" w:sz="0" w:space="0" w:color="auto"/>
        <w:right w:val="none" w:sz="0" w:space="0" w:color="auto"/>
      </w:divBdr>
    </w:div>
    <w:div w:id="586576484">
      <w:bodyDiv w:val="1"/>
      <w:marLeft w:val="0"/>
      <w:marRight w:val="0"/>
      <w:marTop w:val="0"/>
      <w:marBottom w:val="0"/>
      <w:divBdr>
        <w:top w:val="none" w:sz="0" w:space="0" w:color="auto"/>
        <w:left w:val="none" w:sz="0" w:space="0" w:color="auto"/>
        <w:bottom w:val="none" w:sz="0" w:space="0" w:color="auto"/>
        <w:right w:val="none" w:sz="0" w:space="0" w:color="auto"/>
      </w:divBdr>
    </w:div>
    <w:div w:id="679047773">
      <w:bodyDiv w:val="1"/>
      <w:marLeft w:val="0"/>
      <w:marRight w:val="0"/>
      <w:marTop w:val="0"/>
      <w:marBottom w:val="0"/>
      <w:divBdr>
        <w:top w:val="none" w:sz="0" w:space="0" w:color="auto"/>
        <w:left w:val="none" w:sz="0" w:space="0" w:color="auto"/>
        <w:bottom w:val="none" w:sz="0" w:space="0" w:color="auto"/>
        <w:right w:val="none" w:sz="0" w:space="0" w:color="auto"/>
      </w:divBdr>
    </w:div>
    <w:div w:id="711616144">
      <w:bodyDiv w:val="1"/>
      <w:marLeft w:val="0"/>
      <w:marRight w:val="0"/>
      <w:marTop w:val="0"/>
      <w:marBottom w:val="0"/>
      <w:divBdr>
        <w:top w:val="none" w:sz="0" w:space="0" w:color="auto"/>
        <w:left w:val="none" w:sz="0" w:space="0" w:color="auto"/>
        <w:bottom w:val="none" w:sz="0" w:space="0" w:color="auto"/>
        <w:right w:val="none" w:sz="0" w:space="0" w:color="auto"/>
      </w:divBdr>
      <w:divsChild>
        <w:div w:id="210115255">
          <w:marLeft w:val="0"/>
          <w:marRight w:val="0"/>
          <w:marTop w:val="0"/>
          <w:marBottom w:val="0"/>
          <w:divBdr>
            <w:top w:val="none" w:sz="0" w:space="0" w:color="auto"/>
            <w:left w:val="none" w:sz="0" w:space="0" w:color="auto"/>
            <w:bottom w:val="none" w:sz="0" w:space="0" w:color="auto"/>
            <w:right w:val="none" w:sz="0" w:space="0" w:color="auto"/>
          </w:divBdr>
        </w:div>
        <w:div w:id="903682637">
          <w:marLeft w:val="0"/>
          <w:marRight w:val="0"/>
          <w:marTop w:val="0"/>
          <w:marBottom w:val="0"/>
          <w:divBdr>
            <w:top w:val="none" w:sz="0" w:space="0" w:color="auto"/>
            <w:left w:val="none" w:sz="0" w:space="0" w:color="auto"/>
            <w:bottom w:val="none" w:sz="0" w:space="0" w:color="auto"/>
            <w:right w:val="none" w:sz="0" w:space="0" w:color="auto"/>
          </w:divBdr>
        </w:div>
        <w:div w:id="1822768407">
          <w:marLeft w:val="0"/>
          <w:marRight w:val="0"/>
          <w:marTop w:val="0"/>
          <w:marBottom w:val="0"/>
          <w:divBdr>
            <w:top w:val="none" w:sz="0" w:space="0" w:color="auto"/>
            <w:left w:val="none" w:sz="0" w:space="0" w:color="auto"/>
            <w:bottom w:val="none" w:sz="0" w:space="0" w:color="auto"/>
            <w:right w:val="none" w:sz="0" w:space="0" w:color="auto"/>
          </w:divBdr>
        </w:div>
      </w:divsChild>
    </w:div>
    <w:div w:id="713383439">
      <w:bodyDiv w:val="1"/>
      <w:marLeft w:val="0"/>
      <w:marRight w:val="0"/>
      <w:marTop w:val="0"/>
      <w:marBottom w:val="0"/>
      <w:divBdr>
        <w:top w:val="none" w:sz="0" w:space="0" w:color="auto"/>
        <w:left w:val="none" w:sz="0" w:space="0" w:color="auto"/>
        <w:bottom w:val="none" w:sz="0" w:space="0" w:color="auto"/>
        <w:right w:val="none" w:sz="0" w:space="0" w:color="auto"/>
      </w:divBdr>
      <w:divsChild>
        <w:div w:id="197161526">
          <w:marLeft w:val="0"/>
          <w:marRight w:val="0"/>
          <w:marTop w:val="0"/>
          <w:marBottom w:val="0"/>
          <w:divBdr>
            <w:top w:val="none" w:sz="0" w:space="0" w:color="auto"/>
            <w:left w:val="none" w:sz="0" w:space="0" w:color="auto"/>
            <w:bottom w:val="none" w:sz="0" w:space="0" w:color="auto"/>
            <w:right w:val="none" w:sz="0" w:space="0" w:color="auto"/>
          </w:divBdr>
        </w:div>
        <w:div w:id="232549005">
          <w:marLeft w:val="0"/>
          <w:marRight w:val="0"/>
          <w:marTop w:val="0"/>
          <w:marBottom w:val="0"/>
          <w:divBdr>
            <w:top w:val="none" w:sz="0" w:space="0" w:color="auto"/>
            <w:left w:val="none" w:sz="0" w:space="0" w:color="auto"/>
            <w:bottom w:val="none" w:sz="0" w:space="0" w:color="auto"/>
            <w:right w:val="none" w:sz="0" w:space="0" w:color="auto"/>
          </w:divBdr>
        </w:div>
        <w:div w:id="754672814">
          <w:marLeft w:val="0"/>
          <w:marRight w:val="0"/>
          <w:marTop w:val="0"/>
          <w:marBottom w:val="0"/>
          <w:divBdr>
            <w:top w:val="none" w:sz="0" w:space="0" w:color="auto"/>
            <w:left w:val="none" w:sz="0" w:space="0" w:color="auto"/>
            <w:bottom w:val="none" w:sz="0" w:space="0" w:color="auto"/>
            <w:right w:val="none" w:sz="0" w:space="0" w:color="auto"/>
          </w:divBdr>
        </w:div>
        <w:div w:id="854423527">
          <w:marLeft w:val="0"/>
          <w:marRight w:val="0"/>
          <w:marTop w:val="0"/>
          <w:marBottom w:val="0"/>
          <w:divBdr>
            <w:top w:val="none" w:sz="0" w:space="0" w:color="auto"/>
            <w:left w:val="none" w:sz="0" w:space="0" w:color="auto"/>
            <w:bottom w:val="none" w:sz="0" w:space="0" w:color="auto"/>
            <w:right w:val="none" w:sz="0" w:space="0" w:color="auto"/>
          </w:divBdr>
        </w:div>
        <w:div w:id="968824025">
          <w:marLeft w:val="0"/>
          <w:marRight w:val="0"/>
          <w:marTop w:val="0"/>
          <w:marBottom w:val="0"/>
          <w:divBdr>
            <w:top w:val="none" w:sz="0" w:space="0" w:color="auto"/>
            <w:left w:val="none" w:sz="0" w:space="0" w:color="auto"/>
            <w:bottom w:val="none" w:sz="0" w:space="0" w:color="auto"/>
            <w:right w:val="none" w:sz="0" w:space="0" w:color="auto"/>
          </w:divBdr>
        </w:div>
        <w:div w:id="1182356580">
          <w:marLeft w:val="0"/>
          <w:marRight w:val="0"/>
          <w:marTop w:val="0"/>
          <w:marBottom w:val="0"/>
          <w:divBdr>
            <w:top w:val="none" w:sz="0" w:space="0" w:color="auto"/>
            <w:left w:val="none" w:sz="0" w:space="0" w:color="auto"/>
            <w:bottom w:val="none" w:sz="0" w:space="0" w:color="auto"/>
            <w:right w:val="none" w:sz="0" w:space="0" w:color="auto"/>
          </w:divBdr>
        </w:div>
      </w:divsChild>
    </w:div>
    <w:div w:id="737288344">
      <w:bodyDiv w:val="1"/>
      <w:marLeft w:val="0"/>
      <w:marRight w:val="0"/>
      <w:marTop w:val="0"/>
      <w:marBottom w:val="0"/>
      <w:divBdr>
        <w:top w:val="none" w:sz="0" w:space="0" w:color="auto"/>
        <w:left w:val="none" w:sz="0" w:space="0" w:color="auto"/>
        <w:bottom w:val="none" w:sz="0" w:space="0" w:color="auto"/>
        <w:right w:val="none" w:sz="0" w:space="0" w:color="auto"/>
      </w:divBdr>
    </w:div>
    <w:div w:id="769012925">
      <w:bodyDiv w:val="1"/>
      <w:marLeft w:val="0"/>
      <w:marRight w:val="0"/>
      <w:marTop w:val="0"/>
      <w:marBottom w:val="0"/>
      <w:divBdr>
        <w:top w:val="none" w:sz="0" w:space="0" w:color="auto"/>
        <w:left w:val="none" w:sz="0" w:space="0" w:color="auto"/>
        <w:bottom w:val="none" w:sz="0" w:space="0" w:color="auto"/>
        <w:right w:val="none" w:sz="0" w:space="0" w:color="auto"/>
      </w:divBdr>
      <w:divsChild>
        <w:div w:id="10224931">
          <w:marLeft w:val="0"/>
          <w:marRight w:val="-7980"/>
          <w:marTop w:val="0"/>
          <w:marBottom w:val="0"/>
          <w:divBdr>
            <w:top w:val="none" w:sz="0" w:space="0" w:color="auto"/>
            <w:left w:val="none" w:sz="0" w:space="0" w:color="auto"/>
            <w:bottom w:val="none" w:sz="0" w:space="0" w:color="auto"/>
            <w:right w:val="none" w:sz="0" w:space="0" w:color="auto"/>
          </w:divBdr>
        </w:div>
        <w:div w:id="110636162">
          <w:marLeft w:val="0"/>
          <w:marRight w:val="-7980"/>
          <w:marTop w:val="0"/>
          <w:marBottom w:val="0"/>
          <w:divBdr>
            <w:top w:val="none" w:sz="0" w:space="0" w:color="auto"/>
            <w:left w:val="none" w:sz="0" w:space="0" w:color="auto"/>
            <w:bottom w:val="none" w:sz="0" w:space="0" w:color="auto"/>
            <w:right w:val="none" w:sz="0" w:space="0" w:color="auto"/>
          </w:divBdr>
        </w:div>
        <w:div w:id="526985120">
          <w:marLeft w:val="0"/>
          <w:marRight w:val="-7980"/>
          <w:marTop w:val="0"/>
          <w:marBottom w:val="0"/>
          <w:divBdr>
            <w:top w:val="none" w:sz="0" w:space="0" w:color="auto"/>
            <w:left w:val="none" w:sz="0" w:space="0" w:color="auto"/>
            <w:bottom w:val="none" w:sz="0" w:space="0" w:color="auto"/>
            <w:right w:val="none" w:sz="0" w:space="0" w:color="auto"/>
          </w:divBdr>
        </w:div>
        <w:div w:id="601575533">
          <w:marLeft w:val="0"/>
          <w:marRight w:val="-7980"/>
          <w:marTop w:val="0"/>
          <w:marBottom w:val="0"/>
          <w:divBdr>
            <w:top w:val="none" w:sz="0" w:space="0" w:color="auto"/>
            <w:left w:val="none" w:sz="0" w:space="0" w:color="auto"/>
            <w:bottom w:val="none" w:sz="0" w:space="0" w:color="auto"/>
            <w:right w:val="none" w:sz="0" w:space="0" w:color="auto"/>
          </w:divBdr>
        </w:div>
        <w:div w:id="1303997713">
          <w:marLeft w:val="0"/>
          <w:marRight w:val="-7980"/>
          <w:marTop w:val="0"/>
          <w:marBottom w:val="0"/>
          <w:divBdr>
            <w:top w:val="none" w:sz="0" w:space="0" w:color="auto"/>
            <w:left w:val="none" w:sz="0" w:space="0" w:color="auto"/>
            <w:bottom w:val="none" w:sz="0" w:space="0" w:color="auto"/>
            <w:right w:val="none" w:sz="0" w:space="0" w:color="auto"/>
          </w:divBdr>
        </w:div>
        <w:div w:id="1307510054">
          <w:marLeft w:val="0"/>
          <w:marRight w:val="-7980"/>
          <w:marTop w:val="0"/>
          <w:marBottom w:val="0"/>
          <w:divBdr>
            <w:top w:val="none" w:sz="0" w:space="0" w:color="auto"/>
            <w:left w:val="none" w:sz="0" w:space="0" w:color="auto"/>
            <w:bottom w:val="none" w:sz="0" w:space="0" w:color="auto"/>
            <w:right w:val="none" w:sz="0" w:space="0" w:color="auto"/>
          </w:divBdr>
        </w:div>
        <w:div w:id="2111000230">
          <w:marLeft w:val="0"/>
          <w:marRight w:val="-7980"/>
          <w:marTop w:val="0"/>
          <w:marBottom w:val="0"/>
          <w:divBdr>
            <w:top w:val="none" w:sz="0" w:space="0" w:color="auto"/>
            <w:left w:val="none" w:sz="0" w:space="0" w:color="auto"/>
            <w:bottom w:val="none" w:sz="0" w:space="0" w:color="auto"/>
            <w:right w:val="none" w:sz="0" w:space="0" w:color="auto"/>
          </w:divBdr>
        </w:div>
        <w:div w:id="2144881509">
          <w:marLeft w:val="0"/>
          <w:marRight w:val="-7980"/>
          <w:marTop w:val="0"/>
          <w:marBottom w:val="0"/>
          <w:divBdr>
            <w:top w:val="none" w:sz="0" w:space="0" w:color="auto"/>
            <w:left w:val="none" w:sz="0" w:space="0" w:color="auto"/>
            <w:bottom w:val="none" w:sz="0" w:space="0" w:color="auto"/>
            <w:right w:val="none" w:sz="0" w:space="0" w:color="auto"/>
          </w:divBdr>
        </w:div>
      </w:divsChild>
    </w:div>
    <w:div w:id="885485464">
      <w:bodyDiv w:val="1"/>
      <w:marLeft w:val="0"/>
      <w:marRight w:val="0"/>
      <w:marTop w:val="0"/>
      <w:marBottom w:val="0"/>
      <w:divBdr>
        <w:top w:val="none" w:sz="0" w:space="0" w:color="auto"/>
        <w:left w:val="none" w:sz="0" w:space="0" w:color="auto"/>
        <w:bottom w:val="none" w:sz="0" w:space="0" w:color="auto"/>
        <w:right w:val="none" w:sz="0" w:space="0" w:color="auto"/>
      </w:divBdr>
      <w:divsChild>
        <w:div w:id="35936397">
          <w:marLeft w:val="0"/>
          <w:marRight w:val="0"/>
          <w:marTop w:val="0"/>
          <w:marBottom w:val="0"/>
          <w:divBdr>
            <w:top w:val="none" w:sz="0" w:space="0" w:color="auto"/>
            <w:left w:val="none" w:sz="0" w:space="0" w:color="auto"/>
            <w:bottom w:val="none" w:sz="0" w:space="0" w:color="auto"/>
            <w:right w:val="none" w:sz="0" w:space="0" w:color="auto"/>
          </w:divBdr>
        </w:div>
        <w:div w:id="214977417">
          <w:marLeft w:val="0"/>
          <w:marRight w:val="0"/>
          <w:marTop w:val="0"/>
          <w:marBottom w:val="0"/>
          <w:divBdr>
            <w:top w:val="none" w:sz="0" w:space="0" w:color="auto"/>
            <w:left w:val="none" w:sz="0" w:space="0" w:color="auto"/>
            <w:bottom w:val="none" w:sz="0" w:space="0" w:color="auto"/>
            <w:right w:val="none" w:sz="0" w:space="0" w:color="auto"/>
          </w:divBdr>
        </w:div>
        <w:div w:id="1457991183">
          <w:marLeft w:val="0"/>
          <w:marRight w:val="0"/>
          <w:marTop w:val="0"/>
          <w:marBottom w:val="0"/>
          <w:divBdr>
            <w:top w:val="none" w:sz="0" w:space="0" w:color="auto"/>
            <w:left w:val="none" w:sz="0" w:space="0" w:color="auto"/>
            <w:bottom w:val="none" w:sz="0" w:space="0" w:color="auto"/>
            <w:right w:val="none" w:sz="0" w:space="0" w:color="auto"/>
          </w:divBdr>
        </w:div>
        <w:div w:id="1471439095">
          <w:marLeft w:val="0"/>
          <w:marRight w:val="0"/>
          <w:marTop w:val="0"/>
          <w:marBottom w:val="0"/>
          <w:divBdr>
            <w:top w:val="none" w:sz="0" w:space="0" w:color="auto"/>
            <w:left w:val="none" w:sz="0" w:space="0" w:color="auto"/>
            <w:bottom w:val="none" w:sz="0" w:space="0" w:color="auto"/>
            <w:right w:val="none" w:sz="0" w:space="0" w:color="auto"/>
          </w:divBdr>
        </w:div>
      </w:divsChild>
    </w:div>
    <w:div w:id="1162509595">
      <w:bodyDiv w:val="1"/>
      <w:marLeft w:val="0"/>
      <w:marRight w:val="0"/>
      <w:marTop w:val="0"/>
      <w:marBottom w:val="0"/>
      <w:divBdr>
        <w:top w:val="none" w:sz="0" w:space="0" w:color="auto"/>
        <w:left w:val="none" w:sz="0" w:space="0" w:color="auto"/>
        <w:bottom w:val="none" w:sz="0" w:space="0" w:color="auto"/>
        <w:right w:val="none" w:sz="0" w:space="0" w:color="auto"/>
      </w:divBdr>
      <w:divsChild>
        <w:div w:id="264002917">
          <w:marLeft w:val="0"/>
          <w:marRight w:val="0"/>
          <w:marTop w:val="0"/>
          <w:marBottom w:val="0"/>
          <w:divBdr>
            <w:top w:val="none" w:sz="0" w:space="0" w:color="auto"/>
            <w:left w:val="none" w:sz="0" w:space="0" w:color="auto"/>
            <w:bottom w:val="none" w:sz="0" w:space="0" w:color="auto"/>
            <w:right w:val="none" w:sz="0" w:space="0" w:color="auto"/>
          </w:divBdr>
        </w:div>
        <w:div w:id="432475134">
          <w:marLeft w:val="0"/>
          <w:marRight w:val="0"/>
          <w:marTop w:val="0"/>
          <w:marBottom w:val="0"/>
          <w:divBdr>
            <w:top w:val="none" w:sz="0" w:space="0" w:color="auto"/>
            <w:left w:val="none" w:sz="0" w:space="0" w:color="auto"/>
            <w:bottom w:val="none" w:sz="0" w:space="0" w:color="auto"/>
            <w:right w:val="none" w:sz="0" w:space="0" w:color="auto"/>
          </w:divBdr>
        </w:div>
        <w:div w:id="487137017">
          <w:marLeft w:val="0"/>
          <w:marRight w:val="0"/>
          <w:marTop w:val="0"/>
          <w:marBottom w:val="0"/>
          <w:divBdr>
            <w:top w:val="none" w:sz="0" w:space="0" w:color="auto"/>
            <w:left w:val="none" w:sz="0" w:space="0" w:color="auto"/>
            <w:bottom w:val="none" w:sz="0" w:space="0" w:color="auto"/>
            <w:right w:val="none" w:sz="0" w:space="0" w:color="auto"/>
          </w:divBdr>
        </w:div>
        <w:div w:id="1325546835">
          <w:marLeft w:val="0"/>
          <w:marRight w:val="0"/>
          <w:marTop w:val="0"/>
          <w:marBottom w:val="0"/>
          <w:divBdr>
            <w:top w:val="none" w:sz="0" w:space="0" w:color="auto"/>
            <w:left w:val="none" w:sz="0" w:space="0" w:color="auto"/>
            <w:bottom w:val="none" w:sz="0" w:space="0" w:color="auto"/>
            <w:right w:val="none" w:sz="0" w:space="0" w:color="auto"/>
          </w:divBdr>
        </w:div>
      </w:divsChild>
    </w:div>
    <w:div w:id="1241716591">
      <w:bodyDiv w:val="1"/>
      <w:marLeft w:val="0"/>
      <w:marRight w:val="0"/>
      <w:marTop w:val="0"/>
      <w:marBottom w:val="0"/>
      <w:divBdr>
        <w:top w:val="none" w:sz="0" w:space="0" w:color="auto"/>
        <w:left w:val="none" w:sz="0" w:space="0" w:color="auto"/>
        <w:bottom w:val="none" w:sz="0" w:space="0" w:color="auto"/>
        <w:right w:val="none" w:sz="0" w:space="0" w:color="auto"/>
      </w:divBdr>
    </w:div>
    <w:div w:id="1255554600">
      <w:bodyDiv w:val="1"/>
      <w:marLeft w:val="0"/>
      <w:marRight w:val="0"/>
      <w:marTop w:val="0"/>
      <w:marBottom w:val="0"/>
      <w:divBdr>
        <w:top w:val="none" w:sz="0" w:space="0" w:color="auto"/>
        <w:left w:val="none" w:sz="0" w:space="0" w:color="auto"/>
        <w:bottom w:val="none" w:sz="0" w:space="0" w:color="auto"/>
        <w:right w:val="none" w:sz="0" w:space="0" w:color="auto"/>
      </w:divBdr>
    </w:div>
    <w:div w:id="1322660446">
      <w:bodyDiv w:val="1"/>
      <w:marLeft w:val="0"/>
      <w:marRight w:val="0"/>
      <w:marTop w:val="0"/>
      <w:marBottom w:val="0"/>
      <w:divBdr>
        <w:top w:val="none" w:sz="0" w:space="0" w:color="auto"/>
        <w:left w:val="none" w:sz="0" w:space="0" w:color="auto"/>
        <w:bottom w:val="none" w:sz="0" w:space="0" w:color="auto"/>
        <w:right w:val="none" w:sz="0" w:space="0" w:color="auto"/>
      </w:divBdr>
    </w:div>
    <w:div w:id="1330211397">
      <w:bodyDiv w:val="1"/>
      <w:marLeft w:val="0"/>
      <w:marRight w:val="0"/>
      <w:marTop w:val="0"/>
      <w:marBottom w:val="0"/>
      <w:divBdr>
        <w:top w:val="none" w:sz="0" w:space="0" w:color="auto"/>
        <w:left w:val="none" w:sz="0" w:space="0" w:color="auto"/>
        <w:bottom w:val="none" w:sz="0" w:space="0" w:color="auto"/>
        <w:right w:val="none" w:sz="0" w:space="0" w:color="auto"/>
      </w:divBdr>
      <w:divsChild>
        <w:div w:id="297762529">
          <w:marLeft w:val="0"/>
          <w:marRight w:val="0"/>
          <w:marTop w:val="0"/>
          <w:marBottom w:val="0"/>
          <w:divBdr>
            <w:top w:val="none" w:sz="0" w:space="0" w:color="auto"/>
            <w:left w:val="none" w:sz="0" w:space="0" w:color="auto"/>
            <w:bottom w:val="none" w:sz="0" w:space="0" w:color="auto"/>
            <w:right w:val="none" w:sz="0" w:space="0" w:color="auto"/>
          </w:divBdr>
        </w:div>
        <w:div w:id="575936058">
          <w:marLeft w:val="0"/>
          <w:marRight w:val="0"/>
          <w:marTop w:val="0"/>
          <w:marBottom w:val="0"/>
          <w:divBdr>
            <w:top w:val="none" w:sz="0" w:space="0" w:color="auto"/>
            <w:left w:val="none" w:sz="0" w:space="0" w:color="auto"/>
            <w:bottom w:val="none" w:sz="0" w:space="0" w:color="auto"/>
            <w:right w:val="none" w:sz="0" w:space="0" w:color="auto"/>
          </w:divBdr>
        </w:div>
        <w:div w:id="624503713">
          <w:marLeft w:val="0"/>
          <w:marRight w:val="0"/>
          <w:marTop w:val="0"/>
          <w:marBottom w:val="0"/>
          <w:divBdr>
            <w:top w:val="none" w:sz="0" w:space="0" w:color="auto"/>
            <w:left w:val="none" w:sz="0" w:space="0" w:color="auto"/>
            <w:bottom w:val="none" w:sz="0" w:space="0" w:color="auto"/>
            <w:right w:val="none" w:sz="0" w:space="0" w:color="auto"/>
          </w:divBdr>
        </w:div>
        <w:div w:id="661666334">
          <w:marLeft w:val="0"/>
          <w:marRight w:val="0"/>
          <w:marTop w:val="0"/>
          <w:marBottom w:val="0"/>
          <w:divBdr>
            <w:top w:val="none" w:sz="0" w:space="0" w:color="auto"/>
            <w:left w:val="none" w:sz="0" w:space="0" w:color="auto"/>
            <w:bottom w:val="none" w:sz="0" w:space="0" w:color="auto"/>
            <w:right w:val="none" w:sz="0" w:space="0" w:color="auto"/>
          </w:divBdr>
        </w:div>
        <w:div w:id="852569852">
          <w:marLeft w:val="0"/>
          <w:marRight w:val="0"/>
          <w:marTop w:val="0"/>
          <w:marBottom w:val="0"/>
          <w:divBdr>
            <w:top w:val="none" w:sz="0" w:space="0" w:color="auto"/>
            <w:left w:val="none" w:sz="0" w:space="0" w:color="auto"/>
            <w:bottom w:val="none" w:sz="0" w:space="0" w:color="auto"/>
            <w:right w:val="none" w:sz="0" w:space="0" w:color="auto"/>
          </w:divBdr>
        </w:div>
        <w:div w:id="1229608066">
          <w:marLeft w:val="0"/>
          <w:marRight w:val="0"/>
          <w:marTop w:val="0"/>
          <w:marBottom w:val="0"/>
          <w:divBdr>
            <w:top w:val="none" w:sz="0" w:space="0" w:color="auto"/>
            <w:left w:val="none" w:sz="0" w:space="0" w:color="auto"/>
            <w:bottom w:val="none" w:sz="0" w:space="0" w:color="auto"/>
            <w:right w:val="none" w:sz="0" w:space="0" w:color="auto"/>
          </w:divBdr>
        </w:div>
      </w:divsChild>
    </w:div>
    <w:div w:id="1374695486">
      <w:bodyDiv w:val="1"/>
      <w:marLeft w:val="0"/>
      <w:marRight w:val="0"/>
      <w:marTop w:val="0"/>
      <w:marBottom w:val="0"/>
      <w:divBdr>
        <w:top w:val="none" w:sz="0" w:space="0" w:color="auto"/>
        <w:left w:val="none" w:sz="0" w:space="0" w:color="auto"/>
        <w:bottom w:val="none" w:sz="0" w:space="0" w:color="auto"/>
        <w:right w:val="none" w:sz="0" w:space="0" w:color="auto"/>
      </w:divBdr>
      <w:divsChild>
        <w:div w:id="1680428777">
          <w:marLeft w:val="0"/>
          <w:marRight w:val="0"/>
          <w:marTop w:val="0"/>
          <w:marBottom w:val="0"/>
          <w:divBdr>
            <w:top w:val="none" w:sz="0" w:space="0" w:color="auto"/>
            <w:left w:val="none" w:sz="0" w:space="0" w:color="auto"/>
            <w:bottom w:val="none" w:sz="0" w:space="0" w:color="auto"/>
            <w:right w:val="none" w:sz="0" w:space="0" w:color="auto"/>
          </w:divBdr>
        </w:div>
      </w:divsChild>
    </w:div>
    <w:div w:id="1391004928">
      <w:bodyDiv w:val="1"/>
      <w:marLeft w:val="0"/>
      <w:marRight w:val="0"/>
      <w:marTop w:val="0"/>
      <w:marBottom w:val="0"/>
      <w:divBdr>
        <w:top w:val="none" w:sz="0" w:space="0" w:color="auto"/>
        <w:left w:val="none" w:sz="0" w:space="0" w:color="auto"/>
        <w:bottom w:val="none" w:sz="0" w:space="0" w:color="auto"/>
        <w:right w:val="none" w:sz="0" w:space="0" w:color="auto"/>
      </w:divBdr>
    </w:div>
    <w:div w:id="1509253155">
      <w:bodyDiv w:val="1"/>
      <w:marLeft w:val="0"/>
      <w:marRight w:val="0"/>
      <w:marTop w:val="0"/>
      <w:marBottom w:val="0"/>
      <w:divBdr>
        <w:top w:val="none" w:sz="0" w:space="0" w:color="auto"/>
        <w:left w:val="none" w:sz="0" w:space="0" w:color="auto"/>
        <w:bottom w:val="none" w:sz="0" w:space="0" w:color="auto"/>
        <w:right w:val="none" w:sz="0" w:space="0" w:color="auto"/>
      </w:divBdr>
      <w:divsChild>
        <w:div w:id="232352957">
          <w:marLeft w:val="0"/>
          <w:marRight w:val="0"/>
          <w:marTop w:val="0"/>
          <w:marBottom w:val="0"/>
          <w:divBdr>
            <w:top w:val="none" w:sz="0" w:space="0" w:color="auto"/>
            <w:left w:val="none" w:sz="0" w:space="0" w:color="auto"/>
            <w:bottom w:val="none" w:sz="0" w:space="0" w:color="auto"/>
            <w:right w:val="none" w:sz="0" w:space="0" w:color="auto"/>
          </w:divBdr>
        </w:div>
        <w:div w:id="757872423">
          <w:marLeft w:val="0"/>
          <w:marRight w:val="0"/>
          <w:marTop w:val="0"/>
          <w:marBottom w:val="0"/>
          <w:divBdr>
            <w:top w:val="none" w:sz="0" w:space="0" w:color="auto"/>
            <w:left w:val="none" w:sz="0" w:space="0" w:color="auto"/>
            <w:bottom w:val="none" w:sz="0" w:space="0" w:color="auto"/>
            <w:right w:val="none" w:sz="0" w:space="0" w:color="auto"/>
          </w:divBdr>
        </w:div>
        <w:div w:id="823930665">
          <w:marLeft w:val="0"/>
          <w:marRight w:val="0"/>
          <w:marTop w:val="0"/>
          <w:marBottom w:val="0"/>
          <w:divBdr>
            <w:top w:val="none" w:sz="0" w:space="0" w:color="auto"/>
            <w:left w:val="none" w:sz="0" w:space="0" w:color="auto"/>
            <w:bottom w:val="none" w:sz="0" w:space="0" w:color="auto"/>
            <w:right w:val="none" w:sz="0" w:space="0" w:color="auto"/>
          </w:divBdr>
        </w:div>
        <w:div w:id="1238007781">
          <w:marLeft w:val="0"/>
          <w:marRight w:val="0"/>
          <w:marTop w:val="0"/>
          <w:marBottom w:val="0"/>
          <w:divBdr>
            <w:top w:val="none" w:sz="0" w:space="0" w:color="auto"/>
            <w:left w:val="none" w:sz="0" w:space="0" w:color="auto"/>
            <w:bottom w:val="none" w:sz="0" w:space="0" w:color="auto"/>
            <w:right w:val="none" w:sz="0" w:space="0" w:color="auto"/>
          </w:divBdr>
        </w:div>
        <w:div w:id="1841458284">
          <w:marLeft w:val="0"/>
          <w:marRight w:val="0"/>
          <w:marTop w:val="0"/>
          <w:marBottom w:val="0"/>
          <w:divBdr>
            <w:top w:val="none" w:sz="0" w:space="0" w:color="auto"/>
            <w:left w:val="none" w:sz="0" w:space="0" w:color="auto"/>
            <w:bottom w:val="none" w:sz="0" w:space="0" w:color="auto"/>
            <w:right w:val="none" w:sz="0" w:space="0" w:color="auto"/>
          </w:divBdr>
        </w:div>
        <w:div w:id="2074622442">
          <w:marLeft w:val="0"/>
          <w:marRight w:val="0"/>
          <w:marTop w:val="0"/>
          <w:marBottom w:val="0"/>
          <w:divBdr>
            <w:top w:val="none" w:sz="0" w:space="0" w:color="auto"/>
            <w:left w:val="none" w:sz="0" w:space="0" w:color="auto"/>
            <w:bottom w:val="none" w:sz="0" w:space="0" w:color="auto"/>
            <w:right w:val="none" w:sz="0" w:space="0" w:color="auto"/>
          </w:divBdr>
        </w:div>
      </w:divsChild>
    </w:div>
    <w:div w:id="1620527014">
      <w:bodyDiv w:val="1"/>
      <w:marLeft w:val="0"/>
      <w:marRight w:val="0"/>
      <w:marTop w:val="0"/>
      <w:marBottom w:val="0"/>
      <w:divBdr>
        <w:top w:val="none" w:sz="0" w:space="0" w:color="auto"/>
        <w:left w:val="none" w:sz="0" w:space="0" w:color="auto"/>
        <w:bottom w:val="none" w:sz="0" w:space="0" w:color="auto"/>
        <w:right w:val="none" w:sz="0" w:space="0" w:color="auto"/>
      </w:divBdr>
    </w:div>
    <w:div w:id="1656180970">
      <w:bodyDiv w:val="1"/>
      <w:marLeft w:val="0"/>
      <w:marRight w:val="0"/>
      <w:marTop w:val="0"/>
      <w:marBottom w:val="0"/>
      <w:divBdr>
        <w:top w:val="none" w:sz="0" w:space="0" w:color="auto"/>
        <w:left w:val="none" w:sz="0" w:space="0" w:color="auto"/>
        <w:bottom w:val="none" w:sz="0" w:space="0" w:color="auto"/>
        <w:right w:val="none" w:sz="0" w:space="0" w:color="auto"/>
      </w:divBdr>
    </w:div>
    <w:div w:id="1739983530">
      <w:bodyDiv w:val="1"/>
      <w:marLeft w:val="0"/>
      <w:marRight w:val="0"/>
      <w:marTop w:val="0"/>
      <w:marBottom w:val="0"/>
      <w:divBdr>
        <w:top w:val="none" w:sz="0" w:space="0" w:color="auto"/>
        <w:left w:val="none" w:sz="0" w:space="0" w:color="auto"/>
        <w:bottom w:val="none" w:sz="0" w:space="0" w:color="auto"/>
        <w:right w:val="none" w:sz="0" w:space="0" w:color="auto"/>
      </w:divBdr>
    </w:div>
    <w:div w:id="1740400485">
      <w:bodyDiv w:val="1"/>
      <w:marLeft w:val="0"/>
      <w:marRight w:val="0"/>
      <w:marTop w:val="0"/>
      <w:marBottom w:val="0"/>
      <w:divBdr>
        <w:top w:val="none" w:sz="0" w:space="0" w:color="auto"/>
        <w:left w:val="none" w:sz="0" w:space="0" w:color="auto"/>
        <w:bottom w:val="none" w:sz="0" w:space="0" w:color="auto"/>
        <w:right w:val="none" w:sz="0" w:space="0" w:color="auto"/>
      </w:divBdr>
    </w:div>
    <w:div w:id="1751460348">
      <w:bodyDiv w:val="1"/>
      <w:marLeft w:val="0"/>
      <w:marRight w:val="0"/>
      <w:marTop w:val="0"/>
      <w:marBottom w:val="0"/>
      <w:divBdr>
        <w:top w:val="none" w:sz="0" w:space="0" w:color="auto"/>
        <w:left w:val="none" w:sz="0" w:space="0" w:color="auto"/>
        <w:bottom w:val="none" w:sz="0" w:space="0" w:color="auto"/>
        <w:right w:val="none" w:sz="0" w:space="0" w:color="auto"/>
      </w:divBdr>
      <w:divsChild>
        <w:div w:id="446048046">
          <w:marLeft w:val="0"/>
          <w:marRight w:val="0"/>
          <w:marTop w:val="0"/>
          <w:marBottom w:val="0"/>
          <w:divBdr>
            <w:top w:val="none" w:sz="0" w:space="0" w:color="auto"/>
            <w:left w:val="none" w:sz="0" w:space="0" w:color="auto"/>
            <w:bottom w:val="none" w:sz="0" w:space="0" w:color="auto"/>
            <w:right w:val="none" w:sz="0" w:space="0" w:color="auto"/>
          </w:divBdr>
        </w:div>
        <w:div w:id="529297942">
          <w:marLeft w:val="0"/>
          <w:marRight w:val="0"/>
          <w:marTop w:val="0"/>
          <w:marBottom w:val="0"/>
          <w:divBdr>
            <w:top w:val="none" w:sz="0" w:space="0" w:color="auto"/>
            <w:left w:val="none" w:sz="0" w:space="0" w:color="auto"/>
            <w:bottom w:val="none" w:sz="0" w:space="0" w:color="auto"/>
            <w:right w:val="none" w:sz="0" w:space="0" w:color="auto"/>
          </w:divBdr>
        </w:div>
        <w:div w:id="729809669">
          <w:marLeft w:val="0"/>
          <w:marRight w:val="0"/>
          <w:marTop w:val="0"/>
          <w:marBottom w:val="0"/>
          <w:divBdr>
            <w:top w:val="none" w:sz="0" w:space="0" w:color="auto"/>
            <w:left w:val="none" w:sz="0" w:space="0" w:color="auto"/>
            <w:bottom w:val="none" w:sz="0" w:space="0" w:color="auto"/>
            <w:right w:val="none" w:sz="0" w:space="0" w:color="auto"/>
          </w:divBdr>
        </w:div>
        <w:div w:id="1422025963">
          <w:marLeft w:val="0"/>
          <w:marRight w:val="0"/>
          <w:marTop w:val="0"/>
          <w:marBottom w:val="0"/>
          <w:divBdr>
            <w:top w:val="none" w:sz="0" w:space="0" w:color="auto"/>
            <w:left w:val="none" w:sz="0" w:space="0" w:color="auto"/>
            <w:bottom w:val="none" w:sz="0" w:space="0" w:color="auto"/>
            <w:right w:val="none" w:sz="0" w:space="0" w:color="auto"/>
          </w:divBdr>
        </w:div>
        <w:div w:id="1560897986">
          <w:marLeft w:val="0"/>
          <w:marRight w:val="0"/>
          <w:marTop w:val="0"/>
          <w:marBottom w:val="0"/>
          <w:divBdr>
            <w:top w:val="none" w:sz="0" w:space="0" w:color="auto"/>
            <w:left w:val="none" w:sz="0" w:space="0" w:color="auto"/>
            <w:bottom w:val="none" w:sz="0" w:space="0" w:color="auto"/>
            <w:right w:val="none" w:sz="0" w:space="0" w:color="auto"/>
          </w:divBdr>
        </w:div>
        <w:div w:id="1714885757">
          <w:marLeft w:val="0"/>
          <w:marRight w:val="0"/>
          <w:marTop w:val="0"/>
          <w:marBottom w:val="0"/>
          <w:divBdr>
            <w:top w:val="none" w:sz="0" w:space="0" w:color="auto"/>
            <w:left w:val="none" w:sz="0" w:space="0" w:color="auto"/>
            <w:bottom w:val="none" w:sz="0" w:space="0" w:color="auto"/>
            <w:right w:val="none" w:sz="0" w:space="0" w:color="auto"/>
          </w:divBdr>
        </w:div>
      </w:divsChild>
    </w:div>
    <w:div w:id="1921283925">
      <w:bodyDiv w:val="1"/>
      <w:marLeft w:val="0"/>
      <w:marRight w:val="0"/>
      <w:marTop w:val="0"/>
      <w:marBottom w:val="0"/>
      <w:divBdr>
        <w:top w:val="none" w:sz="0" w:space="0" w:color="auto"/>
        <w:left w:val="none" w:sz="0" w:space="0" w:color="auto"/>
        <w:bottom w:val="none" w:sz="0" w:space="0" w:color="auto"/>
        <w:right w:val="none" w:sz="0" w:space="0" w:color="auto"/>
      </w:divBdr>
    </w:div>
    <w:div w:id="1985352270">
      <w:bodyDiv w:val="1"/>
      <w:marLeft w:val="0"/>
      <w:marRight w:val="0"/>
      <w:marTop w:val="0"/>
      <w:marBottom w:val="0"/>
      <w:divBdr>
        <w:top w:val="none" w:sz="0" w:space="0" w:color="auto"/>
        <w:left w:val="none" w:sz="0" w:space="0" w:color="auto"/>
        <w:bottom w:val="none" w:sz="0" w:space="0" w:color="auto"/>
        <w:right w:val="none" w:sz="0" w:space="0" w:color="auto"/>
      </w:divBdr>
      <w:divsChild>
        <w:div w:id="293953539">
          <w:marLeft w:val="0"/>
          <w:marRight w:val="0"/>
          <w:marTop w:val="0"/>
          <w:marBottom w:val="0"/>
          <w:divBdr>
            <w:top w:val="none" w:sz="0" w:space="0" w:color="auto"/>
            <w:left w:val="none" w:sz="0" w:space="0" w:color="auto"/>
            <w:bottom w:val="none" w:sz="0" w:space="0" w:color="auto"/>
            <w:right w:val="none" w:sz="0" w:space="0" w:color="auto"/>
          </w:divBdr>
        </w:div>
        <w:div w:id="482701140">
          <w:marLeft w:val="0"/>
          <w:marRight w:val="0"/>
          <w:marTop w:val="0"/>
          <w:marBottom w:val="0"/>
          <w:divBdr>
            <w:top w:val="none" w:sz="0" w:space="0" w:color="auto"/>
            <w:left w:val="none" w:sz="0" w:space="0" w:color="auto"/>
            <w:bottom w:val="none" w:sz="0" w:space="0" w:color="auto"/>
            <w:right w:val="none" w:sz="0" w:space="0" w:color="auto"/>
          </w:divBdr>
        </w:div>
        <w:div w:id="1319503138">
          <w:marLeft w:val="0"/>
          <w:marRight w:val="0"/>
          <w:marTop w:val="0"/>
          <w:marBottom w:val="0"/>
          <w:divBdr>
            <w:top w:val="none" w:sz="0" w:space="0" w:color="auto"/>
            <w:left w:val="none" w:sz="0" w:space="0" w:color="auto"/>
            <w:bottom w:val="none" w:sz="0" w:space="0" w:color="auto"/>
            <w:right w:val="none" w:sz="0" w:space="0" w:color="auto"/>
          </w:divBdr>
        </w:div>
        <w:div w:id="1549536119">
          <w:marLeft w:val="0"/>
          <w:marRight w:val="0"/>
          <w:marTop w:val="0"/>
          <w:marBottom w:val="0"/>
          <w:divBdr>
            <w:top w:val="none" w:sz="0" w:space="0" w:color="auto"/>
            <w:left w:val="none" w:sz="0" w:space="0" w:color="auto"/>
            <w:bottom w:val="none" w:sz="0" w:space="0" w:color="auto"/>
            <w:right w:val="none" w:sz="0" w:space="0" w:color="auto"/>
          </w:divBdr>
        </w:div>
        <w:div w:id="1657103156">
          <w:marLeft w:val="0"/>
          <w:marRight w:val="0"/>
          <w:marTop w:val="0"/>
          <w:marBottom w:val="0"/>
          <w:divBdr>
            <w:top w:val="none" w:sz="0" w:space="0" w:color="auto"/>
            <w:left w:val="none" w:sz="0" w:space="0" w:color="auto"/>
            <w:bottom w:val="none" w:sz="0" w:space="0" w:color="auto"/>
            <w:right w:val="none" w:sz="0" w:space="0" w:color="auto"/>
          </w:divBdr>
        </w:div>
        <w:div w:id="1708287434">
          <w:marLeft w:val="0"/>
          <w:marRight w:val="0"/>
          <w:marTop w:val="0"/>
          <w:marBottom w:val="0"/>
          <w:divBdr>
            <w:top w:val="none" w:sz="0" w:space="0" w:color="auto"/>
            <w:left w:val="none" w:sz="0" w:space="0" w:color="auto"/>
            <w:bottom w:val="none" w:sz="0" w:space="0" w:color="auto"/>
            <w:right w:val="none" w:sz="0" w:space="0" w:color="auto"/>
          </w:divBdr>
        </w:div>
      </w:divsChild>
    </w:div>
    <w:div w:id="2104259536">
      <w:bodyDiv w:val="1"/>
      <w:marLeft w:val="0"/>
      <w:marRight w:val="0"/>
      <w:marTop w:val="0"/>
      <w:marBottom w:val="0"/>
      <w:divBdr>
        <w:top w:val="none" w:sz="0" w:space="0" w:color="auto"/>
        <w:left w:val="none" w:sz="0" w:space="0" w:color="auto"/>
        <w:bottom w:val="none" w:sz="0" w:space="0" w:color="auto"/>
        <w:right w:val="none" w:sz="0" w:space="0" w:color="auto"/>
      </w:divBdr>
    </w:div>
    <w:div w:id="211158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v>White</c:v>
          </c:tx>
          <c:spPr>
            <a:ln w="25400" cap="rnd">
              <a:noFill/>
              <a:round/>
            </a:ln>
            <a:effectLst/>
          </c:spPr>
          <c:marker>
            <c:symbol val="triangle"/>
            <c:size val="5"/>
            <c:spPr>
              <a:solidFill>
                <a:sysClr val="windowText" lastClr="000000"/>
              </a:solidFill>
              <a:ln w="9525">
                <a:solidFill>
                  <a:schemeClr val="tx1"/>
                </a:solidFill>
              </a:ln>
              <a:effectLst/>
            </c:spPr>
          </c:marker>
          <c:xVal>
            <c:numRef>
              <c:f>Sheet1!$C$2:$C$51</c:f>
              <c:numCache>
                <c:formatCode>0.00</c:formatCode>
                <c:ptCount val="50"/>
                <c:pt idx="0">
                  <c:v>4.7424072042931762</c:v>
                </c:pt>
                <c:pt idx="1">
                  <c:v>5.8780158546004024</c:v>
                </c:pt>
                <c:pt idx="2">
                  <c:v>5.18705055411945</c:v>
                </c:pt>
                <c:pt idx="3">
                  <c:v>5.19750206130922</c:v>
                </c:pt>
                <c:pt idx="4">
                  <c:v>4.960464176849892</c:v>
                </c:pt>
                <c:pt idx="5">
                  <c:v>4.5589168014706294</c:v>
                </c:pt>
                <c:pt idx="6">
                  <c:v>4.2719327118768078</c:v>
                </c:pt>
                <c:pt idx="7">
                  <c:v>5.3477739752606288</c:v>
                </c:pt>
                <c:pt idx="8">
                  <c:v>5.1075805001527348</c:v>
                </c:pt>
                <c:pt idx="9">
                  <c:v>4.4965822455711919</c:v>
                </c:pt>
                <c:pt idx="10">
                  <c:v>5.4845894430863416</c:v>
                </c:pt>
                <c:pt idx="11">
                  <c:v>5.0615185044108255</c:v>
                </c:pt>
                <c:pt idx="12">
                  <c:v>5.0608847104993826</c:v>
                </c:pt>
                <c:pt idx="13">
                  <c:v>5.2070241081016455</c:v>
                </c:pt>
                <c:pt idx="14">
                  <c:v>5.3354686321788289</c:v>
                </c:pt>
                <c:pt idx="15">
                  <c:v>5.2713058173011866</c:v>
                </c:pt>
                <c:pt idx="16">
                  <c:v>4.9959276652239817</c:v>
                </c:pt>
                <c:pt idx="17">
                  <c:v>5.035783087628908</c:v>
                </c:pt>
                <c:pt idx="18">
                  <c:v>5.0469029332667974</c:v>
                </c:pt>
                <c:pt idx="19">
                  <c:v>4.6941878823057444</c:v>
                </c:pt>
                <c:pt idx="20">
                  <c:v>4.2859286446285445</c:v>
                </c:pt>
                <c:pt idx="21">
                  <c:v>4.7931424142908607</c:v>
                </c:pt>
                <c:pt idx="22">
                  <c:v>4.9392824973176799</c:v>
                </c:pt>
                <c:pt idx="23">
                  <c:v>5.04148775757902</c:v>
                </c:pt>
                <c:pt idx="24">
                  <c:v>5.1387352967235715</c:v>
                </c:pt>
                <c:pt idx="25">
                  <c:v>4.9797636304291686</c:v>
                </c:pt>
                <c:pt idx="26">
                  <c:v>5.0601236271874495</c:v>
                </c:pt>
                <c:pt idx="27">
                  <c:v>5.1591702351378785</c:v>
                </c:pt>
                <c:pt idx="28">
                  <c:v>4.8950747867929696</c:v>
                </c:pt>
                <c:pt idx="29">
                  <c:v>3.5570608794930885</c:v>
                </c:pt>
                <c:pt idx="30">
                  <c:v>5.4353800169363762</c:v>
                </c:pt>
                <c:pt idx="31">
                  <c:v>4.403298769949421</c:v>
                </c:pt>
                <c:pt idx="32">
                  <c:v>5.264657165055401</c:v>
                </c:pt>
                <c:pt idx="33">
                  <c:v>5.201310748605886</c:v>
                </c:pt>
                <c:pt idx="34">
                  <c:v>4.9276883732753296</c:v>
                </c:pt>
                <c:pt idx="35">
                  <c:v>5.6381055279803309</c:v>
                </c:pt>
                <c:pt idx="36">
                  <c:v>5.3818769596469673</c:v>
                </c:pt>
                <c:pt idx="37">
                  <c:v>4.5367842731216266</c:v>
                </c:pt>
                <c:pt idx="38">
                  <c:v>5.0675825745380054</c:v>
                </c:pt>
                <c:pt idx="39">
                  <c:v>5.019991389020281</c:v>
                </c:pt>
                <c:pt idx="40">
                  <c:v>5.3608695412050009</c:v>
                </c:pt>
                <c:pt idx="41">
                  <c:v>5.3374900016225091</c:v>
                </c:pt>
                <c:pt idx="42">
                  <c:v>5.2336721730545053</c:v>
                </c:pt>
                <c:pt idx="43">
                  <c:v>5.1676390429059209</c:v>
                </c:pt>
                <c:pt idx="44">
                  <c:v>5.1892276839603326</c:v>
                </c:pt>
                <c:pt idx="45">
                  <c:v>4.8779416457041185</c:v>
                </c:pt>
                <c:pt idx="46">
                  <c:v>5.3395552745642814</c:v>
                </c:pt>
                <c:pt idx="47">
                  <c:v>5.0056897517032413</c:v>
                </c:pt>
                <c:pt idx="48">
                  <c:v>5.0428443031182715</c:v>
                </c:pt>
                <c:pt idx="49">
                  <c:v>5.279134547131263</c:v>
                </c:pt>
              </c:numCache>
            </c:numRef>
          </c:xVal>
          <c:yVal>
            <c:numRef>
              <c:f>Sheet1!$D$2:$D$51</c:f>
              <c:numCache>
                <c:formatCode>0.00</c:formatCode>
                <c:ptCount val="50"/>
                <c:pt idx="0">
                  <c:v>99.94</c:v>
                </c:pt>
                <c:pt idx="1">
                  <c:v>103.39</c:v>
                </c:pt>
                <c:pt idx="2">
                  <c:v>102.2</c:v>
                </c:pt>
                <c:pt idx="3">
                  <c:v>100.21</c:v>
                </c:pt>
                <c:pt idx="4">
                  <c:v>101.45</c:v>
                </c:pt>
                <c:pt idx="5">
                  <c:v>104.16</c:v>
                </c:pt>
                <c:pt idx="6">
                  <c:v>106.66</c:v>
                </c:pt>
                <c:pt idx="7">
                  <c:v>103.07</c:v>
                </c:pt>
                <c:pt idx="8">
                  <c:v>102.13</c:v>
                </c:pt>
                <c:pt idx="9">
                  <c:v>102.27</c:v>
                </c:pt>
                <c:pt idx="10">
                  <c:v>99.86</c:v>
                </c:pt>
                <c:pt idx="11">
                  <c:v>102.1</c:v>
                </c:pt>
                <c:pt idx="12">
                  <c:v>104.39</c:v>
                </c:pt>
                <c:pt idx="13">
                  <c:v>102.88</c:v>
                </c:pt>
                <c:pt idx="14">
                  <c:v>103.57</c:v>
                </c:pt>
                <c:pt idx="15">
                  <c:v>104.36</c:v>
                </c:pt>
                <c:pt idx="16">
                  <c:v>99.83</c:v>
                </c:pt>
                <c:pt idx="17">
                  <c:v>100.53</c:v>
                </c:pt>
                <c:pt idx="18">
                  <c:v>103.16</c:v>
                </c:pt>
                <c:pt idx="19">
                  <c:v>104.38</c:v>
                </c:pt>
                <c:pt idx="20">
                  <c:v>105.8</c:v>
                </c:pt>
                <c:pt idx="21">
                  <c:v>103.53</c:v>
                </c:pt>
                <c:pt idx="22">
                  <c:v>104.86</c:v>
                </c:pt>
                <c:pt idx="23">
                  <c:v>99.63</c:v>
                </c:pt>
                <c:pt idx="24">
                  <c:v>102.55</c:v>
                </c:pt>
                <c:pt idx="25">
                  <c:v>104.03</c:v>
                </c:pt>
                <c:pt idx="26">
                  <c:v>103.63</c:v>
                </c:pt>
                <c:pt idx="27">
                  <c:v>99.86</c:v>
                </c:pt>
                <c:pt idx="28">
                  <c:v>103.99</c:v>
                </c:pt>
                <c:pt idx="29">
                  <c:v>106.46</c:v>
                </c:pt>
                <c:pt idx="30">
                  <c:v>101.56</c:v>
                </c:pt>
                <c:pt idx="31">
                  <c:v>105.11</c:v>
                </c:pt>
                <c:pt idx="32">
                  <c:v>103.98</c:v>
                </c:pt>
                <c:pt idx="33">
                  <c:v>103.96</c:v>
                </c:pt>
                <c:pt idx="34">
                  <c:v>103.65</c:v>
                </c:pt>
                <c:pt idx="35">
                  <c:v>101.35</c:v>
                </c:pt>
                <c:pt idx="36">
                  <c:v>102.07</c:v>
                </c:pt>
                <c:pt idx="37">
                  <c:v>103.73</c:v>
                </c:pt>
                <c:pt idx="38">
                  <c:v>101.94</c:v>
                </c:pt>
                <c:pt idx="39">
                  <c:v>102.53</c:v>
                </c:pt>
                <c:pt idx="40">
                  <c:v>103.86</c:v>
                </c:pt>
                <c:pt idx="41">
                  <c:v>100.18</c:v>
                </c:pt>
                <c:pt idx="42">
                  <c:v>105.19</c:v>
                </c:pt>
                <c:pt idx="43">
                  <c:v>101.88</c:v>
                </c:pt>
                <c:pt idx="44">
                  <c:v>103.13</c:v>
                </c:pt>
                <c:pt idx="45">
                  <c:v>104.51</c:v>
                </c:pt>
                <c:pt idx="46">
                  <c:v>102.95</c:v>
                </c:pt>
                <c:pt idx="47">
                  <c:v>98.67</c:v>
                </c:pt>
                <c:pt idx="48">
                  <c:v>104.6</c:v>
                </c:pt>
                <c:pt idx="49">
                  <c:v>102.39</c:v>
                </c:pt>
              </c:numCache>
            </c:numRef>
          </c:yVal>
          <c:smooth val="0"/>
          <c:extLst>
            <c:ext xmlns:c16="http://schemas.microsoft.com/office/drawing/2014/chart" uri="{C3380CC4-5D6E-409C-BE32-E72D297353CC}">
              <c16:uniqueId val="{00000000-BA96-46C7-BEF9-78B24C1E8628}"/>
            </c:ext>
          </c:extLst>
        </c:ser>
        <c:ser>
          <c:idx val="1"/>
          <c:order val="1"/>
          <c:tx>
            <c:v>Black</c:v>
          </c:tx>
          <c:spPr>
            <a:ln w="25400" cap="rnd">
              <a:noFill/>
              <a:round/>
            </a:ln>
            <a:effectLst/>
          </c:spPr>
          <c:marker>
            <c:symbol val="circle"/>
            <c:size val="5"/>
            <c:spPr>
              <a:solidFill>
                <a:sysClr val="windowText" lastClr="000000"/>
              </a:solidFill>
              <a:ln w="9525">
                <a:noFill/>
              </a:ln>
              <a:effectLst/>
            </c:spPr>
          </c:marker>
          <c:xVal>
            <c:numRef>
              <c:f>Sheet1!$C$52:$C$101</c:f>
              <c:numCache>
                <c:formatCode>0.00</c:formatCode>
                <c:ptCount val="50"/>
                <c:pt idx="0">
                  <c:v>7.4932504314851478</c:v>
                </c:pt>
                <c:pt idx="1">
                  <c:v>7.8140562792269233</c:v>
                </c:pt>
                <c:pt idx="2">
                  <c:v>7.3666474034731539</c:v>
                </c:pt>
                <c:pt idx="3">
                  <c:v>7.8088958241549911</c:v>
                </c:pt>
                <c:pt idx="4">
                  <c:v>7.2052342051635403</c:v>
                </c:pt>
                <c:pt idx="5">
                  <c:v>7.4961362117165891</c:v>
                </c:pt>
                <c:pt idx="6">
                  <c:v>7.4580188999858201</c:v>
                </c:pt>
                <c:pt idx="7">
                  <c:v>7.7910309626719734</c:v>
                </c:pt>
                <c:pt idx="8">
                  <c:v>7.5219620607694617</c:v>
                </c:pt>
                <c:pt idx="9">
                  <c:v>7.2358784734314412</c:v>
                </c:pt>
                <c:pt idx="10">
                  <c:v>6.9315011020453081</c:v>
                </c:pt>
                <c:pt idx="11">
                  <c:v>7.0515265644930913</c:v>
                </c:pt>
                <c:pt idx="12">
                  <c:v>7.9581187569225946</c:v>
                </c:pt>
                <c:pt idx="13">
                  <c:v>7.937331838102045</c:v>
                </c:pt>
                <c:pt idx="14">
                  <c:v>8.2885495422564297</c:v>
                </c:pt>
                <c:pt idx="15">
                  <c:v>7.9057255320655271</c:v>
                </c:pt>
                <c:pt idx="16">
                  <c:v>7.5068774535480021</c:v>
                </c:pt>
                <c:pt idx="17">
                  <c:v>7.6355309136268481</c:v>
                </c:pt>
                <c:pt idx="18">
                  <c:v>6.9595124657549752</c:v>
                </c:pt>
                <c:pt idx="19">
                  <c:v>7.0548036541908763</c:v>
                </c:pt>
                <c:pt idx="20">
                  <c:v>7.0756905137800121</c:v>
                </c:pt>
                <c:pt idx="21">
                  <c:v>7.4495270916381413</c:v>
                </c:pt>
                <c:pt idx="22">
                  <c:v>8.0643439801713654</c:v>
                </c:pt>
                <c:pt idx="23">
                  <c:v>7.622252907952733</c:v>
                </c:pt>
                <c:pt idx="24">
                  <c:v>7.9610040258987169</c:v>
                </c:pt>
                <c:pt idx="25">
                  <c:v>7.289296478970928</c:v>
                </c:pt>
                <c:pt idx="26">
                  <c:v>8.1509295655072105</c:v>
                </c:pt>
                <c:pt idx="27">
                  <c:v>7.3112183844196288</c:v>
                </c:pt>
                <c:pt idx="28">
                  <c:v>6.8304205680401422</c:v>
                </c:pt>
                <c:pt idx="29">
                  <c:v>6.7912214627261855</c:v>
                </c:pt>
                <c:pt idx="30">
                  <c:v>7.2009247679866082</c:v>
                </c:pt>
                <c:pt idx="31">
                  <c:v>6.9227916638082503</c:v>
                </c:pt>
                <c:pt idx="32">
                  <c:v>7.6741482744307294</c:v>
                </c:pt>
                <c:pt idx="33">
                  <c:v>7.8716049411778366</c:v>
                </c:pt>
                <c:pt idx="34">
                  <c:v>7.7017744166761499</c:v>
                </c:pt>
                <c:pt idx="35">
                  <c:v>8.0720366994066914</c:v>
                </c:pt>
                <c:pt idx="36">
                  <c:v>7.5270998253833543</c:v>
                </c:pt>
                <c:pt idx="37">
                  <c:v>7.6816802815682275</c:v>
                </c:pt>
                <c:pt idx="38">
                  <c:v>7.7243980364097062</c:v>
                </c:pt>
                <c:pt idx="39">
                  <c:v>7.3827526686250469</c:v>
                </c:pt>
                <c:pt idx="40">
                  <c:v>7.6292858139338513</c:v>
                </c:pt>
                <c:pt idx="41">
                  <c:v>7.731048754181864</c:v>
                </c:pt>
                <c:pt idx="42">
                  <c:v>7.5415769934572676</c:v>
                </c:pt>
                <c:pt idx="43">
                  <c:v>6.8967549971232716</c:v>
                </c:pt>
                <c:pt idx="44">
                  <c:v>7.0609655167323391</c:v>
                </c:pt>
                <c:pt idx="45">
                  <c:v>7.388061899661265</c:v>
                </c:pt>
                <c:pt idx="46">
                  <c:v>7.4625939604063802</c:v>
                </c:pt>
                <c:pt idx="47">
                  <c:v>7.4110062876461997</c:v>
                </c:pt>
                <c:pt idx="48">
                  <c:v>8.202926183727083</c:v>
                </c:pt>
                <c:pt idx="49">
                  <c:v>7.3452357165223123</c:v>
                </c:pt>
              </c:numCache>
            </c:numRef>
          </c:xVal>
          <c:yVal>
            <c:numRef>
              <c:f>Sheet1!$D$52:$D$101</c:f>
              <c:numCache>
                <c:formatCode>0.00</c:formatCode>
                <c:ptCount val="50"/>
                <c:pt idx="0">
                  <c:v>87.07</c:v>
                </c:pt>
                <c:pt idx="1">
                  <c:v>94.47</c:v>
                </c:pt>
                <c:pt idx="2">
                  <c:v>91.05</c:v>
                </c:pt>
                <c:pt idx="3">
                  <c:v>86.36</c:v>
                </c:pt>
                <c:pt idx="4">
                  <c:v>87.54</c:v>
                </c:pt>
                <c:pt idx="5">
                  <c:v>92.02</c:v>
                </c:pt>
                <c:pt idx="6">
                  <c:v>91.02</c:v>
                </c:pt>
                <c:pt idx="7">
                  <c:v>91.72</c:v>
                </c:pt>
                <c:pt idx="8">
                  <c:v>88.49</c:v>
                </c:pt>
                <c:pt idx="9">
                  <c:v>90.08</c:v>
                </c:pt>
                <c:pt idx="10">
                  <c:v>93.54</c:v>
                </c:pt>
                <c:pt idx="12">
                  <c:v>89.87</c:v>
                </c:pt>
                <c:pt idx="13">
                  <c:v>91.41</c:v>
                </c:pt>
                <c:pt idx="14">
                  <c:v>92.27</c:v>
                </c:pt>
                <c:pt idx="15">
                  <c:v>91.73</c:v>
                </c:pt>
                <c:pt idx="16">
                  <c:v>90.75</c:v>
                </c:pt>
                <c:pt idx="17">
                  <c:v>87.81</c:v>
                </c:pt>
                <c:pt idx="18">
                  <c:v>100.67</c:v>
                </c:pt>
                <c:pt idx="19">
                  <c:v>90.09</c:v>
                </c:pt>
                <c:pt idx="20">
                  <c:v>93.33</c:v>
                </c:pt>
                <c:pt idx="21">
                  <c:v>87.95</c:v>
                </c:pt>
                <c:pt idx="22">
                  <c:v>89.2</c:v>
                </c:pt>
                <c:pt idx="23">
                  <c:v>87.63</c:v>
                </c:pt>
                <c:pt idx="24">
                  <c:v>89.75</c:v>
                </c:pt>
                <c:pt idx="26">
                  <c:v>89.39</c:v>
                </c:pt>
                <c:pt idx="27">
                  <c:v>88.6</c:v>
                </c:pt>
                <c:pt idx="29">
                  <c:v>91.86</c:v>
                </c:pt>
                <c:pt idx="30">
                  <c:v>91.49</c:v>
                </c:pt>
                <c:pt idx="31">
                  <c:v>91.39</c:v>
                </c:pt>
                <c:pt idx="32">
                  <c:v>91.96</c:v>
                </c:pt>
                <c:pt idx="34">
                  <c:v>91.1</c:v>
                </c:pt>
                <c:pt idx="35">
                  <c:v>90.19</c:v>
                </c:pt>
                <c:pt idx="36">
                  <c:v>91.81</c:v>
                </c:pt>
                <c:pt idx="37">
                  <c:v>88.75</c:v>
                </c:pt>
                <c:pt idx="38">
                  <c:v>89.16</c:v>
                </c:pt>
                <c:pt idx="39">
                  <c:v>90.36</c:v>
                </c:pt>
                <c:pt idx="41">
                  <c:v>87.66</c:v>
                </c:pt>
                <c:pt idx="42">
                  <c:v>92.59</c:v>
                </c:pt>
                <c:pt idx="45">
                  <c:v>92.9</c:v>
                </c:pt>
                <c:pt idx="46">
                  <c:v>93.73</c:v>
                </c:pt>
                <c:pt idx="47">
                  <c:v>91.29</c:v>
                </c:pt>
                <c:pt idx="48">
                  <c:v>88.36</c:v>
                </c:pt>
              </c:numCache>
            </c:numRef>
          </c:yVal>
          <c:smooth val="0"/>
          <c:extLst>
            <c:ext xmlns:c16="http://schemas.microsoft.com/office/drawing/2014/chart" uri="{C3380CC4-5D6E-409C-BE32-E72D297353CC}">
              <c16:uniqueId val="{00000001-BA96-46C7-BEF9-78B24C1E8628}"/>
            </c:ext>
          </c:extLst>
        </c:ser>
        <c:ser>
          <c:idx val="2"/>
          <c:order val="2"/>
          <c:tx>
            <c:v>Hispanic</c:v>
          </c:tx>
          <c:spPr>
            <a:ln w="25400" cap="rnd">
              <a:noFill/>
              <a:round/>
            </a:ln>
            <a:effectLst/>
          </c:spPr>
          <c:marker>
            <c:symbol val="x"/>
            <c:size val="5"/>
            <c:spPr>
              <a:noFill/>
              <a:ln w="9525">
                <a:solidFill>
                  <a:schemeClr val="tx1"/>
                </a:solidFill>
              </a:ln>
              <a:effectLst/>
            </c:spPr>
          </c:marker>
          <c:xVal>
            <c:numRef>
              <c:f>Sheet1!$C$102:$C$151</c:f>
              <c:numCache>
                <c:formatCode>0.00</c:formatCode>
                <c:ptCount val="50"/>
                <c:pt idx="0">
                  <c:v>5.2845733487557771</c:v>
                </c:pt>
                <c:pt idx="1">
                  <c:v>6.5484769491732902</c:v>
                </c:pt>
                <c:pt idx="2">
                  <c:v>6.5231363711055099</c:v>
                </c:pt>
                <c:pt idx="3">
                  <c:v>6.1004086340971613</c:v>
                </c:pt>
                <c:pt idx="4">
                  <c:v>6.2088314456447371</c:v>
                </c:pt>
                <c:pt idx="5">
                  <c:v>6.2196354401362175</c:v>
                </c:pt>
                <c:pt idx="6">
                  <c:v>6.627710633659567</c:v>
                </c:pt>
                <c:pt idx="7">
                  <c:v>6.8440377540682507</c:v>
                </c:pt>
                <c:pt idx="8">
                  <c:v>5.3908053859831879</c:v>
                </c:pt>
                <c:pt idx="9">
                  <c:v>5.4995015665078197</c:v>
                </c:pt>
                <c:pt idx="10">
                  <c:v>5.6514359942839922</c:v>
                </c:pt>
                <c:pt idx="11">
                  <c:v>6.1604897647345878</c:v>
                </c:pt>
                <c:pt idx="12">
                  <c:v>6.0603140749883959</c:v>
                </c:pt>
                <c:pt idx="13">
                  <c:v>6.3066766662385847</c:v>
                </c:pt>
                <c:pt idx="14">
                  <c:v>6.6360121703318589</c:v>
                </c:pt>
                <c:pt idx="15">
                  <c:v>6.4555444154760622</c:v>
                </c:pt>
                <c:pt idx="16">
                  <c:v>5.9193507391326738</c:v>
                </c:pt>
                <c:pt idx="17">
                  <c:v>3.671478939433769</c:v>
                </c:pt>
                <c:pt idx="18">
                  <c:v>4.9383512985110904</c:v>
                </c:pt>
                <c:pt idx="19">
                  <c:v>5.2048305234545724</c:v>
                </c:pt>
                <c:pt idx="20">
                  <c:v>6.7102794744165051</c:v>
                </c:pt>
                <c:pt idx="21">
                  <c:v>5.6446338463585457</c:v>
                </c:pt>
                <c:pt idx="22">
                  <c:v>6.6616117442721894</c:v>
                </c:pt>
                <c:pt idx="23">
                  <c:v>5.2542609803511171</c:v>
                </c:pt>
                <c:pt idx="24">
                  <c:v>6.1325516979628931</c:v>
                </c:pt>
                <c:pt idx="25">
                  <c:v>5.9685540955248761</c:v>
                </c:pt>
                <c:pt idx="26">
                  <c:v>6.373473361402004</c:v>
                </c:pt>
                <c:pt idx="27">
                  <c:v>5.9713638754009795</c:v>
                </c:pt>
                <c:pt idx="28">
                  <c:v>6.3924697244940534</c:v>
                </c:pt>
                <c:pt idx="29">
                  <c:v>5.5643671388727034</c:v>
                </c:pt>
                <c:pt idx="30">
                  <c:v>6.5651945450203666</c:v>
                </c:pt>
                <c:pt idx="31">
                  <c:v>5.7617054109891521</c:v>
                </c:pt>
                <c:pt idx="32">
                  <c:v>6.4932090621377805</c:v>
                </c:pt>
                <c:pt idx="33">
                  <c:v>6.7066911728108067</c:v>
                </c:pt>
                <c:pt idx="34">
                  <c:v>6.1189998742070442</c:v>
                </c:pt>
                <c:pt idx="35">
                  <c:v>6.5465701795655189</c:v>
                </c:pt>
                <c:pt idx="36">
                  <c:v>6.5487490482763251</c:v>
                </c:pt>
                <c:pt idx="37">
                  <c:v>6.5640247646788099</c:v>
                </c:pt>
                <c:pt idx="38">
                  <c:v>7.1800470256030771</c:v>
                </c:pt>
                <c:pt idx="39">
                  <c:v>5.9326429862996397</c:v>
                </c:pt>
                <c:pt idx="40">
                  <c:v>6.1213957167000128</c:v>
                </c:pt>
                <c:pt idx="41">
                  <c:v>6.3438277086590391</c:v>
                </c:pt>
                <c:pt idx="42">
                  <c:v>6.4573346450721107</c:v>
                </c:pt>
                <c:pt idx="43">
                  <c:v>6.4544592964389791</c:v>
                </c:pt>
                <c:pt idx="44">
                  <c:v>5.9885854063571387</c:v>
                </c:pt>
                <c:pt idx="45">
                  <c:v>5.8140708285503244</c:v>
                </c:pt>
                <c:pt idx="46">
                  <c:v>6.5993941953219553</c:v>
                </c:pt>
                <c:pt idx="47">
                  <c:v>5.7796935820887398</c:v>
                </c:pt>
                <c:pt idx="48">
                  <c:v>6.3348769308131363</c:v>
                </c:pt>
                <c:pt idx="49">
                  <c:v>6.2025760021983531</c:v>
                </c:pt>
              </c:numCache>
            </c:numRef>
          </c:xVal>
          <c:yVal>
            <c:numRef>
              <c:f>Sheet1!$D$102:$D$151</c:f>
              <c:numCache>
                <c:formatCode>0.00</c:formatCode>
                <c:ptCount val="50"/>
                <c:pt idx="1">
                  <c:v>95.43</c:v>
                </c:pt>
                <c:pt idx="2">
                  <c:v>90.34</c:v>
                </c:pt>
                <c:pt idx="3">
                  <c:v>94.14</c:v>
                </c:pt>
                <c:pt idx="4">
                  <c:v>88.04</c:v>
                </c:pt>
                <c:pt idx="5">
                  <c:v>92.68</c:v>
                </c:pt>
                <c:pt idx="6">
                  <c:v>91.42</c:v>
                </c:pt>
                <c:pt idx="7">
                  <c:v>93.37</c:v>
                </c:pt>
                <c:pt idx="8">
                  <c:v>94.37</c:v>
                </c:pt>
                <c:pt idx="9">
                  <c:v>92.69</c:v>
                </c:pt>
                <c:pt idx="10">
                  <c:v>92.44</c:v>
                </c:pt>
                <c:pt idx="11">
                  <c:v>91.77</c:v>
                </c:pt>
                <c:pt idx="12">
                  <c:v>92.92</c:v>
                </c:pt>
                <c:pt idx="13">
                  <c:v>94.7</c:v>
                </c:pt>
                <c:pt idx="14">
                  <c:v>93.22</c:v>
                </c:pt>
                <c:pt idx="15">
                  <c:v>94.71</c:v>
                </c:pt>
                <c:pt idx="19">
                  <c:v>95.9</c:v>
                </c:pt>
                <c:pt idx="20">
                  <c:v>91.33</c:v>
                </c:pt>
                <c:pt idx="21">
                  <c:v>94.32</c:v>
                </c:pt>
                <c:pt idx="22">
                  <c:v>92.4</c:v>
                </c:pt>
                <c:pt idx="24">
                  <c:v>94.8</c:v>
                </c:pt>
                <c:pt idx="25">
                  <c:v>101.18</c:v>
                </c:pt>
                <c:pt idx="26">
                  <c:v>91.79</c:v>
                </c:pt>
                <c:pt idx="27">
                  <c:v>89.98</c:v>
                </c:pt>
                <c:pt idx="28">
                  <c:v>94.62</c:v>
                </c:pt>
                <c:pt idx="29">
                  <c:v>93.52</c:v>
                </c:pt>
                <c:pt idx="30">
                  <c:v>91.78</c:v>
                </c:pt>
                <c:pt idx="31">
                  <c:v>91.86</c:v>
                </c:pt>
                <c:pt idx="32">
                  <c:v>95.42</c:v>
                </c:pt>
                <c:pt idx="34">
                  <c:v>95.8</c:v>
                </c:pt>
                <c:pt idx="35">
                  <c:v>93.61</c:v>
                </c:pt>
                <c:pt idx="36">
                  <c:v>90.9</c:v>
                </c:pt>
                <c:pt idx="37">
                  <c:v>91.82</c:v>
                </c:pt>
                <c:pt idx="38">
                  <c:v>87.06</c:v>
                </c:pt>
                <c:pt idx="39">
                  <c:v>96.97</c:v>
                </c:pt>
                <c:pt idx="40">
                  <c:v>93.58</c:v>
                </c:pt>
                <c:pt idx="41">
                  <c:v>92.63</c:v>
                </c:pt>
                <c:pt idx="42">
                  <c:v>95.11</c:v>
                </c:pt>
                <c:pt idx="43">
                  <c:v>90.87</c:v>
                </c:pt>
                <c:pt idx="45">
                  <c:v>97.92</c:v>
                </c:pt>
                <c:pt idx="46">
                  <c:v>92.27</c:v>
                </c:pt>
                <c:pt idx="48">
                  <c:v>94.53</c:v>
                </c:pt>
                <c:pt idx="49">
                  <c:v>95.1</c:v>
                </c:pt>
              </c:numCache>
            </c:numRef>
          </c:yVal>
          <c:smooth val="0"/>
          <c:extLst>
            <c:ext xmlns:c16="http://schemas.microsoft.com/office/drawing/2014/chart" uri="{C3380CC4-5D6E-409C-BE32-E72D297353CC}">
              <c16:uniqueId val="{00000002-BA96-46C7-BEF9-78B24C1E8628}"/>
            </c:ext>
          </c:extLst>
        </c:ser>
        <c:ser>
          <c:idx val="3"/>
          <c:order val="3"/>
          <c:tx>
            <c:v>Asian</c:v>
          </c:tx>
          <c:spPr>
            <a:ln w="25400" cap="rnd">
              <a:noFill/>
              <a:round/>
            </a:ln>
            <a:effectLst/>
          </c:spPr>
          <c:marker>
            <c:symbol val="circle"/>
            <c:size val="5"/>
            <c:spPr>
              <a:noFill/>
              <a:ln w="9525">
                <a:solidFill>
                  <a:schemeClr val="tx1"/>
                </a:solidFill>
              </a:ln>
              <a:effectLst/>
            </c:spPr>
          </c:marker>
          <c:xVal>
            <c:numRef>
              <c:f>Sheet1!$C$152:$C$201</c:f>
              <c:numCache>
                <c:formatCode>0.00</c:formatCode>
                <c:ptCount val="50"/>
                <c:pt idx="0">
                  <c:v>5.8405835161483468</c:v>
                </c:pt>
                <c:pt idx="1">
                  <c:v>6.77278284856121</c:v>
                </c:pt>
                <c:pt idx="2">
                  <c:v>4.9085287378248799</c:v>
                </c:pt>
                <c:pt idx="3">
                  <c:v>5.8161881150406645</c:v>
                </c:pt>
                <c:pt idx="4">
                  <c:v>4.8876386913869849</c:v>
                </c:pt>
                <c:pt idx="5">
                  <c:v>4.7130375568570981</c:v>
                </c:pt>
                <c:pt idx="6">
                  <c:v>4.3212144952771245</c:v>
                </c:pt>
                <c:pt idx="7">
                  <c:v>4.8147015098824388</c:v>
                </c:pt>
                <c:pt idx="8">
                  <c:v>4.7313622112258509</c:v>
                </c:pt>
                <c:pt idx="9">
                  <c:v>4.4285523321108151</c:v>
                </c:pt>
                <c:pt idx="10">
                  <c:v>5.5531146116640411</c:v>
                </c:pt>
                <c:pt idx="11">
                  <c:v>5.5655926292221549</c:v>
                </c:pt>
                <c:pt idx="12">
                  <c:v>4.3644989178056655</c:v>
                </c:pt>
                <c:pt idx="13">
                  <c:v>4.5754323677241349</c:v>
                </c:pt>
                <c:pt idx="14">
                  <c:v>5.5647885705974245</c:v>
                </c:pt>
                <c:pt idx="15">
                  <c:v>5.1482500052834146</c:v>
                </c:pt>
                <c:pt idx="16">
                  <c:v>4.9060892614718679</c:v>
                </c:pt>
                <c:pt idx="17">
                  <c:v>4.0923425595514278</c:v>
                </c:pt>
                <c:pt idx="18">
                  <c:v>5.7115522119205613</c:v>
                </c:pt>
                <c:pt idx="19">
                  <c:v>3.9590974128140748</c:v>
                </c:pt>
                <c:pt idx="20">
                  <c:v>5.019991389020281</c:v>
                </c:pt>
                <c:pt idx="21">
                  <c:v>4.2998671047789081</c:v>
                </c:pt>
                <c:pt idx="22">
                  <c:v>5.939118066735773</c:v>
                </c:pt>
                <c:pt idx="23">
                  <c:v>6.0609206446225219</c:v>
                </c:pt>
                <c:pt idx="24">
                  <c:v>5.1058848660033531</c:v>
                </c:pt>
                <c:pt idx="25">
                  <c:v>5.6352894782109004</c:v>
                </c:pt>
                <c:pt idx="26">
                  <c:v>5.1703135259636701</c:v>
                </c:pt>
                <c:pt idx="27">
                  <c:v>5.3835312957625172</c:v>
                </c:pt>
                <c:pt idx="28">
                  <c:v>5.0443923908943891</c:v>
                </c:pt>
                <c:pt idx="29">
                  <c:v>3.1717842173343502</c:v>
                </c:pt>
                <c:pt idx="30">
                  <c:v>4.817374117263916</c:v>
                </c:pt>
                <c:pt idx="31">
                  <c:v>4.2657736778496318</c:v>
                </c:pt>
                <c:pt idx="32">
                  <c:v>5.4829279681454626</c:v>
                </c:pt>
                <c:pt idx="33">
                  <c:v>5.5382393691010643</c:v>
                </c:pt>
                <c:pt idx="34">
                  <c:v>4.9530061812596191</c:v>
                </c:pt>
                <c:pt idx="35">
                  <c:v>5.5411851107099759</c:v>
                </c:pt>
                <c:pt idx="36">
                  <c:v>5.4247737905005957</c:v>
                </c:pt>
                <c:pt idx="37">
                  <c:v>4.6911643791549524</c:v>
                </c:pt>
                <c:pt idx="38">
                  <c:v>6.0173272066337091</c:v>
                </c:pt>
                <c:pt idx="39">
                  <c:v>4.9102254664972174</c:v>
                </c:pt>
                <c:pt idx="40">
                  <c:v>5.9142594761990104</c:v>
                </c:pt>
                <c:pt idx="41">
                  <c:v>4.7983492527828284</c:v>
                </c:pt>
                <c:pt idx="42">
                  <c:v>4.7389140560376868</c:v>
                </c:pt>
                <c:pt idx="43">
                  <c:v>5.5285556903381128</c:v>
                </c:pt>
                <c:pt idx="44">
                  <c:v>5.2686310561776759</c:v>
                </c:pt>
                <c:pt idx="45">
                  <c:v>4.4990315899264246</c:v>
                </c:pt>
                <c:pt idx="46">
                  <c:v>5.5503204465427993</c:v>
                </c:pt>
                <c:pt idx="47">
                  <c:v>5.1094544617106603</c:v>
                </c:pt>
                <c:pt idx="48">
                  <c:v>5.7660058178363327</c:v>
                </c:pt>
                <c:pt idx="49">
                  <c:v>5.5033376796025575</c:v>
                </c:pt>
              </c:numCache>
            </c:numRef>
          </c:xVal>
          <c:yVal>
            <c:numRef>
              <c:f>Sheet1!$D$152:$D$201</c:f>
              <c:numCache>
                <c:formatCode>0.00</c:formatCode>
                <c:ptCount val="50"/>
                <c:pt idx="1">
                  <c:v>97.41</c:v>
                </c:pt>
                <c:pt idx="2">
                  <c:v>100.86</c:v>
                </c:pt>
                <c:pt idx="4">
                  <c:v>100.42</c:v>
                </c:pt>
                <c:pt idx="5">
                  <c:v>102.53</c:v>
                </c:pt>
                <c:pt idx="6">
                  <c:v>106.55</c:v>
                </c:pt>
                <c:pt idx="7">
                  <c:v>109.14</c:v>
                </c:pt>
                <c:pt idx="8">
                  <c:v>106.56</c:v>
                </c:pt>
                <c:pt idx="9">
                  <c:v>105.67</c:v>
                </c:pt>
                <c:pt idx="10">
                  <c:v>93.94</c:v>
                </c:pt>
                <c:pt idx="12">
                  <c:v>108.01</c:v>
                </c:pt>
                <c:pt idx="14">
                  <c:v>103.36</c:v>
                </c:pt>
                <c:pt idx="15">
                  <c:v>106.07</c:v>
                </c:pt>
                <c:pt idx="19">
                  <c:v>107.95</c:v>
                </c:pt>
                <c:pt idx="20">
                  <c:v>105.1</c:v>
                </c:pt>
                <c:pt idx="21">
                  <c:v>105.2</c:v>
                </c:pt>
                <c:pt idx="22">
                  <c:v>97.63</c:v>
                </c:pt>
                <c:pt idx="27">
                  <c:v>99.58</c:v>
                </c:pt>
                <c:pt idx="29">
                  <c:v>110.63</c:v>
                </c:pt>
                <c:pt idx="31">
                  <c:v>105.03</c:v>
                </c:pt>
                <c:pt idx="32">
                  <c:v>106.23</c:v>
                </c:pt>
                <c:pt idx="35">
                  <c:v>106.17</c:v>
                </c:pt>
                <c:pt idx="36">
                  <c:v>102.78</c:v>
                </c:pt>
                <c:pt idx="37">
                  <c:v>106.13</c:v>
                </c:pt>
                <c:pt idx="38">
                  <c:v>95.95</c:v>
                </c:pt>
                <c:pt idx="42">
                  <c:v>106.92</c:v>
                </c:pt>
                <c:pt idx="43">
                  <c:v>97.74</c:v>
                </c:pt>
                <c:pt idx="45">
                  <c:v>106.67</c:v>
                </c:pt>
                <c:pt idx="46">
                  <c:v>102.17</c:v>
                </c:pt>
                <c:pt idx="48">
                  <c:v>98.8</c:v>
                </c:pt>
              </c:numCache>
            </c:numRef>
          </c:yVal>
          <c:smooth val="0"/>
          <c:extLst>
            <c:ext xmlns:c16="http://schemas.microsoft.com/office/drawing/2014/chart" uri="{C3380CC4-5D6E-409C-BE32-E72D297353CC}">
              <c16:uniqueId val="{00000003-BA96-46C7-BEF9-78B24C1E8628}"/>
            </c:ext>
          </c:extLst>
        </c:ser>
        <c:ser>
          <c:idx val="4"/>
          <c:order val="4"/>
          <c:tx>
            <c:v>Native</c:v>
          </c:tx>
          <c:spPr>
            <a:ln w="25400" cap="rnd">
              <a:noFill/>
              <a:round/>
            </a:ln>
            <a:effectLst/>
          </c:spPr>
          <c:marker>
            <c:symbol val="dash"/>
            <c:size val="5"/>
            <c:spPr>
              <a:solidFill>
                <a:sysClr val="windowText" lastClr="000000"/>
              </a:solidFill>
              <a:ln w="9525">
                <a:solidFill>
                  <a:schemeClr val="tx1"/>
                </a:solidFill>
              </a:ln>
              <a:effectLst/>
            </c:spPr>
          </c:marker>
          <c:xVal>
            <c:numRef>
              <c:f>Sheet1!$C$202:$C$251</c:f>
              <c:numCache>
                <c:formatCode>0.00</c:formatCode>
                <c:ptCount val="50"/>
                <c:pt idx="0">
                  <c:v>4.7148314401976101</c:v>
                </c:pt>
                <c:pt idx="1">
                  <c:v>7.8835782715576261</c:v>
                </c:pt>
                <c:pt idx="2">
                  <c:v>7.1542949931026563</c:v>
                </c:pt>
                <c:pt idx="3">
                  <c:v>4.9806570705765694</c:v>
                </c:pt>
                <c:pt idx="4">
                  <c:v>5.5027265198059965</c:v>
                </c:pt>
                <c:pt idx="5">
                  <c:v>5.7098970756560545</c:v>
                </c:pt>
                <c:pt idx="6">
                  <c:v>5.571659613394992</c:v>
                </c:pt>
                <c:pt idx="7">
                  <c:v>4.8949251086008028</c:v>
                </c:pt>
                <c:pt idx="8">
                  <c:v>5.5715835272654575</c:v>
                </c:pt>
                <c:pt idx="9">
                  <c:v>5.6697774693535159</c:v>
                </c:pt>
                <c:pt idx="10">
                  <c:v>5.7356686635185232</c:v>
                </c:pt>
                <c:pt idx="11">
                  <c:v>6.3887294586508068</c:v>
                </c:pt>
                <c:pt idx="12">
                  <c:v>5.6672222193443984</c:v>
                </c:pt>
                <c:pt idx="13">
                  <c:v>5.1630129745171383</c:v>
                </c:pt>
                <c:pt idx="14">
                  <c:v>6.6163462701227216</c:v>
                </c:pt>
                <c:pt idx="15">
                  <c:v>6.2437784757219719</c:v>
                </c:pt>
                <c:pt idx="16">
                  <c:v>5.5535020734070413</c:v>
                </c:pt>
                <c:pt idx="17">
                  <c:v>4.7157271765527353</c:v>
                </c:pt>
                <c:pt idx="18">
                  <c:v>5.2533723005048678</c:v>
                </c:pt>
                <c:pt idx="19">
                  <c:v>5.1793085799658343</c:v>
                </c:pt>
                <c:pt idx="20">
                  <c:v>5.7386024933008217</c:v>
                </c:pt>
                <c:pt idx="21">
                  <c:v>5.0047513509372807</c:v>
                </c:pt>
                <c:pt idx="22">
                  <c:v>6.8880320485339439</c:v>
                </c:pt>
                <c:pt idx="23">
                  <c:v>7.3921794308891027</c:v>
                </c:pt>
                <c:pt idx="24">
                  <c:v>4.7710235500747391</c:v>
                </c:pt>
                <c:pt idx="25">
                  <c:v>7.350252810246654</c:v>
                </c:pt>
                <c:pt idx="26">
                  <c:v>7.0291938472525199</c:v>
                </c:pt>
                <c:pt idx="27">
                  <c:v>5.9981918678574084</c:v>
                </c:pt>
                <c:pt idx="28">
                  <c:v>5.2042264431484409</c:v>
                </c:pt>
                <c:pt idx="29">
                  <c:v>5.4870764910004155</c:v>
                </c:pt>
                <c:pt idx="30">
                  <c:v>6.7227380922401725</c:v>
                </c:pt>
                <c:pt idx="31">
                  <c:v>5.9241488398231148</c:v>
                </c:pt>
                <c:pt idx="32">
                  <c:v>6.5603939710287555</c:v>
                </c:pt>
                <c:pt idx="33">
                  <c:v>7.3428892156411889</c:v>
                </c:pt>
                <c:pt idx="34">
                  <c:v>5.5045995607868345</c:v>
                </c:pt>
                <c:pt idx="35">
                  <c:v>6.4911179938707217</c:v>
                </c:pt>
                <c:pt idx="36">
                  <c:v>6.04386722590103</c:v>
                </c:pt>
                <c:pt idx="37">
                  <c:v>5.315026980110984</c:v>
                </c:pt>
                <c:pt idx="38">
                  <c:v>6.4838104681271025</c:v>
                </c:pt>
                <c:pt idx="39">
                  <c:v>5.3971214356066177</c:v>
                </c:pt>
                <c:pt idx="40">
                  <c:v>7.9278437059459801</c:v>
                </c:pt>
                <c:pt idx="41">
                  <c:v>5.179590135279236</c:v>
                </c:pt>
                <c:pt idx="42">
                  <c:v>5.0580912352525509</c:v>
                </c:pt>
                <c:pt idx="43">
                  <c:v>6.1773837911239218</c:v>
                </c:pt>
                <c:pt idx="44">
                  <c:v>2.9311937524164198</c:v>
                </c:pt>
                <c:pt idx="45">
                  <c:v>4.4515526973224917</c:v>
                </c:pt>
                <c:pt idx="46">
                  <c:v>6.5593744152967712</c:v>
                </c:pt>
                <c:pt idx="47">
                  <c:v>3.3958497753355603</c:v>
                </c:pt>
                <c:pt idx="48">
                  <c:v>6.7434582991010013</c:v>
                </c:pt>
                <c:pt idx="49">
                  <c:v>6.9898788969822867</c:v>
                </c:pt>
              </c:numCache>
            </c:numRef>
          </c:xVal>
          <c:yVal>
            <c:numRef>
              <c:f>Sheet1!$D$202:$D$251</c:f>
              <c:numCache>
                <c:formatCode>0.00</c:formatCode>
                <c:ptCount val="50"/>
                <c:pt idx="1">
                  <c:v>89.68</c:v>
                </c:pt>
                <c:pt idx="2">
                  <c:v>88.35</c:v>
                </c:pt>
                <c:pt idx="4">
                  <c:v>96.22</c:v>
                </c:pt>
                <c:pt idx="11">
                  <c:v>86.97</c:v>
                </c:pt>
                <c:pt idx="22">
                  <c:v>100.93</c:v>
                </c:pt>
                <c:pt idx="25">
                  <c:v>93.54</c:v>
                </c:pt>
                <c:pt idx="26">
                  <c:v>91.48</c:v>
                </c:pt>
                <c:pt idx="27">
                  <c:v>90.09</c:v>
                </c:pt>
                <c:pt idx="30">
                  <c:v>88.51</c:v>
                </c:pt>
                <c:pt idx="32">
                  <c:v>91.96</c:v>
                </c:pt>
                <c:pt idx="33">
                  <c:v>92.67</c:v>
                </c:pt>
                <c:pt idx="35">
                  <c:v>96.96</c:v>
                </c:pt>
                <c:pt idx="36">
                  <c:v>93.88</c:v>
                </c:pt>
                <c:pt idx="40">
                  <c:v>91.68</c:v>
                </c:pt>
                <c:pt idx="46">
                  <c:v>95.58</c:v>
                </c:pt>
                <c:pt idx="48">
                  <c:v>95.46</c:v>
                </c:pt>
                <c:pt idx="49">
                  <c:v>92.76</c:v>
                </c:pt>
              </c:numCache>
            </c:numRef>
          </c:yVal>
          <c:smooth val="0"/>
          <c:extLst>
            <c:ext xmlns:c16="http://schemas.microsoft.com/office/drawing/2014/chart" uri="{C3380CC4-5D6E-409C-BE32-E72D297353CC}">
              <c16:uniqueId val="{00000004-BA96-46C7-BEF9-78B24C1E8628}"/>
            </c:ext>
          </c:extLst>
        </c:ser>
        <c:ser>
          <c:idx val="9"/>
          <c:order val="5"/>
          <c:tx>
            <c:v>Long</c:v>
          </c:tx>
          <c:spPr>
            <a:ln w="25400" cap="rnd">
              <a:noFill/>
              <a:round/>
            </a:ln>
            <a:effectLst/>
          </c:spPr>
          <c:marker>
            <c:symbol val="circle"/>
            <c:size val="5"/>
            <c:spPr>
              <a:noFill/>
              <a:ln w="9525">
                <a:noFill/>
              </a:ln>
              <a:effectLst/>
            </c:spPr>
          </c:marker>
          <c:trendline>
            <c:spPr>
              <a:ln w="12700" cap="rnd">
                <a:solidFill>
                  <a:schemeClr val="tx1"/>
                </a:solidFill>
                <a:prstDash val="solid"/>
              </a:ln>
              <a:effectLst/>
            </c:spPr>
            <c:trendlineType val="linear"/>
            <c:dispRSqr val="0"/>
            <c:dispEq val="0"/>
          </c:trendline>
          <c:xVal>
            <c:numRef>
              <c:f>Sheet1!$C$2:$C$254</c:f>
              <c:numCache>
                <c:formatCode>0.00</c:formatCode>
                <c:ptCount val="253"/>
                <c:pt idx="0">
                  <c:v>4.7424072042931762</c:v>
                </c:pt>
                <c:pt idx="1">
                  <c:v>5.8780158546004024</c:v>
                </c:pt>
                <c:pt idx="2">
                  <c:v>5.18705055411945</c:v>
                </c:pt>
                <c:pt idx="3">
                  <c:v>5.19750206130922</c:v>
                </c:pt>
                <c:pt idx="4">
                  <c:v>4.960464176849892</c:v>
                </c:pt>
                <c:pt idx="5">
                  <c:v>4.5589168014706294</c:v>
                </c:pt>
                <c:pt idx="6">
                  <c:v>4.2719327118768078</c:v>
                </c:pt>
                <c:pt idx="7">
                  <c:v>5.3477739752606288</c:v>
                </c:pt>
                <c:pt idx="8">
                  <c:v>5.1075805001527348</c:v>
                </c:pt>
                <c:pt idx="9">
                  <c:v>4.4965822455711919</c:v>
                </c:pt>
                <c:pt idx="10">
                  <c:v>5.4845894430863416</c:v>
                </c:pt>
                <c:pt idx="11">
                  <c:v>5.0615185044108255</c:v>
                </c:pt>
                <c:pt idx="12">
                  <c:v>5.0608847104993826</c:v>
                </c:pt>
                <c:pt idx="13">
                  <c:v>5.2070241081016455</c:v>
                </c:pt>
                <c:pt idx="14">
                  <c:v>5.3354686321788289</c:v>
                </c:pt>
                <c:pt idx="15">
                  <c:v>5.2713058173011866</c:v>
                </c:pt>
                <c:pt idx="16">
                  <c:v>4.9959276652239817</c:v>
                </c:pt>
                <c:pt idx="17">
                  <c:v>5.035783087628908</c:v>
                </c:pt>
                <c:pt idx="18">
                  <c:v>5.0469029332667974</c:v>
                </c:pt>
                <c:pt idx="19">
                  <c:v>4.6941878823057444</c:v>
                </c:pt>
                <c:pt idx="20">
                  <c:v>4.2859286446285445</c:v>
                </c:pt>
                <c:pt idx="21">
                  <c:v>4.7931424142908607</c:v>
                </c:pt>
                <c:pt idx="22">
                  <c:v>4.9392824973176799</c:v>
                </c:pt>
                <c:pt idx="23">
                  <c:v>5.04148775757902</c:v>
                </c:pt>
                <c:pt idx="24">
                  <c:v>5.1387352967235715</c:v>
                </c:pt>
                <c:pt idx="25">
                  <c:v>4.9797636304291686</c:v>
                </c:pt>
                <c:pt idx="26">
                  <c:v>5.0601236271874495</c:v>
                </c:pt>
                <c:pt idx="27">
                  <c:v>5.1591702351378785</c:v>
                </c:pt>
                <c:pt idx="28">
                  <c:v>4.8950747867929696</c:v>
                </c:pt>
                <c:pt idx="29">
                  <c:v>3.5570608794930885</c:v>
                </c:pt>
                <c:pt idx="30">
                  <c:v>5.4353800169363762</c:v>
                </c:pt>
                <c:pt idx="31">
                  <c:v>4.403298769949421</c:v>
                </c:pt>
                <c:pt idx="32">
                  <c:v>5.264657165055401</c:v>
                </c:pt>
                <c:pt idx="33">
                  <c:v>5.201310748605886</c:v>
                </c:pt>
                <c:pt idx="34">
                  <c:v>4.9276883732753296</c:v>
                </c:pt>
                <c:pt idx="35">
                  <c:v>5.6381055279803309</c:v>
                </c:pt>
                <c:pt idx="36">
                  <c:v>5.3818769596469673</c:v>
                </c:pt>
                <c:pt idx="37">
                  <c:v>4.5367842731216266</c:v>
                </c:pt>
                <c:pt idx="38">
                  <c:v>5.0675825745380054</c:v>
                </c:pt>
                <c:pt idx="39">
                  <c:v>5.019991389020281</c:v>
                </c:pt>
                <c:pt idx="40">
                  <c:v>5.3608695412050009</c:v>
                </c:pt>
                <c:pt idx="41">
                  <c:v>5.3374900016225091</c:v>
                </c:pt>
                <c:pt idx="42">
                  <c:v>5.2336721730545053</c:v>
                </c:pt>
                <c:pt idx="43">
                  <c:v>5.1676390429059209</c:v>
                </c:pt>
                <c:pt idx="44">
                  <c:v>5.1892276839603326</c:v>
                </c:pt>
                <c:pt idx="45">
                  <c:v>4.8779416457041185</c:v>
                </c:pt>
                <c:pt idx="46">
                  <c:v>5.3395552745642814</c:v>
                </c:pt>
                <c:pt idx="47">
                  <c:v>5.0056897517032413</c:v>
                </c:pt>
                <c:pt idx="48">
                  <c:v>5.0428443031182715</c:v>
                </c:pt>
                <c:pt idx="49">
                  <c:v>5.279134547131263</c:v>
                </c:pt>
                <c:pt idx="50">
                  <c:v>7.4932504314851478</c:v>
                </c:pt>
                <c:pt idx="51">
                  <c:v>7.8140562792269233</c:v>
                </c:pt>
                <c:pt idx="52">
                  <c:v>7.3666474034731539</c:v>
                </c:pt>
                <c:pt idx="53">
                  <c:v>7.8088958241549911</c:v>
                </c:pt>
                <c:pt idx="54">
                  <c:v>7.2052342051635403</c:v>
                </c:pt>
                <c:pt idx="55">
                  <c:v>7.4961362117165891</c:v>
                </c:pt>
                <c:pt idx="56">
                  <c:v>7.4580188999858201</c:v>
                </c:pt>
                <c:pt idx="57">
                  <c:v>7.7910309626719734</c:v>
                </c:pt>
                <c:pt idx="58">
                  <c:v>7.5219620607694617</c:v>
                </c:pt>
                <c:pt idx="59">
                  <c:v>7.2358784734314412</c:v>
                </c:pt>
                <c:pt idx="60">
                  <c:v>6.9315011020453081</c:v>
                </c:pt>
                <c:pt idx="61">
                  <c:v>7.0515265644930913</c:v>
                </c:pt>
                <c:pt idx="62">
                  <c:v>7.9581187569225946</c:v>
                </c:pt>
                <c:pt idx="63">
                  <c:v>7.937331838102045</c:v>
                </c:pt>
                <c:pt idx="64">
                  <c:v>8.2885495422564297</c:v>
                </c:pt>
                <c:pt idx="65">
                  <c:v>7.9057255320655271</c:v>
                </c:pt>
                <c:pt idx="66">
                  <c:v>7.5068774535480021</c:v>
                </c:pt>
                <c:pt idx="67">
                  <c:v>7.6355309136268481</c:v>
                </c:pt>
                <c:pt idx="68">
                  <c:v>6.9595124657549752</c:v>
                </c:pt>
                <c:pt idx="69">
                  <c:v>7.0548036541908763</c:v>
                </c:pt>
                <c:pt idx="70">
                  <c:v>7.0756905137800121</c:v>
                </c:pt>
                <c:pt idx="71">
                  <c:v>7.4495270916381413</c:v>
                </c:pt>
                <c:pt idx="72">
                  <c:v>8.0643439801713654</c:v>
                </c:pt>
                <c:pt idx="73">
                  <c:v>7.622252907952733</c:v>
                </c:pt>
                <c:pt idx="74">
                  <c:v>7.9610040258987169</c:v>
                </c:pt>
                <c:pt idx="75">
                  <c:v>7.289296478970928</c:v>
                </c:pt>
                <c:pt idx="76">
                  <c:v>8.1509295655072105</c:v>
                </c:pt>
                <c:pt idx="77">
                  <c:v>7.3112183844196288</c:v>
                </c:pt>
                <c:pt idx="78">
                  <c:v>6.8304205680401422</c:v>
                </c:pt>
                <c:pt idx="79">
                  <c:v>6.7912214627261855</c:v>
                </c:pt>
                <c:pt idx="80">
                  <c:v>7.2009247679866082</c:v>
                </c:pt>
                <c:pt idx="81">
                  <c:v>6.9227916638082503</c:v>
                </c:pt>
                <c:pt idx="82">
                  <c:v>7.6741482744307294</c:v>
                </c:pt>
                <c:pt idx="83">
                  <c:v>7.8716049411778366</c:v>
                </c:pt>
                <c:pt idx="84">
                  <c:v>7.7017744166761499</c:v>
                </c:pt>
                <c:pt idx="85">
                  <c:v>8.0720366994066914</c:v>
                </c:pt>
                <c:pt idx="86">
                  <c:v>7.5270998253833543</c:v>
                </c:pt>
                <c:pt idx="87">
                  <c:v>7.6816802815682275</c:v>
                </c:pt>
                <c:pt idx="88">
                  <c:v>7.7243980364097062</c:v>
                </c:pt>
                <c:pt idx="89">
                  <c:v>7.3827526686250469</c:v>
                </c:pt>
                <c:pt idx="90">
                  <c:v>7.6292858139338513</c:v>
                </c:pt>
                <c:pt idx="91">
                  <c:v>7.731048754181864</c:v>
                </c:pt>
                <c:pt idx="92">
                  <c:v>7.5415769934572676</c:v>
                </c:pt>
                <c:pt idx="93">
                  <c:v>6.8967549971232716</c:v>
                </c:pt>
                <c:pt idx="94">
                  <c:v>7.0609655167323391</c:v>
                </c:pt>
                <c:pt idx="95">
                  <c:v>7.388061899661265</c:v>
                </c:pt>
                <c:pt idx="96">
                  <c:v>7.4625939604063802</c:v>
                </c:pt>
                <c:pt idx="97">
                  <c:v>7.4110062876461997</c:v>
                </c:pt>
                <c:pt idx="98">
                  <c:v>8.202926183727083</c:v>
                </c:pt>
                <c:pt idx="99">
                  <c:v>7.3452357165223123</c:v>
                </c:pt>
                <c:pt idx="100">
                  <c:v>5.2845733487557771</c:v>
                </c:pt>
                <c:pt idx="101">
                  <c:v>6.5484769491732902</c:v>
                </c:pt>
                <c:pt idx="102">
                  <c:v>6.5231363711055099</c:v>
                </c:pt>
                <c:pt idx="103">
                  <c:v>6.1004086340971613</c:v>
                </c:pt>
                <c:pt idx="104">
                  <c:v>6.2088314456447371</c:v>
                </c:pt>
                <c:pt idx="105">
                  <c:v>6.2196354401362175</c:v>
                </c:pt>
                <c:pt idx="106">
                  <c:v>6.627710633659567</c:v>
                </c:pt>
                <c:pt idx="107">
                  <c:v>6.8440377540682507</c:v>
                </c:pt>
                <c:pt idx="108">
                  <c:v>5.3908053859831879</c:v>
                </c:pt>
                <c:pt idx="109">
                  <c:v>5.4995015665078197</c:v>
                </c:pt>
                <c:pt idx="110">
                  <c:v>5.6514359942839922</c:v>
                </c:pt>
                <c:pt idx="111">
                  <c:v>6.1604897647345878</c:v>
                </c:pt>
                <c:pt idx="112">
                  <c:v>6.0603140749883959</c:v>
                </c:pt>
                <c:pt idx="113">
                  <c:v>6.3066766662385847</c:v>
                </c:pt>
                <c:pt idx="114">
                  <c:v>6.6360121703318589</c:v>
                </c:pt>
                <c:pt idx="115">
                  <c:v>6.4555444154760622</c:v>
                </c:pt>
                <c:pt idx="116">
                  <c:v>5.9193507391326738</c:v>
                </c:pt>
                <c:pt idx="117">
                  <c:v>3.671478939433769</c:v>
                </c:pt>
                <c:pt idx="118">
                  <c:v>4.9383512985110904</c:v>
                </c:pt>
                <c:pt idx="119">
                  <c:v>5.2048305234545724</c:v>
                </c:pt>
                <c:pt idx="120">
                  <c:v>6.7102794744165051</c:v>
                </c:pt>
                <c:pt idx="121">
                  <c:v>5.6446338463585457</c:v>
                </c:pt>
                <c:pt idx="122">
                  <c:v>6.6616117442721894</c:v>
                </c:pt>
                <c:pt idx="123">
                  <c:v>5.2542609803511171</c:v>
                </c:pt>
                <c:pt idx="124">
                  <c:v>6.1325516979628931</c:v>
                </c:pt>
                <c:pt idx="125">
                  <c:v>5.9685540955248761</c:v>
                </c:pt>
                <c:pt idx="126">
                  <c:v>6.373473361402004</c:v>
                </c:pt>
                <c:pt idx="127">
                  <c:v>5.9713638754009795</c:v>
                </c:pt>
                <c:pt idx="128">
                  <c:v>6.3924697244940534</c:v>
                </c:pt>
                <c:pt idx="129">
                  <c:v>5.5643671388727034</c:v>
                </c:pt>
                <c:pt idx="130">
                  <c:v>6.5651945450203666</c:v>
                </c:pt>
                <c:pt idx="131">
                  <c:v>5.7617054109891521</c:v>
                </c:pt>
                <c:pt idx="132">
                  <c:v>6.4932090621377805</c:v>
                </c:pt>
                <c:pt idx="133">
                  <c:v>6.7066911728108067</c:v>
                </c:pt>
                <c:pt idx="134">
                  <c:v>6.1189998742070442</c:v>
                </c:pt>
                <c:pt idx="135">
                  <c:v>6.5465701795655189</c:v>
                </c:pt>
                <c:pt idx="136">
                  <c:v>6.5487490482763251</c:v>
                </c:pt>
                <c:pt idx="137">
                  <c:v>6.5640247646788099</c:v>
                </c:pt>
                <c:pt idx="138">
                  <c:v>7.1800470256030771</c:v>
                </c:pt>
                <c:pt idx="139">
                  <c:v>5.9326429862996397</c:v>
                </c:pt>
                <c:pt idx="140">
                  <c:v>6.1213957167000128</c:v>
                </c:pt>
                <c:pt idx="141">
                  <c:v>6.3438277086590391</c:v>
                </c:pt>
                <c:pt idx="142">
                  <c:v>6.4573346450721107</c:v>
                </c:pt>
                <c:pt idx="143">
                  <c:v>6.4544592964389791</c:v>
                </c:pt>
                <c:pt idx="144">
                  <c:v>5.9885854063571387</c:v>
                </c:pt>
                <c:pt idx="145">
                  <c:v>5.8140708285503244</c:v>
                </c:pt>
                <c:pt idx="146">
                  <c:v>6.5993941953219553</c:v>
                </c:pt>
                <c:pt idx="147">
                  <c:v>5.7796935820887398</c:v>
                </c:pt>
                <c:pt idx="148">
                  <c:v>6.3348769308131363</c:v>
                </c:pt>
                <c:pt idx="149">
                  <c:v>6.2025760021983531</c:v>
                </c:pt>
                <c:pt idx="150">
                  <c:v>5.8405835161483468</c:v>
                </c:pt>
                <c:pt idx="151">
                  <c:v>6.77278284856121</c:v>
                </c:pt>
                <c:pt idx="152">
                  <c:v>4.9085287378248799</c:v>
                </c:pt>
                <c:pt idx="153">
                  <c:v>5.8161881150406645</c:v>
                </c:pt>
                <c:pt idx="154">
                  <c:v>4.8876386913869849</c:v>
                </c:pt>
                <c:pt idx="155">
                  <c:v>4.7130375568570981</c:v>
                </c:pt>
                <c:pt idx="156">
                  <c:v>4.3212144952771245</c:v>
                </c:pt>
                <c:pt idx="157">
                  <c:v>4.8147015098824388</c:v>
                </c:pt>
                <c:pt idx="158">
                  <c:v>4.7313622112258509</c:v>
                </c:pt>
                <c:pt idx="159">
                  <c:v>4.4285523321108151</c:v>
                </c:pt>
                <c:pt idx="160">
                  <c:v>5.5531146116640411</c:v>
                </c:pt>
                <c:pt idx="161">
                  <c:v>5.5655926292221549</c:v>
                </c:pt>
                <c:pt idx="162">
                  <c:v>4.3644989178056655</c:v>
                </c:pt>
                <c:pt idx="163">
                  <c:v>4.5754323677241349</c:v>
                </c:pt>
                <c:pt idx="164">
                  <c:v>5.5647885705974245</c:v>
                </c:pt>
                <c:pt idx="165">
                  <c:v>5.1482500052834146</c:v>
                </c:pt>
                <c:pt idx="166">
                  <c:v>4.9060892614718679</c:v>
                </c:pt>
                <c:pt idx="167">
                  <c:v>4.0923425595514278</c:v>
                </c:pt>
                <c:pt idx="168">
                  <c:v>5.7115522119205613</c:v>
                </c:pt>
                <c:pt idx="169">
                  <c:v>3.9590974128140748</c:v>
                </c:pt>
                <c:pt idx="170">
                  <c:v>5.019991389020281</c:v>
                </c:pt>
                <c:pt idx="171">
                  <c:v>4.2998671047789081</c:v>
                </c:pt>
                <c:pt idx="172">
                  <c:v>5.939118066735773</c:v>
                </c:pt>
                <c:pt idx="173">
                  <c:v>6.0609206446225219</c:v>
                </c:pt>
                <c:pt idx="174">
                  <c:v>5.1058848660033531</c:v>
                </c:pt>
                <c:pt idx="175">
                  <c:v>5.6352894782109004</c:v>
                </c:pt>
                <c:pt idx="176">
                  <c:v>5.1703135259636701</c:v>
                </c:pt>
                <c:pt idx="177">
                  <c:v>5.3835312957625172</c:v>
                </c:pt>
                <c:pt idx="178">
                  <c:v>5.0443923908943891</c:v>
                </c:pt>
                <c:pt idx="179">
                  <c:v>3.1717842173343502</c:v>
                </c:pt>
                <c:pt idx="180">
                  <c:v>4.817374117263916</c:v>
                </c:pt>
                <c:pt idx="181">
                  <c:v>4.2657736778496318</c:v>
                </c:pt>
                <c:pt idx="182">
                  <c:v>5.4829279681454626</c:v>
                </c:pt>
                <c:pt idx="183">
                  <c:v>5.5382393691010643</c:v>
                </c:pt>
                <c:pt idx="184">
                  <c:v>4.9530061812596191</c:v>
                </c:pt>
                <c:pt idx="185">
                  <c:v>5.5411851107099759</c:v>
                </c:pt>
                <c:pt idx="186">
                  <c:v>5.4247737905005957</c:v>
                </c:pt>
                <c:pt idx="187">
                  <c:v>4.6911643791549524</c:v>
                </c:pt>
                <c:pt idx="188">
                  <c:v>6.0173272066337091</c:v>
                </c:pt>
                <c:pt idx="189">
                  <c:v>4.9102254664972174</c:v>
                </c:pt>
                <c:pt idx="190">
                  <c:v>5.9142594761990104</c:v>
                </c:pt>
                <c:pt idx="191">
                  <c:v>4.7983492527828284</c:v>
                </c:pt>
                <c:pt idx="192">
                  <c:v>4.7389140560376868</c:v>
                </c:pt>
                <c:pt idx="193">
                  <c:v>5.5285556903381128</c:v>
                </c:pt>
                <c:pt idx="194">
                  <c:v>5.2686310561776759</c:v>
                </c:pt>
                <c:pt idx="195">
                  <c:v>4.4990315899264246</c:v>
                </c:pt>
                <c:pt idx="196">
                  <c:v>5.5503204465427993</c:v>
                </c:pt>
                <c:pt idx="197">
                  <c:v>5.1094544617106603</c:v>
                </c:pt>
                <c:pt idx="198">
                  <c:v>5.7660058178363327</c:v>
                </c:pt>
                <c:pt idx="199">
                  <c:v>5.5033376796025575</c:v>
                </c:pt>
                <c:pt idx="200">
                  <c:v>4.7148314401976101</c:v>
                </c:pt>
                <c:pt idx="201">
                  <c:v>7.8835782715576261</c:v>
                </c:pt>
                <c:pt idx="202">
                  <c:v>7.1542949931026563</c:v>
                </c:pt>
                <c:pt idx="203">
                  <c:v>4.9806570705765694</c:v>
                </c:pt>
                <c:pt idx="204">
                  <c:v>5.5027265198059965</c:v>
                </c:pt>
                <c:pt idx="205">
                  <c:v>5.7098970756560545</c:v>
                </c:pt>
                <c:pt idx="206">
                  <c:v>5.571659613394992</c:v>
                </c:pt>
                <c:pt idx="207">
                  <c:v>4.8949251086008028</c:v>
                </c:pt>
                <c:pt idx="208">
                  <c:v>5.5715835272654575</c:v>
                </c:pt>
                <c:pt idx="209">
                  <c:v>5.6697774693535159</c:v>
                </c:pt>
                <c:pt idx="210">
                  <c:v>5.7356686635185232</c:v>
                </c:pt>
                <c:pt idx="211">
                  <c:v>6.3887294586508068</c:v>
                </c:pt>
                <c:pt idx="212">
                  <c:v>5.6672222193443984</c:v>
                </c:pt>
                <c:pt idx="213">
                  <c:v>5.1630129745171383</c:v>
                </c:pt>
                <c:pt idx="214">
                  <c:v>6.6163462701227216</c:v>
                </c:pt>
                <c:pt idx="215">
                  <c:v>6.2437784757219719</c:v>
                </c:pt>
                <c:pt idx="216">
                  <c:v>5.5535020734070413</c:v>
                </c:pt>
                <c:pt idx="217">
                  <c:v>4.7157271765527353</c:v>
                </c:pt>
                <c:pt idx="218">
                  <c:v>5.2533723005048678</c:v>
                </c:pt>
                <c:pt idx="219">
                  <c:v>5.1793085799658343</c:v>
                </c:pt>
                <c:pt idx="220">
                  <c:v>5.7386024933008217</c:v>
                </c:pt>
                <c:pt idx="221">
                  <c:v>5.0047513509372807</c:v>
                </c:pt>
                <c:pt idx="222">
                  <c:v>6.8880320485339439</c:v>
                </c:pt>
                <c:pt idx="223">
                  <c:v>7.3921794308891027</c:v>
                </c:pt>
                <c:pt idx="224">
                  <c:v>4.7710235500747391</c:v>
                </c:pt>
                <c:pt idx="225">
                  <c:v>7.350252810246654</c:v>
                </c:pt>
                <c:pt idx="226">
                  <c:v>7.0291938472525199</c:v>
                </c:pt>
                <c:pt idx="227">
                  <c:v>5.9981918678574084</c:v>
                </c:pt>
                <c:pt idx="228">
                  <c:v>5.2042264431484409</c:v>
                </c:pt>
                <c:pt idx="229">
                  <c:v>5.4870764910004155</c:v>
                </c:pt>
                <c:pt idx="230">
                  <c:v>6.7227380922401725</c:v>
                </c:pt>
                <c:pt idx="231">
                  <c:v>5.9241488398231148</c:v>
                </c:pt>
                <c:pt idx="232">
                  <c:v>6.5603939710287555</c:v>
                </c:pt>
                <c:pt idx="233">
                  <c:v>7.3428892156411889</c:v>
                </c:pt>
                <c:pt idx="234">
                  <c:v>5.5045995607868345</c:v>
                </c:pt>
                <c:pt idx="235">
                  <c:v>6.4911179938707217</c:v>
                </c:pt>
                <c:pt idx="236">
                  <c:v>6.04386722590103</c:v>
                </c:pt>
                <c:pt idx="237">
                  <c:v>5.315026980110984</c:v>
                </c:pt>
                <c:pt idx="238">
                  <c:v>6.4838104681271025</c:v>
                </c:pt>
                <c:pt idx="239">
                  <c:v>5.3971214356066177</c:v>
                </c:pt>
                <c:pt idx="240">
                  <c:v>7.9278437059459801</c:v>
                </c:pt>
                <c:pt idx="241">
                  <c:v>5.179590135279236</c:v>
                </c:pt>
                <c:pt idx="242">
                  <c:v>5.0580912352525509</c:v>
                </c:pt>
                <c:pt idx="243">
                  <c:v>6.1773837911239218</c:v>
                </c:pt>
                <c:pt idx="244">
                  <c:v>2.9311937524164198</c:v>
                </c:pt>
                <c:pt idx="245">
                  <c:v>4.4515526973224917</c:v>
                </c:pt>
                <c:pt idx="246">
                  <c:v>6.5593744152967712</c:v>
                </c:pt>
                <c:pt idx="247">
                  <c:v>3.3958497753355603</c:v>
                </c:pt>
                <c:pt idx="248">
                  <c:v>6.7434582991010013</c:v>
                </c:pt>
                <c:pt idx="249">
                  <c:v>6.9898788969822867</c:v>
                </c:pt>
                <c:pt idx="251">
                  <c:v>3</c:v>
                </c:pt>
                <c:pt idx="252">
                  <c:v>9</c:v>
                </c:pt>
              </c:numCache>
            </c:numRef>
          </c:xVal>
          <c:yVal>
            <c:numRef>
              <c:f>Sheet1!$D$2:$D$254</c:f>
              <c:numCache>
                <c:formatCode>0.00</c:formatCode>
                <c:ptCount val="253"/>
                <c:pt idx="0">
                  <c:v>99.94</c:v>
                </c:pt>
                <c:pt idx="1">
                  <c:v>103.39</c:v>
                </c:pt>
                <c:pt idx="2">
                  <c:v>102.2</c:v>
                </c:pt>
                <c:pt idx="3">
                  <c:v>100.21</c:v>
                </c:pt>
                <c:pt idx="4">
                  <c:v>101.45</c:v>
                </c:pt>
                <c:pt idx="5">
                  <c:v>104.16</c:v>
                </c:pt>
                <c:pt idx="6">
                  <c:v>106.66</c:v>
                </c:pt>
                <c:pt idx="7">
                  <c:v>103.07</c:v>
                </c:pt>
                <c:pt idx="8">
                  <c:v>102.13</c:v>
                </c:pt>
                <c:pt idx="9">
                  <c:v>102.27</c:v>
                </c:pt>
                <c:pt idx="10">
                  <c:v>99.86</c:v>
                </c:pt>
                <c:pt idx="11">
                  <c:v>102.1</c:v>
                </c:pt>
                <c:pt idx="12">
                  <c:v>104.39</c:v>
                </c:pt>
                <c:pt idx="13">
                  <c:v>102.88</c:v>
                </c:pt>
                <c:pt idx="14">
                  <c:v>103.57</c:v>
                </c:pt>
                <c:pt idx="15">
                  <c:v>104.36</c:v>
                </c:pt>
                <c:pt idx="16">
                  <c:v>99.83</c:v>
                </c:pt>
                <c:pt idx="17">
                  <c:v>100.53</c:v>
                </c:pt>
                <c:pt idx="18">
                  <c:v>103.16</c:v>
                </c:pt>
                <c:pt idx="19">
                  <c:v>104.38</c:v>
                </c:pt>
                <c:pt idx="20">
                  <c:v>105.8</c:v>
                </c:pt>
                <c:pt idx="21">
                  <c:v>103.53</c:v>
                </c:pt>
                <c:pt idx="22">
                  <c:v>104.86</c:v>
                </c:pt>
                <c:pt idx="23">
                  <c:v>99.63</c:v>
                </c:pt>
                <c:pt idx="24">
                  <c:v>102.55</c:v>
                </c:pt>
                <c:pt idx="25">
                  <c:v>104.03</c:v>
                </c:pt>
                <c:pt idx="26">
                  <c:v>103.63</c:v>
                </c:pt>
                <c:pt idx="27">
                  <c:v>99.86</c:v>
                </c:pt>
                <c:pt idx="28">
                  <c:v>103.99</c:v>
                </c:pt>
                <c:pt idx="29">
                  <c:v>106.46</c:v>
                </c:pt>
                <c:pt idx="30">
                  <c:v>101.56</c:v>
                </c:pt>
                <c:pt idx="31">
                  <c:v>105.11</c:v>
                </c:pt>
                <c:pt idx="32">
                  <c:v>103.98</c:v>
                </c:pt>
                <c:pt idx="33">
                  <c:v>103.96</c:v>
                </c:pt>
                <c:pt idx="34">
                  <c:v>103.65</c:v>
                </c:pt>
                <c:pt idx="35">
                  <c:v>101.35</c:v>
                </c:pt>
                <c:pt idx="36">
                  <c:v>102.07</c:v>
                </c:pt>
                <c:pt idx="37">
                  <c:v>103.73</c:v>
                </c:pt>
                <c:pt idx="38">
                  <c:v>101.94</c:v>
                </c:pt>
                <c:pt idx="39">
                  <c:v>102.53</c:v>
                </c:pt>
                <c:pt idx="40">
                  <c:v>103.86</c:v>
                </c:pt>
                <c:pt idx="41">
                  <c:v>100.18</c:v>
                </c:pt>
                <c:pt idx="42">
                  <c:v>105.19</c:v>
                </c:pt>
                <c:pt idx="43">
                  <c:v>101.88</c:v>
                </c:pt>
                <c:pt idx="44">
                  <c:v>103.13</c:v>
                </c:pt>
                <c:pt idx="45">
                  <c:v>104.51</c:v>
                </c:pt>
                <c:pt idx="46">
                  <c:v>102.95</c:v>
                </c:pt>
                <c:pt idx="47">
                  <c:v>98.67</c:v>
                </c:pt>
                <c:pt idx="48">
                  <c:v>104.6</c:v>
                </c:pt>
                <c:pt idx="49">
                  <c:v>102.39</c:v>
                </c:pt>
                <c:pt idx="50">
                  <c:v>87.07</c:v>
                </c:pt>
                <c:pt idx="51">
                  <c:v>94.47</c:v>
                </c:pt>
                <c:pt idx="52">
                  <c:v>91.05</c:v>
                </c:pt>
                <c:pt idx="53">
                  <c:v>86.36</c:v>
                </c:pt>
                <c:pt idx="54">
                  <c:v>87.54</c:v>
                </c:pt>
                <c:pt idx="55">
                  <c:v>92.02</c:v>
                </c:pt>
                <c:pt idx="56">
                  <c:v>91.02</c:v>
                </c:pt>
                <c:pt idx="57">
                  <c:v>91.72</c:v>
                </c:pt>
                <c:pt idx="58">
                  <c:v>88.49</c:v>
                </c:pt>
                <c:pt idx="59">
                  <c:v>90.08</c:v>
                </c:pt>
                <c:pt idx="60">
                  <c:v>93.54</c:v>
                </c:pt>
                <c:pt idx="62">
                  <c:v>89.87</c:v>
                </c:pt>
                <c:pt idx="63">
                  <c:v>91.41</c:v>
                </c:pt>
                <c:pt idx="64">
                  <c:v>92.27</c:v>
                </c:pt>
                <c:pt idx="65">
                  <c:v>91.73</c:v>
                </c:pt>
                <c:pt idx="66">
                  <c:v>90.75</c:v>
                </c:pt>
                <c:pt idx="67">
                  <c:v>87.81</c:v>
                </c:pt>
                <c:pt idx="68">
                  <c:v>100.67</c:v>
                </c:pt>
                <c:pt idx="69">
                  <c:v>90.09</c:v>
                </c:pt>
                <c:pt idx="70">
                  <c:v>93.33</c:v>
                </c:pt>
                <c:pt idx="71">
                  <c:v>87.95</c:v>
                </c:pt>
                <c:pt idx="72">
                  <c:v>89.2</c:v>
                </c:pt>
                <c:pt idx="73">
                  <c:v>87.63</c:v>
                </c:pt>
                <c:pt idx="74">
                  <c:v>89.75</c:v>
                </c:pt>
                <c:pt idx="76">
                  <c:v>89.39</c:v>
                </c:pt>
                <c:pt idx="77">
                  <c:v>88.6</c:v>
                </c:pt>
                <c:pt idx="79">
                  <c:v>91.86</c:v>
                </c:pt>
                <c:pt idx="80">
                  <c:v>91.49</c:v>
                </c:pt>
                <c:pt idx="81">
                  <c:v>91.39</c:v>
                </c:pt>
                <c:pt idx="82">
                  <c:v>91.96</c:v>
                </c:pt>
                <c:pt idx="84">
                  <c:v>91.1</c:v>
                </c:pt>
                <c:pt idx="85">
                  <c:v>90.19</c:v>
                </c:pt>
                <c:pt idx="86">
                  <c:v>91.81</c:v>
                </c:pt>
                <c:pt idx="87">
                  <c:v>88.75</c:v>
                </c:pt>
                <c:pt idx="88">
                  <c:v>89.16</c:v>
                </c:pt>
                <c:pt idx="89">
                  <c:v>90.36</c:v>
                </c:pt>
                <c:pt idx="91">
                  <c:v>87.66</c:v>
                </c:pt>
                <c:pt idx="92">
                  <c:v>92.59</c:v>
                </c:pt>
                <c:pt idx="95">
                  <c:v>92.9</c:v>
                </c:pt>
                <c:pt idx="96">
                  <c:v>93.73</c:v>
                </c:pt>
                <c:pt idx="97">
                  <c:v>91.29</c:v>
                </c:pt>
                <c:pt idx="98">
                  <c:v>88.36</c:v>
                </c:pt>
                <c:pt idx="101">
                  <c:v>95.43</c:v>
                </c:pt>
                <c:pt idx="102">
                  <c:v>90.34</c:v>
                </c:pt>
                <c:pt idx="103">
                  <c:v>94.14</c:v>
                </c:pt>
                <c:pt idx="104">
                  <c:v>88.04</c:v>
                </c:pt>
                <c:pt idx="105">
                  <c:v>92.68</c:v>
                </c:pt>
                <c:pt idx="106">
                  <c:v>91.42</c:v>
                </c:pt>
                <c:pt idx="107">
                  <c:v>93.37</c:v>
                </c:pt>
                <c:pt idx="108">
                  <c:v>94.37</c:v>
                </c:pt>
                <c:pt idx="109">
                  <c:v>92.69</c:v>
                </c:pt>
                <c:pt idx="110">
                  <c:v>92.44</c:v>
                </c:pt>
                <c:pt idx="111">
                  <c:v>91.77</c:v>
                </c:pt>
                <c:pt idx="112">
                  <c:v>92.92</c:v>
                </c:pt>
                <c:pt idx="113">
                  <c:v>94.7</c:v>
                </c:pt>
                <c:pt idx="114">
                  <c:v>93.22</c:v>
                </c:pt>
                <c:pt idx="115">
                  <c:v>94.71</c:v>
                </c:pt>
                <c:pt idx="119">
                  <c:v>95.9</c:v>
                </c:pt>
                <c:pt idx="120">
                  <c:v>91.33</c:v>
                </c:pt>
                <c:pt idx="121">
                  <c:v>94.32</c:v>
                </c:pt>
                <c:pt idx="122">
                  <c:v>92.4</c:v>
                </c:pt>
                <c:pt idx="124">
                  <c:v>94.8</c:v>
                </c:pt>
                <c:pt idx="125">
                  <c:v>101.18</c:v>
                </c:pt>
                <c:pt idx="126">
                  <c:v>91.79</c:v>
                </c:pt>
                <c:pt idx="127">
                  <c:v>89.98</c:v>
                </c:pt>
                <c:pt idx="128">
                  <c:v>94.62</c:v>
                </c:pt>
                <c:pt idx="129">
                  <c:v>93.52</c:v>
                </c:pt>
                <c:pt idx="130">
                  <c:v>91.78</c:v>
                </c:pt>
                <c:pt idx="131">
                  <c:v>91.86</c:v>
                </c:pt>
                <c:pt idx="132">
                  <c:v>95.42</c:v>
                </c:pt>
                <c:pt idx="134">
                  <c:v>95.8</c:v>
                </c:pt>
                <c:pt idx="135">
                  <c:v>93.61</c:v>
                </c:pt>
                <c:pt idx="136">
                  <c:v>90.9</c:v>
                </c:pt>
                <c:pt idx="137">
                  <c:v>91.82</c:v>
                </c:pt>
                <c:pt idx="138">
                  <c:v>87.06</c:v>
                </c:pt>
                <c:pt idx="139">
                  <c:v>96.97</c:v>
                </c:pt>
                <c:pt idx="140">
                  <c:v>93.58</c:v>
                </c:pt>
                <c:pt idx="141">
                  <c:v>92.63</c:v>
                </c:pt>
                <c:pt idx="142">
                  <c:v>95.11</c:v>
                </c:pt>
                <c:pt idx="143">
                  <c:v>90.87</c:v>
                </c:pt>
                <c:pt idx="145">
                  <c:v>97.92</c:v>
                </c:pt>
                <c:pt idx="146">
                  <c:v>92.27</c:v>
                </c:pt>
                <c:pt idx="148">
                  <c:v>94.53</c:v>
                </c:pt>
                <c:pt idx="149">
                  <c:v>95.1</c:v>
                </c:pt>
                <c:pt idx="151">
                  <c:v>97.41</c:v>
                </c:pt>
                <c:pt idx="152">
                  <c:v>100.86</c:v>
                </c:pt>
                <c:pt idx="154">
                  <c:v>100.42</c:v>
                </c:pt>
                <c:pt idx="155">
                  <c:v>102.53</c:v>
                </c:pt>
                <c:pt idx="156">
                  <c:v>106.55</c:v>
                </c:pt>
                <c:pt idx="157">
                  <c:v>109.14</c:v>
                </c:pt>
                <c:pt idx="158">
                  <c:v>106.56</c:v>
                </c:pt>
                <c:pt idx="159">
                  <c:v>105.67</c:v>
                </c:pt>
                <c:pt idx="160">
                  <c:v>93.94</c:v>
                </c:pt>
                <c:pt idx="162">
                  <c:v>108.01</c:v>
                </c:pt>
                <c:pt idx="164">
                  <c:v>103.36</c:v>
                </c:pt>
                <c:pt idx="165">
                  <c:v>106.07</c:v>
                </c:pt>
                <c:pt idx="169">
                  <c:v>107.95</c:v>
                </c:pt>
                <c:pt idx="170">
                  <c:v>105.1</c:v>
                </c:pt>
                <c:pt idx="171">
                  <c:v>105.2</c:v>
                </c:pt>
                <c:pt idx="172">
                  <c:v>97.63</c:v>
                </c:pt>
                <c:pt idx="177">
                  <c:v>99.58</c:v>
                </c:pt>
                <c:pt idx="179">
                  <c:v>110.63</c:v>
                </c:pt>
                <c:pt idx="181">
                  <c:v>105.03</c:v>
                </c:pt>
                <c:pt idx="182">
                  <c:v>106.23</c:v>
                </c:pt>
                <c:pt idx="185">
                  <c:v>106.17</c:v>
                </c:pt>
                <c:pt idx="186">
                  <c:v>102.78</c:v>
                </c:pt>
                <c:pt idx="187">
                  <c:v>106.13</c:v>
                </c:pt>
                <c:pt idx="188">
                  <c:v>95.95</c:v>
                </c:pt>
                <c:pt idx="192">
                  <c:v>106.92</c:v>
                </c:pt>
                <c:pt idx="193">
                  <c:v>97.74</c:v>
                </c:pt>
                <c:pt idx="195">
                  <c:v>106.67</c:v>
                </c:pt>
                <c:pt idx="196">
                  <c:v>102.17</c:v>
                </c:pt>
                <c:pt idx="198">
                  <c:v>98.8</c:v>
                </c:pt>
                <c:pt idx="201">
                  <c:v>89.68</c:v>
                </c:pt>
                <c:pt idx="202">
                  <c:v>88.35</c:v>
                </c:pt>
                <c:pt idx="204">
                  <c:v>96.22</c:v>
                </c:pt>
                <c:pt idx="211">
                  <c:v>86.97</c:v>
                </c:pt>
                <c:pt idx="222">
                  <c:v>100.93</c:v>
                </c:pt>
                <c:pt idx="225">
                  <c:v>93.54</c:v>
                </c:pt>
                <c:pt idx="226">
                  <c:v>91.48</c:v>
                </c:pt>
                <c:pt idx="227">
                  <c:v>90.09</c:v>
                </c:pt>
                <c:pt idx="230">
                  <c:v>88.51</c:v>
                </c:pt>
                <c:pt idx="232">
                  <c:v>91.96</c:v>
                </c:pt>
                <c:pt idx="233">
                  <c:v>92.67</c:v>
                </c:pt>
                <c:pt idx="235">
                  <c:v>96.96</c:v>
                </c:pt>
                <c:pt idx="236">
                  <c:v>93.88</c:v>
                </c:pt>
                <c:pt idx="240">
                  <c:v>91.68</c:v>
                </c:pt>
                <c:pt idx="246">
                  <c:v>95.58</c:v>
                </c:pt>
                <c:pt idx="248">
                  <c:v>95.46</c:v>
                </c:pt>
                <c:pt idx="249">
                  <c:v>92.76</c:v>
                </c:pt>
              </c:numCache>
            </c:numRef>
          </c:yVal>
          <c:smooth val="0"/>
          <c:extLst>
            <c:ext xmlns:c16="http://schemas.microsoft.com/office/drawing/2014/chart" uri="{C3380CC4-5D6E-409C-BE32-E72D297353CC}">
              <c16:uniqueId val="{00000006-BA96-46C7-BEF9-78B24C1E8628}"/>
            </c:ext>
          </c:extLst>
        </c:ser>
        <c:dLbls>
          <c:showLegendKey val="0"/>
          <c:showVal val="0"/>
          <c:showCatName val="0"/>
          <c:showSerName val="0"/>
          <c:showPercent val="0"/>
          <c:showBubbleSize val="0"/>
        </c:dLbls>
        <c:axId val="378542024"/>
        <c:axId val="378540712"/>
        <c:extLst/>
      </c:scatterChart>
      <c:valAx>
        <c:axId val="378542024"/>
        <c:scaling>
          <c:orientation val="minMax"/>
          <c:max val="9"/>
          <c:min val="3"/>
        </c:scaling>
        <c:delete val="0"/>
        <c:axPos val="b"/>
        <c:title>
          <c:tx>
            <c:rich>
              <a:bodyPr rot="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600">
                    <a:solidFill>
                      <a:schemeClr val="tx1"/>
                    </a:solidFill>
                    <a:latin typeface="Times New Roman" panose="02020603050405020304" pitchFamily="18" charset="0"/>
                    <a:cs typeface="Times New Roman" panose="02020603050405020304" pitchFamily="18" charset="0"/>
                  </a:rPr>
                  <a:t>CG</a:t>
                </a:r>
                <a:r>
                  <a:rPr lang="en-US" sz="1600" baseline="-25000">
                    <a:solidFill>
                      <a:schemeClr val="tx1"/>
                    </a:solidFill>
                    <a:latin typeface="Times New Roman" panose="02020603050405020304" pitchFamily="18" charset="0"/>
                    <a:cs typeface="Times New Roman" panose="02020603050405020304" pitchFamily="18" charset="0"/>
                  </a:rPr>
                  <a:t>LOG_uncentered</a:t>
                </a:r>
                <a:endParaRPr lang="en-US" sz="16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78540712"/>
        <c:crosses val="autoZero"/>
        <c:crossBetween val="midCat"/>
      </c:valAx>
      <c:valAx>
        <c:axId val="378540712"/>
        <c:scaling>
          <c:orientation val="minMax"/>
          <c:min val="85"/>
        </c:scaling>
        <c:delete val="0"/>
        <c:axPos val="l"/>
        <c:title>
          <c:tx>
            <c:rich>
              <a:bodyPr rot="-540000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600">
                    <a:solidFill>
                      <a:schemeClr val="tx1"/>
                    </a:solidFill>
                    <a:latin typeface="Times New Roman" panose="02020603050405020304" pitchFamily="18" charset="0"/>
                    <a:cs typeface="Times New Roman" panose="02020603050405020304" pitchFamily="18" charset="0"/>
                  </a:rPr>
                  <a:t>IQ</a:t>
                </a:r>
                <a:r>
                  <a:rPr lang="en-US" sz="1600" baseline="-25000">
                    <a:solidFill>
                      <a:schemeClr val="tx1"/>
                    </a:solidFill>
                    <a:latin typeface="Times New Roman" panose="02020603050405020304" pitchFamily="18" charset="0"/>
                    <a:cs typeface="Times New Roman" panose="02020603050405020304" pitchFamily="18" charset="0"/>
                  </a:rPr>
                  <a:t>uncentered</a:t>
                </a:r>
                <a:endParaRPr lang="en-US" sz="16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78542024"/>
        <c:crosses val="autoZero"/>
        <c:crossBetween val="midCat"/>
      </c:valAx>
      <c:spPr>
        <a:noFill/>
        <a:ln>
          <a:noFill/>
        </a:ln>
        <a:effectLst/>
      </c:spPr>
    </c:plotArea>
    <c:legend>
      <c:legendPos val="r"/>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v>White</c:v>
          </c:tx>
          <c:spPr>
            <a:ln w="25400" cap="rnd">
              <a:noFill/>
              <a:round/>
            </a:ln>
            <a:effectLst/>
          </c:spPr>
          <c:marker>
            <c:symbol val="triangle"/>
            <c:size val="5"/>
            <c:spPr>
              <a:solidFill>
                <a:sysClr val="windowText" lastClr="000000"/>
              </a:solidFill>
              <a:ln w="9525">
                <a:solidFill>
                  <a:schemeClr val="tx1"/>
                </a:solidFill>
              </a:ln>
              <a:effectLst/>
            </c:spPr>
          </c:marker>
          <c:xVal>
            <c:numRef>
              <c:f>Sheet1!$D$2:$D$51</c:f>
              <c:numCache>
                <c:formatCode>General</c:formatCode>
                <c:ptCount val="50"/>
                <c:pt idx="0">
                  <c:v>-0.2876393637505652</c:v>
                </c:pt>
                <c:pt idx="1">
                  <c:v>0.84796928655666104</c:v>
                </c:pt>
                <c:pt idx="2">
                  <c:v>0.15700398607570859</c:v>
                </c:pt>
                <c:pt idx="3">
                  <c:v>0.16745549326547859</c:v>
                </c:pt>
                <c:pt idx="4">
                  <c:v>-6.9582391193849347E-2</c:v>
                </c:pt>
                <c:pt idx="5">
                  <c:v>-0.47112976657311201</c:v>
                </c:pt>
                <c:pt idx="6">
                  <c:v>-0.75811385616693361</c:v>
                </c:pt>
                <c:pt idx="7">
                  <c:v>0.31772740721688741</c:v>
                </c:pt>
                <c:pt idx="8">
                  <c:v>7.7533932108993397E-2</c:v>
                </c:pt>
                <c:pt idx="9">
                  <c:v>-0.53346432247254949</c:v>
                </c:pt>
                <c:pt idx="10">
                  <c:v>0.45454287504260021</c:v>
                </c:pt>
                <c:pt idx="11">
                  <c:v>3.1471936367084119E-2</c:v>
                </c:pt>
                <c:pt idx="12">
                  <c:v>3.0838142455641201E-2</c:v>
                </c:pt>
                <c:pt idx="13">
                  <c:v>0.17697754005790409</c:v>
                </c:pt>
                <c:pt idx="14">
                  <c:v>0.30542206413508749</c:v>
                </c:pt>
                <c:pt idx="15">
                  <c:v>0.24125924925744521</c:v>
                </c:pt>
                <c:pt idx="16">
                  <c:v>-3.4118902819759711E-2</c:v>
                </c:pt>
                <c:pt idx="17">
                  <c:v>5.7365195851666329E-3</c:v>
                </c:pt>
                <c:pt idx="18">
                  <c:v>1.6856365223055999E-2</c:v>
                </c:pt>
                <c:pt idx="19">
                  <c:v>-0.33585868573799699</c:v>
                </c:pt>
                <c:pt idx="20">
                  <c:v>-0.74411792341519689</c:v>
                </c:pt>
                <c:pt idx="21">
                  <c:v>-0.23690415375288071</c:v>
                </c:pt>
                <c:pt idx="22">
                  <c:v>-9.0764070726061519E-2</c:v>
                </c:pt>
                <c:pt idx="23">
                  <c:v>1.1441189535278619E-2</c:v>
                </c:pt>
                <c:pt idx="24">
                  <c:v>0.10868872867983009</c:v>
                </c:pt>
                <c:pt idx="25">
                  <c:v>-5.0282937614572809E-2</c:v>
                </c:pt>
                <c:pt idx="26">
                  <c:v>3.0077059143708059E-2</c:v>
                </c:pt>
                <c:pt idx="27">
                  <c:v>0.12912366709413711</c:v>
                </c:pt>
                <c:pt idx="28">
                  <c:v>-0.13497178125077181</c:v>
                </c:pt>
                <c:pt idx="29">
                  <c:v>-1.4729856885506529</c:v>
                </c:pt>
                <c:pt idx="30">
                  <c:v>0.40533344889263478</c:v>
                </c:pt>
                <c:pt idx="31">
                  <c:v>-0.62674779809432035</c:v>
                </c:pt>
                <c:pt idx="32">
                  <c:v>0.23461059701165959</c:v>
                </c:pt>
                <c:pt idx="33">
                  <c:v>0.17126418056214471</c:v>
                </c:pt>
                <c:pt idx="34">
                  <c:v>-0.10235819476841181</c:v>
                </c:pt>
                <c:pt idx="35">
                  <c:v>0.60805895993658954</c:v>
                </c:pt>
                <c:pt idx="36">
                  <c:v>0.35183039160322588</c:v>
                </c:pt>
                <c:pt idx="37">
                  <c:v>-0.49326229492211482</c:v>
                </c:pt>
                <c:pt idx="38">
                  <c:v>3.7536006494264029E-2</c:v>
                </c:pt>
                <c:pt idx="39">
                  <c:v>-1.0055179023460431E-2</c:v>
                </c:pt>
                <c:pt idx="40">
                  <c:v>0.33082297316125953</c:v>
                </c:pt>
                <c:pt idx="41">
                  <c:v>0.30744343357876769</c:v>
                </c:pt>
                <c:pt idx="42">
                  <c:v>0.2036256050107639</c:v>
                </c:pt>
                <c:pt idx="43">
                  <c:v>0.13759247486217949</c:v>
                </c:pt>
                <c:pt idx="44">
                  <c:v>0.1591811159165912</c:v>
                </c:pt>
                <c:pt idx="45">
                  <c:v>-0.15210492233962289</c:v>
                </c:pt>
                <c:pt idx="46">
                  <c:v>0.30950870652054002</c:v>
                </c:pt>
                <c:pt idx="47">
                  <c:v>-2.4356816340500131E-2</c:v>
                </c:pt>
                <c:pt idx="48">
                  <c:v>1.2797735074530079E-2</c:v>
                </c:pt>
                <c:pt idx="49">
                  <c:v>0.24908797908752159</c:v>
                </c:pt>
              </c:numCache>
            </c:numRef>
          </c:xVal>
          <c:yVal>
            <c:numRef>
              <c:f>Sheet1!$C$2:$C$51</c:f>
              <c:numCache>
                <c:formatCode>General</c:formatCode>
                <c:ptCount val="50"/>
                <c:pt idx="0">
                  <c:v>-2.9024000000000432</c:v>
                </c:pt>
                <c:pt idx="1">
                  <c:v>0.54759999999996012</c:v>
                </c:pt>
                <c:pt idx="2">
                  <c:v>-0.64240000000003761</c:v>
                </c:pt>
                <c:pt idx="3">
                  <c:v>-2.6324000000000471</c:v>
                </c:pt>
                <c:pt idx="4">
                  <c:v>-1.3924000000000381</c:v>
                </c:pt>
                <c:pt idx="5">
                  <c:v>1.3175999999999559</c:v>
                </c:pt>
                <c:pt idx="6">
                  <c:v>3.8175999999999561</c:v>
                </c:pt>
                <c:pt idx="7">
                  <c:v>0.2275999999999527</c:v>
                </c:pt>
                <c:pt idx="8">
                  <c:v>-0.712400000000045</c:v>
                </c:pt>
                <c:pt idx="9">
                  <c:v>-0.57240000000004443</c:v>
                </c:pt>
                <c:pt idx="10">
                  <c:v>-2.982400000000041</c:v>
                </c:pt>
                <c:pt idx="11">
                  <c:v>-0.74240000000004613</c:v>
                </c:pt>
                <c:pt idx="12">
                  <c:v>1.5475999999999599</c:v>
                </c:pt>
                <c:pt idx="13">
                  <c:v>3.7599999999955003E-2</c:v>
                </c:pt>
                <c:pt idx="14">
                  <c:v>0.72759999999995273</c:v>
                </c:pt>
                <c:pt idx="15">
                  <c:v>1.517599999999959</c:v>
                </c:pt>
                <c:pt idx="16">
                  <c:v>-3.0124000000000422</c:v>
                </c:pt>
                <c:pt idx="17">
                  <c:v>-2.3124000000000389</c:v>
                </c:pt>
                <c:pt idx="18">
                  <c:v>0.31759999999995608</c:v>
                </c:pt>
                <c:pt idx="19">
                  <c:v>1.537599999999955</c:v>
                </c:pt>
                <c:pt idx="20">
                  <c:v>2.9575999999999572</c:v>
                </c:pt>
                <c:pt idx="21">
                  <c:v>0.68759999999996069</c:v>
                </c:pt>
                <c:pt idx="22">
                  <c:v>2.017599999999959</c:v>
                </c:pt>
                <c:pt idx="23">
                  <c:v>-3.212400000000045</c:v>
                </c:pt>
                <c:pt idx="24">
                  <c:v>-0.29240000000004329</c:v>
                </c:pt>
                <c:pt idx="25">
                  <c:v>1.1875999999999609</c:v>
                </c:pt>
                <c:pt idx="26">
                  <c:v>0.787599999999955</c:v>
                </c:pt>
                <c:pt idx="27">
                  <c:v>-2.982400000000041</c:v>
                </c:pt>
                <c:pt idx="28">
                  <c:v>1.147599999999954</c:v>
                </c:pt>
                <c:pt idx="29">
                  <c:v>3.6175999999999529</c:v>
                </c:pt>
                <c:pt idx="30">
                  <c:v>-1.282400000000038</c:v>
                </c:pt>
                <c:pt idx="31">
                  <c:v>2.267599999999959</c:v>
                </c:pt>
                <c:pt idx="32">
                  <c:v>1.137599999999964</c:v>
                </c:pt>
                <c:pt idx="33">
                  <c:v>1.1175999999999531</c:v>
                </c:pt>
                <c:pt idx="34">
                  <c:v>0.80759999999996523</c:v>
                </c:pt>
                <c:pt idx="35">
                  <c:v>-1.4924000000000459</c:v>
                </c:pt>
                <c:pt idx="36">
                  <c:v>-0.77240000000004727</c:v>
                </c:pt>
                <c:pt idx="37">
                  <c:v>0.88759999999996353</c:v>
                </c:pt>
                <c:pt idx="38">
                  <c:v>-0.90240000000004272</c:v>
                </c:pt>
                <c:pt idx="39">
                  <c:v>-0.31240000000003931</c:v>
                </c:pt>
                <c:pt idx="40">
                  <c:v>1.017599999999959</c:v>
                </c:pt>
                <c:pt idx="41">
                  <c:v>-2.6624000000000341</c:v>
                </c:pt>
                <c:pt idx="42">
                  <c:v>2.3475999999999568</c:v>
                </c:pt>
                <c:pt idx="43">
                  <c:v>-0.962400000000045</c:v>
                </c:pt>
                <c:pt idx="44">
                  <c:v>0.287599999999955</c:v>
                </c:pt>
                <c:pt idx="45">
                  <c:v>1.6675999999999651</c:v>
                </c:pt>
                <c:pt idx="46">
                  <c:v>0.10759999999996241</c:v>
                </c:pt>
                <c:pt idx="47">
                  <c:v>-4.1724000000000387</c:v>
                </c:pt>
                <c:pt idx="48">
                  <c:v>1.7575999999999541</c:v>
                </c:pt>
                <c:pt idx="49">
                  <c:v>-0.45240000000003988</c:v>
                </c:pt>
              </c:numCache>
            </c:numRef>
          </c:yVal>
          <c:smooth val="0"/>
          <c:extLst>
            <c:ext xmlns:c16="http://schemas.microsoft.com/office/drawing/2014/chart" uri="{C3380CC4-5D6E-409C-BE32-E72D297353CC}">
              <c16:uniqueId val="{00000000-FA34-4B95-BAA7-52DB793B97C0}"/>
            </c:ext>
          </c:extLst>
        </c:ser>
        <c:ser>
          <c:idx val="1"/>
          <c:order val="1"/>
          <c:tx>
            <c:v>Black</c:v>
          </c:tx>
          <c:spPr>
            <a:ln w="25400" cap="rnd">
              <a:noFill/>
              <a:round/>
            </a:ln>
            <a:effectLst/>
          </c:spPr>
          <c:marker>
            <c:symbol val="circle"/>
            <c:size val="5"/>
            <c:spPr>
              <a:solidFill>
                <a:sysClr val="windowText" lastClr="000000"/>
              </a:solidFill>
              <a:ln w="9525">
                <a:noFill/>
              </a:ln>
              <a:effectLst/>
            </c:spPr>
          </c:marker>
          <c:xVal>
            <c:numRef>
              <c:f>Sheet1!$D$52:$D$93</c:f>
              <c:numCache>
                <c:formatCode>General</c:formatCode>
                <c:ptCount val="42"/>
                <c:pt idx="0">
                  <c:v>-6.4370298421052574E-2</c:v>
                </c:pt>
                <c:pt idx="1">
                  <c:v>0.25643554932072288</c:v>
                </c:pt>
                <c:pt idx="2">
                  <c:v>-0.1909733264330464</c:v>
                </c:pt>
                <c:pt idx="3">
                  <c:v>0.25127509424879069</c:v>
                </c:pt>
                <c:pt idx="4">
                  <c:v>-0.35238652474266008</c:v>
                </c:pt>
                <c:pt idx="5">
                  <c:v>-6.1484518189611308E-2</c:v>
                </c:pt>
                <c:pt idx="6">
                  <c:v>-9.9601829920380247E-2</c:v>
                </c:pt>
                <c:pt idx="7">
                  <c:v>0.233410232765773</c:v>
                </c:pt>
                <c:pt idx="8">
                  <c:v>-3.5658669136738652E-2</c:v>
                </c:pt>
                <c:pt idx="9">
                  <c:v>-0.32174225647475918</c:v>
                </c:pt>
                <c:pt idx="10">
                  <c:v>-0.62611962786089226</c:v>
                </c:pt>
                <c:pt idx="11">
                  <c:v>0.40049802701639431</c:v>
                </c:pt>
                <c:pt idx="12">
                  <c:v>0.37971110819584458</c:v>
                </c:pt>
                <c:pt idx="13">
                  <c:v>0.73092881235022933</c:v>
                </c:pt>
                <c:pt idx="14">
                  <c:v>0.34810480215932671</c:v>
                </c:pt>
                <c:pt idx="15">
                  <c:v>-5.0743276358198308E-2</c:v>
                </c:pt>
                <c:pt idx="16">
                  <c:v>7.791018372064773E-2</c:v>
                </c:pt>
                <c:pt idx="17">
                  <c:v>-0.5981082641512252</c:v>
                </c:pt>
                <c:pt idx="18">
                  <c:v>-0.50281707571532408</c:v>
                </c:pt>
                <c:pt idx="19">
                  <c:v>-0.48193021612618819</c:v>
                </c:pt>
                <c:pt idx="20">
                  <c:v>-0.10809363826805909</c:v>
                </c:pt>
                <c:pt idx="21">
                  <c:v>0.50672325026516507</c:v>
                </c:pt>
                <c:pt idx="22">
                  <c:v>6.4632178046532651E-2</c:v>
                </c:pt>
                <c:pt idx="23">
                  <c:v>0.40338329599251649</c:v>
                </c:pt>
                <c:pt idx="24">
                  <c:v>0.59330883560101011</c:v>
                </c:pt>
                <c:pt idx="25">
                  <c:v>-0.24640234548657161</c:v>
                </c:pt>
                <c:pt idx="26">
                  <c:v>-0.76639926718001483</c:v>
                </c:pt>
                <c:pt idx="27">
                  <c:v>-0.35669596191959219</c:v>
                </c:pt>
                <c:pt idx="28">
                  <c:v>-0.63482906609795009</c:v>
                </c:pt>
                <c:pt idx="29">
                  <c:v>0.1165275445245291</c:v>
                </c:pt>
                <c:pt idx="30">
                  <c:v>0.14415368676994961</c:v>
                </c:pt>
                <c:pt idx="31">
                  <c:v>0.51441596950049107</c:v>
                </c:pt>
                <c:pt idx="32">
                  <c:v>-3.052090452284606E-2</c:v>
                </c:pt>
                <c:pt idx="33">
                  <c:v>0.1240595516620271</c:v>
                </c:pt>
                <c:pt idx="34">
                  <c:v>0.16677730650350589</c:v>
                </c:pt>
                <c:pt idx="35">
                  <c:v>-0.17486806128115351</c:v>
                </c:pt>
                <c:pt idx="36">
                  <c:v>0.17342802427566359</c:v>
                </c:pt>
                <c:pt idx="37">
                  <c:v>-1.6043736448932751E-2</c:v>
                </c:pt>
                <c:pt idx="38">
                  <c:v>-0.16955883024493529</c:v>
                </c:pt>
                <c:pt idx="39">
                  <c:v>-9.5026769499820141E-2</c:v>
                </c:pt>
                <c:pt idx="40">
                  <c:v>-0.14661444226000059</c:v>
                </c:pt>
                <c:pt idx="41">
                  <c:v>0.64530545382088267</c:v>
                </c:pt>
              </c:numCache>
            </c:numRef>
          </c:xVal>
          <c:yVal>
            <c:numRef>
              <c:f>Sheet1!$C$52:$C$93</c:f>
              <c:numCache>
                <c:formatCode>General</c:formatCode>
                <c:ptCount val="42"/>
                <c:pt idx="0">
                  <c:v>-3.6064285714285802</c:v>
                </c:pt>
                <c:pt idx="1">
                  <c:v>3.793571428571425</c:v>
                </c:pt>
                <c:pt idx="2">
                  <c:v>0.37357142857142378</c:v>
                </c:pt>
                <c:pt idx="3">
                  <c:v>-4.3164285714285739</c:v>
                </c:pt>
                <c:pt idx="4">
                  <c:v>-3.1364285714285671</c:v>
                </c:pt>
                <c:pt idx="5">
                  <c:v>1.3435714285714231</c:v>
                </c:pt>
                <c:pt idx="6">
                  <c:v>0.34357142857142259</c:v>
                </c:pt>
                <c:pt idx="7">
                  <c:v>1.043571428571425</c:v>
                </c:pt>
                <c:pt idx="8">
                  <c:v>-2.186428571428578</c:v>
                </c:pt>
                <c:pt idx="9">
                  <c:v>-0.59642857142857508</c:v>
                </c:pt>
                <c:pt idx="10">
                  <c:v>2.8635714285714329</c:v>
                </c:pt>
                <c:pt idx="11">
                  <c:v>-0.80642857142856883</c:v>
                </c:pt>
                <c:pt idx="12">
                  <c:v>0.73357142857142321</c:v>
                </c:pt>
                <c:pt idx="13">
                  <c:v>1.5935714285714231</c:v>
                </c:pt>
                <c:pt idx="14">
                  <c:v>1.053571428571431</c:v>
                </c:pt>
                <c:pt idx="15">
                  <c:v>7.3571428571426623E-2</c:v>
                </c:pt>
                <c:pt idx="16">
                  <c:v>-2.8664285714285711</c:v>
                </c:pt>
                <c:pt idx="17">
                  <c:v>9.9935714285714283</c:v>
                </c:pt>
                <c:pt idx="18">
                  <c:v>-0.58642857142856997</c:v>
                </c:pt>
                <c:pt idx="19">
                  <c:v>2.6535714285714249</c:v>
                </c:pt>
                <c:pt idx="20">
                  <c:v>-2.726428571428571</c:v>
                </c:pt>
                <c:pt idx="21">
                  <c:v>-1.476428571428571</c:v>
                </c:pt>
                <c:pt idx="22">
                  <c:v>-3.0464285714285779</c:v>
                </c:pt>
                <c:pt idx="23">
                  <c:v>-0.92642857142857338</c:v>
                </c:pt>
                <c:pt idx="24">
                  <c:v>-1.286428571428573</c:v>
                </c:pt>
                <c:pt idx="25">
                  <c:v>-2.0764285714285791</c:v>
                </c:pt>
                <c:pt idx="26">
                  <c:v>1.1835714285714261</c:v>
                </c:pt>
                <c:pt idx="27">
                  <c:v>0.81357142857142151</c:v>
                </c:pt>
                <c:pt idx="28">
                  <c:v>0.71357142857142719</c:v>
                </c:pt>
                <c:pt idx="29">
                  <c:v>1.2835714285714199</c:v>
                </c:pt>
                <c:pt idx="30">
                  <c:v>0.42357142857142088</c:v>
                </c:pt>
                <c:pt idx="31">
                  <c:v>-0.48642857142857571</c:v>
                </c:pt>
                <c:pt idx="32">
                  <c:v>1.1335714285714289</c:v>
                </c:pt>
                <c:pt idx="33">
                  <c:v>-1.9264285714285729</c:v>
                </c:pt>
                <c:pt idx="34">
                  <c:v>-1.516428571428577</c:v>
                </c:pt>
                <c:pt idx="35">
                  <c:v>-0.31642857142857389</c:v>
                </c:pt>
                <c:pt idx="36">
                  <c:v>-3.0164285714285768</c:v>
                </c:pt>
                <c:pt idx="37">
                  <c:v>1.91357142857143</c:v>
                </c:pt>
                <c:pt idx="38">
                  <c:v>2.2235714285714319</c:v>
                </c:pt>
                <c:pt idx="39">
                  <c:v>3.053571428571431</c:v>
                </c:pt>
                <c:pt idx="40">
                  <c:v>0.61357142857143288</c:v>
                </c:pt>
                <c:pt idx="41">
                  <c:v>-2.3164285714285739</c:v>
                </c:pt>
              </c:numCache>
            </c:numRef>
          </c:yVal>
          <c:smooth val="0"/>
          <c:extLst>
            <c:ext xmlns:c16="http://schemas.microsoft.com/office/drawing/2014/chart" uri="{C3380CC4-5D6E-409C-BE32-E72D297353CC}">
              <c16:uniqueId val="{00000001-FA34-4B95-BAA7-52DB793B97C0}"/>
            </c:ext>
          </c:extLst>
        </c:ser>
        <c:ser>
          <c:idx val="2"/>
          <c:order val="2"/>
          <c:tx>
            <c:v>Hispanic</c:v>
          </c:tx>
          <c:spPr>
            <a:ln w="25400" cap="rnd">
              <a:noFill/>
              <a:round/>
            </a:ln>
            <a:effectLst/>
          </c:spPr>
          <c:marker>
            <c:symbol val="x"/>
            <c:size val="5"/>
            <c:spPr>
              <a:noFill/>
              <a:ln w="9525">
                <a:solidFill>
                  <a:schemeClr val="tx1"/>
                </a:solidFill>
              </a:ln>
              <a:effectLst/>
            </c:spPr>
          </c:marker>
          <c:xVal>
            <c:numRef>
              <c:f>Sheet1!$D$94:$D$135</c:f>
              <c:numCache>
                <c:formatCode>General</c:formatCode>
                <c:ptCount val="42"/>
                <c:pt idx="0">
                  <c:v>0.31285240228947592</c:v>
                </c:pt>
                <c:pt idx="1">
                  <c:v>0.28751182422169558</c:v>
                </c:pt>
                <c:pt idx="2">
                  <c:v>-0.13521591278665299</c:v>
                </c:pt>
                <c:pt idx="3">
                  <c:v>-2.6793101239077188E-2</c:v>
                </c:pt>
                <c:pt idx="4">
                  <c:v>-1.5989106747596789E-2</c:v>
                </c:pt>
                <c:pt idx="5">
                  <c:v>0.39208608677575268</c:v>
                </c:pt>
                <c:pt idx="6">
                  <c:v>0.60841320718443637</c:v>
                </c:pt>
                <c:pt idx="7">
                  <c:v>-0.84481916090062636</c:v>
                </c:pt>
                <c:pt idx="8">
                  <c:v>-0.73612298037599455</c:v>
                </c:pt>
                <c:pt idx="9">
                  <c:v>-0.58418855259982205</c:v>
                </c:pt>
                <c:pt idx="10">
                  <c:v>-7.5134782149226531E-2</c:v>
                </c:pt>
                <c:pt idx="11">
                  <c:v>-0.1753104718954184</c:v>
                </c:pt>
                <c:pt idx="12">
                  <c:v>7.1052119354770404E-2</c:v>
                </c:pt>
                <c:pt idx="13">
                  <c:v>0.40038762344804463</c:v>
                </c:pt>
                <c:pt idx="14">
                  <c:v>0.21991986859224791</c:v>
                </c:pt>
                <c:pt idx="15">
                  <c:v>-1.0307940234292421</c:v>
                </c:pt>
                <c:pt idx="16">
                  <c:v>0.47465492753269078</c:v>
                </c:pt>
                <c:pt idx="17">
                  <c:v>-0.59099070052526859</c:v>
                </c:pt>
                <c:pt idx="18">
                  <c:v>0.42598719738837509</c:v>
                </c:pt>
                <c:pt idx="19">
                  <c:v>-0.1030728489209212</c:v>
                </c:pt>
                <c:pt idx="20">
                  <c:v>-0.26707045135893809</c:v>
                </c:pt>
                <c:pt idx="21">
                  <c:v>0.13784881451818981</c:v>
                </c:pt>
                <c:pt idx="22">
                  <c:v>-0.26426067148283477</c:v>
                </c:pt>
                <c:pt idx="23">
                  <c:v>0.15684517761023911</c:v>
                </c:pt>
                <c:pt idx="24">
                  <c:v>-0.67125740801111089</c:v>
                </c:pt>
                <c:pt idx="25">
                  <c:v>0.3295699981365523</c:v>
                </c:pt>
                <c:pt idx="26">
                  <c:v>-0.47391913589466222</c:v>
                </c:pt>
                <c:pt idx="27">
                  <c:v>0.2575845152539662</c:v>
                </c:pt>
                <c:pt idx="28">
                  <c:v>-0.1166246726767701</c:v>
                </c:pt>
                <c:pt idx="29">
                  <c:v>0.31094563268170461</c:v>
                </c:pt>
                <c:pt idx="30">
                  <c:v>0.3131245013925108</c:v>
                </c:pt>
                <c:pt idx="31">
                  <c:v>0.32840021779499562</c:v>
                </c:pt>
                <c:pt idx="32">
                  <c:v>0.94442247871926277</c:v>
                </c:pt>
                <c:pt idx="33">
                  <c:v>-0.30298156058417458</c:v>
                </c:pt>
                <c:pt idx="34">
                  <c:v>-0.11422883018380151</c:v>
                </c:pt>
                <c:pt idx="35">
                  <c:v>0.10820316177522479</c:v>
                </c:pt>
                <c:pt idx="36">
                  <c:v>0.22171009818829651</c:v>
                </c:pt>
                <c:pt idx="37">
                  <c:v>0.2188347495551648</c:v>
                </c:pt>
                <c:pt idx="38">
                  <c:v>-0.42155371833348992</c:v>
                </c:pt>
                <c:pt idx="39">
                  <c:v>0.36376964843814102</c:v>
                </c:pt>
                <c:pt idx="40">
                  <c:v>9.9252383929322008E-2</c:v>
                </c:pt>
                <c:pt idx="41">
                  <c:v>-3.3048544685461152E-2</c:v>
                </c:pt>
              </c:numCache>
            </c:numRef>
          </c:xVal>
          <c:yVal>
            <c:numRef>
              <c:f>Sheet1!$C$94:$C$135</c:f>
              <c:numCache>
                <c:formatCode>General</c:formatCode>
                <c:ptCount val="42"/>
                <c:pt idx="0">
                  <c:v>2.1130952380952119</c:v>
                </c:pt>
                <c:pt idx="1">
                  <c:v>-2.976904761904791</c:v>
                </c:pt>
                <c:pt idx="2">
                  <c:v>0.82309523809520613</c:v>
                </c:pt>
                <c:pt idx="3">
                  <c:v>-5.2769047619047882</c:v>
                </c:pt>
                <c:pt idx="4">
                  <c:v>-0.63690476190478762</c:v>
                </c:pt>
                <c:pt idx="5">
                  <c:v>-1.896904761904793</c:v>
                </c:pt>
                <c:pt idx="6">
                  <c:v>5.3095238095210107E-2</c:v>
                </c:pt>
                <c:pt idx="7">
                  <c:v>1.0530952380952101</c:v>
                </c:pt>
                <c:pt idx="8">
                  <c:v>-0.62690476190479671</c:v>
                </c:pt>
                <c:pt idx="9">
                  <c:v>-0.87690476190479671</c:v>
                </c:pt>
                <c:pt idx="10">
                  <c:v>-1.546904761904798</c:v>
                </c:pt>
                <c:pt idx="11">
                  <c:v>-0.39690476190479268</c:v>
                </c:pt>
                <c:pt idx="12">
                  <c:v>1.383095238095208</c:v>
                </c:pt>
                <c:pt idx="13">
                  <c:v>-9.6904761904795578E-2</c:v>
                </c:pt>
                <c:pt idx="14">
                  <c:v>1.3930952380951991</c:v>
                </c:pt>
                <c:pt idx="15">
                  <c:v>2.5830952380952108</c:v>
                </c:pt>
                <c:pt idx="16">
                  <c:v>-1.9869047619047959</c:v>
                </c:pt>
                <c:pt idx="17">
                  <c:v>1.003095238095199</c:v>
                </c:pt>
                <c:pt idx="18">
                  <c:v>-0.91690476190478876</c:v>
                </c:pt>
                <c:pt idx="19">
                  <c:v>1.4830952380952029</c:v>
                </c:pt>
                <c:pt idx="20">
                  <c:v>7.8630952380952124</c:v>
                </c:pt>
                <c:pt idx="21">
                  <c:v>-1.526904761904788</c:v>
                </c:pt>
                <c:pt idx="22">
                  <c:v>-3.33690476190479</c:v>
                </c:pt>
                <c:pt idx="23">
                  <c:v>1.3030952380952101</c:v>
                </c:pt>
                <c:pt idx="24">
                  <c:v>0.20309523809520161</c:v>
                </c:pt>
                <c:pt idx="25">
                  <c:v>-1.5369047619047931</c:v>
                </c:pt>
                <c:pt idx="26">
                  <c:v>-1.456904761904795</c:v>
                </c:pt>
                <c:pt idx="27">
                  <c:v>2.1030952380952068</c:v>
                </c:pt>
                <c:pt idx="28">
                  <c:v>2.4830952380952032</c:v>
                </c:pt>
                <c:pt idx="29">
                  <c:v>0.29309523809520499</c:v>
                </c:pt>
                <c:pt idx="30">
                  <c:v>-2.4169047619047892</c:v>
                </c:pt>
                <c:pt idx="31">
                  <c:v>-1.496904761904801</c:v>
                </c:pt>
                <c:pt idx="32">
                  <c:v>-6.2569047619047922</c:v>
                </c:pt>
                <c:pt idx="33">
                  <c:v>3.653095238095204</c:v>
                </c:pt>
                <c:pt idx="34">
                  <c:v>0.26309523809520391</c:v>
                </c:pt>
                <c:pt idx="35">
                  <c:v>-0.68690476190479899</c:v>
                </c:pt>
                <c:pt idx="36">
                  <c:v>1.793095238095205</c:v>
                </c:pt>
                <c:pt idx="37">
                  <c:v>-2.4469047619047899</c:v>
                </c:pt>
                <c:pt idx="38">
                  <c:v>4.6030952380952073</c:v>
                </c:pt>
                <c:pt idx="39">
                  <c:v>-1.046904761904798</c:v>
                </c:pt>
                <c:pt idx="40">
                  <c:v>1.2130952380952069</c:v>
                </c:pt>
                <c:pt idx="41">
                  <c:v>1.7830952380952001</c:v>
                </c:pt>
              </c:numCache>
            </c:numRef>
          </c:yVal>
          <c:smooth val="0"/>
          <c:extLst>
            <c:ext xmlns:c16="http://schemas.microsoft.com/office/drawing/2014/chart" uri="{C3380CC4-5D6E-409C-BE32-E72D297353CC}">
              <c16:uniqueId val="{00000002-FA34-4B95-BAA7-52DB793B97C0}"/>
            </c:ext>
          </c:extLst>
        </c:ser>
        <c:ser>
          <c:idx val="3"/>
          <c:order val="3"/>
          <c:tx>
            <c:v>Asian</c:v>
          </c:tx>
          <c:spPr>
            <a:ln w="25400" cap="rnd">
              <a:noFill/>
              <a:round/>
            </a:ln>
            <a:effectLst/>
          </c:spPr>
          <c:marker>
            <c:symbol val="circle"/>
            <c:size val="5"/>
            <c:spPr>
              <a:noFill/>
              <a:ln w="9525">
                <a:solidFill>
                  <a:schemeClr val="tx1"/>
                </a:solidFill>
              </a:ln>
              <a:effectLst/>
            </c:spPr>
          </c:marker>
          <c:xVal>
            <c:numRef>
              <c:f>Sheet1!$D$136:$D$164</c:f>
              <c:numCache>
                <c:formatCode>General</c:formatCode>
                <c:ptCount val="29"/>
                <c:pt idx="0">
                  <c:v>1.7559607896440179</c:v>
                </c:pt>
                <c:pt idx="1">
                  <c:v>-0.1082933210923125</c:v>
                </c:pt>
                <c:pt idx="2">
                  <c:v>-0.1291833675302074</c:v>
                </c:pt>
                <c:pt idx="3">
                  <c:v>-0.30378450206009422</c:v>
                </c:pt>
                <c:pt idx="4">
                  <c:v>-0.69560756364006782</c:v>
                </c:pt>
                <c:pt idx="5">
                  <c:v>-0.20212054903475349</c:v>
                </c:pt>
                <c:pt idx="6">
                  <c:v>-0.28545984769134147</c:v>
                </c:pt>
                <c:pt idx="7">
                  <c:v>-0.58826972680637724</c:v>
                </c:pt>
                <c:pt idx="8">
                  <c:v>0.53629255274684873</c:v>
                </c:pt>
                <c:pt idx="9">
                  <c:v>-0.65232314111152689</c:v>
                </c:pt>
                <c:pt idx="10">
                  <c:v>0.54796651168023214</c:v>
                </c:pt>
                <c:pt idx="11">
                  <c:v>0.13142794636622221</c:v>
                </c:pt>
                <c:pt idx="12">
                  <c:v>-1.057724646103118</c:v>
                </c:pt>
                <c:pt idx="13">
                  <c:v>3.169330103088619E-3</c:v>
                </c:pt>
                <c:pt idx="14">
                  <c:v>-0.71695495413828425</c:v>
                </c:pt>
                <c:pt idx="15">
                  <c:v>0.92229600781858068</c:v>
                </c:pt>
                <c:pt idx="16">
                  <c:v>0.36670923684532492</c:v>
                </c:pt>
                <c:pt idx="17">
                  <c:v>-1.8450378415828419</c:v>
                </c:pt>
                <c:pt idx="18">
                  <c:v>-0.75104838106756056</c:v>
                </c:pt>
                <c:pt idx="19">
                  <c:v>0.46610590922827022</c:v>
                </c:pt>
                <c:pt idx="20">
                  <c:v>0.52436305179278353</c:v>
                </c:pt>
                <c:pt idx="21">
                  <c:v>0.40795173158340342</c:v>
                </c:pt>
                <c:pt idx="22">
                  <c:v>-0.32565767976223992</c:v>
                </c:pt>
                <c:pt idx="23">
                  <c:v>1.000505147716517</c:v>
                </c:pt>
                <c:pt idx="24">
                  <c:v>-0.27790800287950562</c:v>
                </c:pt>
                <c:pt idx="25">
                  <c:v>0.51173363142092043</c:v>
                </c:pt>
                <c:pt idx="26">
                  <c:v>-0.51779046899076775</c:v>
                </c:pt>
                <c:pt idx="27">
                  <c:v>0.53349838762560697</c:v>
                </c:pt>
                <c:pt idx="28">
                  <c:v>0.74918375891914035</c:v>
                </c:pt>
              </c:numCache>
            </c:numRef>
          </c:xVal>
          <c:yVal>
            <c:numRef>
              <c:f>Sheet1!$C$136:$C$164</c:f>
              <c:numCache>
                <c:formatCode>General</c:formatCode>
                <c:ptCount val="29"/>
                <c:pt idx="0">
                  <c:v>-6.0796551724137942</c:v>
                </c:pt>
                <c:pt idx="1">
                  <c:v>-2.6296551724137909</c:v>
                </c:pt>
                <c:pt idx="2">
                  <c:v>-3.069655172413789</c:v>
                </c:pt>
                <c:pt idx="3">
                  <c:v>-0.95965517241378961</c:v>
                </c:pt>
                <c:pt idx="4">
                  <c:v>3.060344827586206</c:v>
                </c:pt>
                <c:pt idx="5">
                  <c:v>5.6503448275862098</c:v>
                </c:pt>
                <c:pt idx="6">
                  <c:v>3.070344827586212</c:v>
                </c:pt>
                <c:pt idx="7">
                  <c:v>2.180344827586211</c:v>
                </c:pt>
                <c:pt idx="8">
                  <c:v>-9.549655172413793</c:v>
                </c:pt>
                <c:pt idx="9">
                  <c:v>4.5203448275862144</c:v>
                </c:pt>
                <c:pt idx="10">
                  <c:v>-0.12965517241379129</c:v>
                </c:pt>
                <c:pt idx="11">
                  <c:v>2.580344827586202</c:v>
                </c:pt>
                <c:pt idx="12">
                  <c:v>4.4603448275862121</c:v>
                </c:pt>
                <c:pt idx="13">
                  <c:v>1.610344827586204</c:v>
                </c:pt>
                <c:pt idx="14">
                  <c:v>1.7103448275862121</c:v>
                </c:pt>
                <c:pt idx="15">
                  <c:v>-5.8596551724137953</c:v>
                </c:pt>
                <c:pt idx="16">
                  <c:v>-3.909655172413792</c:v>
                </c:pt>
                <c:pt idx="17">
                  <c:v>7.1403448275862047</c:v>
                </c:pt>
                <c:pt idx="18">
                  <c:v>1.5403448275862099</c:v>
                </c:pt>
                <c:pt idx="19">
                  <c:v>2.7403448275862128</c:v>
                </c:pt>
                <c:pt idx="20">
                  <c:v>2.680344827586211</c:v>
                </c:pt>
                <c:pt idx="21">
                  <c:v>-0.70965517241378961</c:v>
                </c:pt>
                <c:pt idx="22">
                  <c:v>2.6403448275862051</c:v>
                </c:pt>
                <c:pt idx="23">
                  <c:v>-7.5396551724137879</c:v>
                </c:pt>
                <c:pt idx="24">
                  <c:v>3.430344827586211</c:v>
                </c:pt>
                <c:pt idx="25">
                  <c:v>-5.7496551724137959</c:v>
                </c:pt>
                <c:pt idx="26">
                  <c:v>3.180344827586211</c:v>
                </c:pt>
                <c:pt idx="27">
                  <c:v>-1.319655172413789</c:v>
                </c:pt>
                <c:pt idx="28">
                  <c:v>-4.6896551724137936</c:v>
                </c:pt>
              </c:numCache>
            </c:numRef>
          </c:yVal>
          <c:smooth val="0"/>
          <c:extLst>
            <c:ext xmlns:c16="http://schemas.microsoft.com/office/drawing/2014/chart" uri="{C3380CC4-5D6E-409C-BE32-E72D297353CC}">
              <c16:uniqueId val="{00000003-FA34-4B95-BAA7-52DB793B97C0}"/>
            </c:ext>
          </c:extLst>
        </c:ser>
        <c:ser>
          <c:idx val="4"/>
          <c:order val="4"/>
          <c:tx>
            <c:v>Native</c:v>
          </c:tx>
          <c:spPr>
            <a:ln w="25400" cap="rnd">
              <a:noFill/>
              <a:round/>
            </a:ln>
            <a:effectLst/>
          </c:spPr>
          <c:marker>
            <c:symbol val="dash"/>
            <c:size val="5"/>
            <c:spPr>
              <a:solidFill>
                <a:sysClr val="windowText" lastClr="000000"/>
              </a:solidFill>
              <a:ln w="9525">
                <a:solidFill>
                  <a:schemeClr val="tx1"/>
                </a:solidFill>
              </a:ln>
              <a:effectLst/>
            </c:spPr>
          </c:marker>
          <c:xVal>
            <c:numRef>
              <c:f>Sheet1!$D$165:$D$181</c:f>
              <c:numCache>
                <c:formatCode>General</c:formatCode>
                <c:ptCount val="17"/>
                <c:pt idx="0">
                  <c:v>1.084956999027302</c:v>
                </c:pt>
                <c:pt idx="1">
                  <c:v>0.35567372057233188</c:v>
                </c:pt>
                <c:pt idx="2">
                  <c:v>-1.2958947527243281</c:v>
                </c:pt>
                <c:pt idx="3">
                  <c:v>-0.40989181387951762</c:v>
                </c:pt>
                <c:pt idx="4">
                  <c:v>8.9410776003619574E-2</c:v>
                </c:pt>
                <c:pt idx="5">
                  <c:v>0.55163153771632967</c:v>
                </c:pt>
                <c:pt idx="6">
                  <c:v>0.23057257472219561</c:v>
                </c:pt>
                <c:pt idx="7">
                  <c:v>-0.8004294046729159</c:v>
                </c:pt>
                <c:pt idx="8">
                  <c:v>-7.5883180290151842E-2</c:v>
                </c:pt>
                <c:pt idx="9">
                  <c:v>-0.23822730150156879</c:v>
                </c:pt>
                <c:pt idx="10">
                  <c:v>0.54426794311086457</c:v>
                </c:pt>
                <c:pt idx="11">
                  <c:v>-0.30750327865960259</c:v>
                </c:pt>
                <c:pt idx="12">
                  <c:v>-0.75475404662929435</c:v>
                </c:pt>
                <c:pt idx="13">
                  <c:v>1.129222433415656</c:v>
                </c:pt>
                <c:pt idx="14">
                  <c:v>-0.2392468572335531</c:v>
                </c:pt>
                <c:pt idx="15">
                  <c:v>-5.5162973429323081E-2</c:v>
                </c:pt>
                <c:pt idx="16">
                  <c:v>0.1912576244519624</c:v>
                </c:pt>
              </c:numCache>
            </c:numRef>
          </c:xVal>
          <c:yVal>
            <c:numRef>
              <c:f>Sheet1!$C$165:$C$181</c:f>
              <c:numCache>
                <c:formatCode>General</c:formatCode>
                <c:ptCount val="17"/>
                <c:pt idx="0">
                  <c:v>-3.0682352941176561</c:v>
                </c:pt>
                <c:pt idx="1">
                  <c:v>-4.3982352941176686</c:v>
                </c:pt>
                <c:pt idx="2">
                  <c:v>3.471764705882336</c:v>
                </c:pt>
                <c:pt idx="3">
                  <c:v>-5.778235294117664</c:v>
                </c:pt>
                <c:pt idx="4">
                  <c:v>8.1817647058823439</c:v>
                </c:pt>
                <c:pt idx="5">
                  <c:v>0.79176470588234338</c:v>
                </c:pt>
                <c:pt idx="6">
                  <c:v>-1.2682352941176589</c:v>
                </c:pt>
                <c:pt idx="7">
                  <c:v>-2.658235294117659</c:v>
                </c:pt>
                <c:pt idx="8">
                  <c:v>-4.2382352941176578</c:v>
                </c:pt>
                <c:pt idx="9">
                  <c:v>-0.78823529411766913</c:v>
                </c:pt>
                <c:pt idx="10">
                  <c:v>-7.8235294117661169E-2</c:v>
                </c:pt>
                <c:pt idx="11">
                  <c:v>4.2117647058823309</c:v>
                </c:pt>
                <c:pt idx="12">
                  <c:v>1.131764705882333</c:v>
                </c:pt>
                <c:pt idx="13">
                  <c:v>-1.0682352941176561</c:v>
                </c:pt>
                <c:pt idx="14">
                  <c:v>2.831764705882335</c:v>
                </c:pt>
                <c:pt idx="15">
                  <c:v>2.7117647058823309</c:v>
                </c:pt>
                <c:pt idx="16">
                  <c:v>1.176470588234224E-2</c:v>
                </c:pt>
              </c:numCache>
            </c:numRef>
          </c:yVal>
          <c:smooth val="0"/>
          <c:extLst>
            <c:ext xmlns:c16="http://schemas.microsoft.com/office/drawing/2014/chart" uri="{C3380CC4-5D6E-409C-BE32-E72D297353CC}">
              <c16:uniqueId val="{00000004-FA34-4B95-BAA7-52DB793B97C0}"/>
            </c:ext>
          </c:extLst>
        </c:ser>
        <c:ser>
          <c:idx val="5"/>
          <c:order val="5"/>
          <c:tx>
            <c:v>Long</c:v>
          </c:tx>
          <c:spPr>
            <a:ln w="25400" cap="rnd">
              <a:noFill/>
              <a:round/>
            </a:ln>
            <a:effectLst/>
          </c:spPr>
          <c:marker>
            <c:symbol val="circle"/>
            <c:size val="5"/>
            <c:spPr>
              <a:noFill/>
              <a:ln w="9525">
                <a:noFill/>
              </a:ln>
              <a:effectLst/>
            </c:spPr>
          </c:marker>
          <c:trendline>
            <c:spPr>
              <a:ln w="12700" cap="rnd" cmpd="sng">
                <a:solidFill>
                  <a:schemeClr val="tx1"/>
                </a:solidFill>
                <a:prstDash val="solid"/>
              </a:ln>
              <a:effectLst/>
            </c:spPr>
            <c:trendlineType val="linear"/>
            <c:dispRSqr val="0"/>
            <c:dispEq val="0"/>
          </c:trendline>
          <c:xVal>
            <c:numRef>
              <c:f>Sheet1!$D$2:$D$184</c:f>
              <c:numCache>
                <c:formatCode>General</c:formatCode>
                <c:ptCount val="183"/>
                <c:pt idx="0">
                  <c:v>-0.2876393637505652</c:v>
                </c:pt>
                <c:pt idx="1">
                  <c:v>0.84796928655666104</c:v>
                </c:pt>
                <c:pt idx="2">
                  <c:v>0.15700398607570859</c:v>
                </c:pt>
                <c:pt idx="3">
                  <c:v>0.16745549326547859</c:v>
                </c:pt>
                <c:pt idx="4">
                  <c:v>-6.9582391193849347E-2</c:v>
                </c:pt>
                <c:pt idx="5">
                  <c:v>-0.47112976657311201</c:v>
                </c:pt>
                <c:pt idx="6">
                  <c:v>-0.75811385616693361</c:v>
                </c:pt>
                <c:pt idx="7">
                  <c:v>0.31772740721688741</c:v>
                </c:pt>
                <c:pt idx="8">
                  <c:v>7.7533932108993397E-2</c:v>
                </c:pt>
                <c:pt idx="9">
                  <c:v>-0.53346432247254949</c:v>
                </c:pt>
                <c:pt idx="10">
                  <c:v>0.45454287504260021</c:v>
                </c:pt>
                <c:pt idx="11">
                  <c:v>3.1471936367084119E-2</c:v>
                </c:pt>
                <c:pt idx="12">
                  <c:v>3.0838142455641201E-2</c:v>
                </c:pt>
                <c:pt idx="13">
                  <c:v>0.17697754005790409</c:v>
                </c:pt>
                <c:pt idx="14">
                  <c:v>0.30542206413508749</c:v>
                </c:pt>
                <c:pt idx="15">
                  <c:v>0.24125924925744521</c:v>
                </c:pt>
                <c:pt idx="16">
                  <c:v>-3.4118902819759711E-2</c:v>
                </c:pt>
                <c:pt idx="17">
                  <c:v>5.7365195851666329E-3</c:v>
                </c:pt>
                <c:pt idx="18">
                  <c:v>1.6856365223055999E-2</c:v>
                </c:pt>
                <c:pt idx="19">
                  <c:v>-0.33585868573799699</c:v>
                </c:pt>
                <c:pt idx="20">
                  <c:v>-0.74411792341519689</c:v>
                </c:pt>
                <c:pt idx="21">
                  <c:v>-0.23690415375288071</c:v>
                </c:pt>
                <c:pt idx="22">
                  <c:v>-9.0764070726061519E-2</c:v>
                </c:pt>
                <c:pt idx="23">
                  <c:v>1.1441189535278619E-2</c:v>
                </c:pt>
                <c:pt idx="24">
                  <c:v>0.10868872867983009</c:v>
                </c:pt>
                <c:pt idx="25">
                  <c:v>-5.0282937614572809E-2</c:v>
                </c:pt>
                <c:pt idx="26">
                  <c:v>3.0077059143708059E-2</c:v>
                </c:pt>
                <c:pt idx="27">
                  <c:v>0.12912366709413711</c:v>
                </c:pt>
                <c:pt idx="28">
                  <c:v>-0.13497178125077181</c:v>
                </c:pt>
                <c:pt idx="29">
                  <c:v>-1.4729856885506529</c:v>
                </c:pt>
                <c:pt idx="30">
                  <c:v>0.40533344889263478</c:v>
                </c:pt>
                <c:pt idx="31">
                  <c:v>-0.62674779809432035</c:v>
                </c:pt>
                <c:pt idx="32">
                  <c:v>0.23461059701165959</c:v>
                </c:pt>
                <c:pt idx="33">
                  <c:v>0.17126418056214471</c:v>
                </c:pt>
                <c:pt idx="34">
                  <c:v>-0.10235819476841181</c:v>
                </c:pt>
                <c:pt idx="35">
                  <c:v>0.60805895993658954</c:v>
                </c:pt>
                <c:pt idx="36">
                  <c:v>0.35183039160322588</c:v>
                </c:pt>
                <c:pt idx="37">
                  <c:v>-0.49326229492211482</c:v>
                </c:pt>
                <c:pt idx="38">
                  <c:v>3.7536006494264029E-2</c:v>
                </c:pt>
                <c:pt idx="39">
                  <c:v>-1.0055179023460431E-2</c:v>
                </c:pt>
                <c:pt idx="40">
                  <c:v>0.33082297316125953</c:v>
                </c:pt>
                <c:pt idx="41">
                  <c:v>0.30744343357876769</c:v>
                </c:pt>
                <c:pt idx="42">
                  <c:v>0.2036256050107639</c:v>
                </c:pt>
                <c:pt idx="43">
                  <c:v>0.13759247486217949</c:v>
                </c:pt>
                <c:pt idx="44">
                  <c:v>0.1591811159165912</c:v>
                </c:pt>
                <c:pt idx="45">
                  <c:v>-0.15210492233962289</c:v>
                </c:pt>
                <c:pt idx="46">
                  <c:v>0.30950870652054002</c:v>
                </c:pt>
                <c:pt idx="47">
                  <c:v>-2.4356816340500131E-2</c:v>
                </c:pt>
                <c:pt idx="48">
                  <c:v>1.2797735074530079E-2</c:v>
                </c:pt>
                <c:pt idx="49">
                  <c:v>0.24908797908752159</c:v>
                </c:pt>
                <c:pt idx="50">
                  <c:v>-6.4370298421052574E-2</c:v>
                </c:pt>
                <c:pt idx="51">
                  <c:v>0.25643554932072288</c:v>
                </c:pt>
                <c:pt idx="52">
                  <c:v>-0.1909733264330464</c:v>
                </c:pt>
                <c:pt idx="53">
                  <c:v>0.25127509424879069</c:v>
                </c:pt>
                <c:pt idx="54">
                  <c:v>-0.35238652474266008</c:v>
                </c:pt>
                <c:pt idx="55">
                  <c:v>-6.1484518189611308E-2</c:v>
                </c:pt>
                <c:pt idx="56">
                  <c:v>-9.9601829920380247E-2</c:v>
                </c:pt>
                <c:pt idx="57">
                  <c:v>0.233410232765773</c:v>
                </c:pt>
                <c:pt idx="58">
                  <c:v>-3.5658669136738652E-2</c:v>
                </c:pt>
                <c:pt idx="59">
                  <c:v>-0.32174225647475918</c:v>
                </c:pt>
                <c:pt idx="60">
                  <c:v>-0.62611962786089226</c:v>
                </c:pt>
                <c:pt idx="61">
                  <c:v>0.40049802701639431</c:v>
                </c:pt>
                <c:pt idx="62">
                  <c:v>0.37971110819584458</c:v>
                </c:pt>
                <c:pt idx="63">
                  <c:v>0.73092881235022933</c:v>
                </c:pt>
                <c:pt idx="64">
                  <c:v>0.34810480215932671</c:v>
                </c:pt>
                <c:pt idx="65">
                  <c:v>-5.0743276358198308E-2</c:v>
                </c:pt>
                <c:pt idx="66">
                  <c:v>7.791018372064773E-2</c:v>
                </c:pt>
                <c:pt idx="67">
                  <c:v>-0.5981082641512252</c:v>
                </c:pt>
                <c:pt idx="68">
                  <c:v>-0.50281707571532408</c:v>
                </c:pt>
                <c:pt idx="69">
                  <c:v>-0.48193021612618819</c:v>
                </c:pt>
                <c:pt idx="70">
                  <c:v>-0.10809363826805909</c:v>
                </c:pt>
                <c:pt idx="71">
                  <c:v>0.50672325026516507</c:v>
                </c:pt>
                <c:pt idx="72">
                  <c:v>6.4632178046532651E-2</c:v>
                </c:pt>
                <c:pt idx="73">
                  <c:v>0.40338329599251649</c:v>
                </c:pt>
                <c:pt idx="74">
                  <c:v>0.59330883560101011</c:v>
                </c:pt>
                <c:pt idx="75">
                  <c:v>-0.24640234548657161</c:v>
                </c:pt>
                <c:pt idx="76">
                  <c:v>-0.76639926718001483</c:v>
                </c:pt>
                <c:pt idx="77">
                  <c:v>-0.35669596191959219</c:v>
                </c:pt>
                <c:pt idx="78">
                  <c:v>-0.63482906609795009</c:v>
                </c:pt>
                <c:pt idx="79">
                  <c:v>0.1165275445245291</c:v>
                </c:pt>
                <c:pt idx="80">
                  <c:v>0.14415368676994961</c:v>
                </c:pt>
                <c:pt idx="81">
                  <c:v>0.51441596950049107</c:v>
                </c:pt>
                <c:pt idx="82">
                  <c:v>-3.052090452284606E-2</c:v>
                </c:pt>
                <c:pt idx="83">
                  <c:v>0.1240595516620271</c:v>
                </c:pt>
                <c:pt idx="84">
                  <c:v>0.16677730650350589</c:v>
                </c:pt>
                <c:pt idx="85">
                  <c:v>-0.17486806128115351</c:v>
                </c:pt>
                <c:pt idx="86">
                  <c:v>0.17342802427566359</c:v>
                </c:pt>
                <c:pt idx="87">
                  <c:v>-1.6043736448932751E-2</c:v>
                </c:pt>
                <c:pt idx="88">
                  <c:v>-0.16955883024493529</c:v>
                </c:pt>
                <c:pt idx="89">
                  <c:v>-9.5026769499820141E-2</c:v>
                </c:pt>
                <c:pt idx="90">
                  <c:v>-0.14661444226000059</c:v>
                </c:pt>
                <c:pt idx="91">
                  <c:v>0.64530545382088267</c:v>
                </c:pt>
                <c:pt idx="92">
                  <c:v>0.31285240228947592</c:v>
                </c:pt>
                <c:pt idx="93">
                  <c:v>0.28751182422169558</c:v>
                </c:pt>
                <c:pt idx="94">
                  <c:v>-0.13521591278665299</c:v>
                </c:pt>
                <c:pt idx="95">
                  <c:v>-2.6793101239077188E-2</c:v>
                </c:pt>
                <c:pt idx="96">
                  <c:v>-1.5989106747596789E-2</c:v>
                </c:pt>
                <c:pt idx="97">
                  <c:v>0.39208608677575268</c:v>
                </c:pt>
                <c:pt idx="98">
                  <c:v>0.60841320718443637</c:v>
                </c:pt>
                <c:pt idx="99">
                  <c:v>-0.84481916090062636</c:v>
                </c:pt>
                <c:pt idx="100">
                  <c:v>-0.73612298037599455</c:v>
                </c:pt>
                <c:pt idx="101">
                  <c:v>-0.58418855259982205</c:v>
                </c:pt>
                <c:pt idx="102">
                  <c:v>-7.5134782149226531E-2</c:v>
                </c:pt>
                <c:pt idx="103">
                  <c:v>-0.1753104718954184</c:v>
                </c:pt>
                <c:pt idx="104">
                  <c:v>7.1052119354770404E-2</c:v>
                </c:pt>
                <c:pt idx="105">
                  <c:v>0.40038762344804463</c:v>
                </c:pt>
                <c:pt idx="106">
                  <c:v>0.21991986859224791</c:v>
                </c:pt>
                <c:pt idx="107">
                  <c:v>-1.0307940234292421</c:v>
                </c:pt>
                <c:pt idx="108">
                  <c:v>0.47465492753269078</c:v>
                </c:pt>
                <c:pt idx="109">
                  <c:v>-0.59099070052526859</c:v>
                </c:pt>
                <c:pt idx="110">
                  <c:v>0.42598719738837509</c:v>
                </c:pt>
                <c:pt idx="111">
                  <c:v>-0.1030728489209212</c:v>
                </c:pt>
                <c:pt idx="112">
                  <c:v>-0.26707045135893809</c:v>
                </c:pt>
                <c:pt idx="113">
                  <c:v>0.13784881451818981</c:v>
                </c:pt>
                <c:pt idx="114">
                  <c:v>-0.26426067148283477</c:v>
                </c:pt>
                <c:pt idx="115">
                  <c:v>0.15684517761023911</c:v>
                </c:pt>
                <c:pt idx="116">
                  <c:v>-0.67125740801111089</c:v>
                </c:pt>
                <c:pt idx="117">
                  <c:v>0.3295699981365523</c:v>
                </c:pt>
                <c:pt idx="118">
                  <c:v>-0.47391913589466222</c:v>
                </c:pt>
                <c:pt idx="119">
                  <c:v>0.2575845152539662</c:v>
                </c:pt>
                <c:pt idx="120">
                  <c:v>-0.1166246726767701</c:v>
                </c:pt>
                <c:pt idx="121">
                  <c:v>0.31094563268170461</c:v>
                </c:pt>
                <c:pt idx="122">
                  <c:v>0.3131245013925108</c:v>
                </c:pt>
                <c:pt idx="123">
                  <c:v>0.32840021779499562</c:v>
                </c:pt>
                <c:pt idx="124">
                  <c:v>0.94442247871926277</c:v>
                </c:pt>
                <c:pt idx="125">
                  <c:v>-0.30298156058417458</c:v>
                </c:pt>
                <c:pt idx="126">
                  <c:v>-0.11422883018380151</c:v>
                </c:pt>
                <c:pt idx="127">
                  <c:v>0.10820316177522479</c:v>
                </c:pt>
                <c:pt idx="128">
                  <c:v>0.22171009818829651</c:v>
                </c:pt>
                <c:pt idx="129">
                  <c:v>0.2188347495551648</c:v>
                </c:pt>
                <c:pt idx="130">
                  <c:v>-0.42155371833348992</c:v>
                </c:pt>
                <c:pt idx="131">
                  <c:v>0.36376964843814102</c:v>
                </c:pt>
                <c:pt idx="132">
                  <c:v>9.9252383929322008E-2</c:v>
                </c:pt>
                <c:pt idx="133">
                  <c:v>-3.3048544685461152E-2</c:v>
                </c:pt>
                <c:pt idx="134">
                  <c:v>1.7559607896440179</c:v>
                </c:pt>
                <c:pt idx="135">
                  <c:v>-0.1082933210923125</c:v>
                </c:pt>
                <c:pt idx="136">
                  <c:v>-0.1291833675302074</c:v>
                </c:pt>
                <c:pt idx="137">
                  <c:v>-0.30378450206009422</c:v>
                </c:pt>
                <c:pt idx="138">
                  <c:v>-0.69560756364006782</c:v>
                </c:pt>
                <c:pt idx="139">
                  <c:v>-0.20212054903475349</c:v>
                </c:pt>
                <c:pt idx="140">
                  <c:v>-0.28545984769134147</c:v>
                </c:pt>
                <c:pt idx="141">
                  <c:v>-0.58826972680637724</c:v>
                </c:pt>
                <c:pt idx="142">
                  <c:v>0.53629255274684873</c:v>
                </c:pt>
                <c:pt idx="143">
                  <c:v>-0.65232314111152689</c:v>
                </c:pt>
                <c:pt idx="144">
                  <c:v>0.54796651168023214</c:v>
                </c:pt>
                <c:pt idx="145">
                  <c:v>0.13142794636622221</c:v>
                </c:pt>
                <c:pt idx="146">
                  <c:v>-1.057724646103118</c:v>
                </c:pt>
                <c:pt idx="147">
                  <c:v>3.169330103088619E-3</c:v>
                </c:pt>
                <c:pt idx="148">
                  <c:v>-0.71695495413828425</c:v>
                </c:pt>
                <c:pt idx="149">
                  <c:v>0.92229600781858068</c:v>
                </c:pt>
                <c:pt idx="150">
                  <c:v>0.36670923684532492</c:v>
                </c:pt>
                <c:pt idx="151">
                  <c:v>-1.8450378415828419</c:v>
                </c:pt>
                <c:pt idx="152">
                  <c:v>-0.75104838106756056</c:v>
                </c:pt>
                <c:pt idx="153">
                  <c:v>0.46610590922827022</c:v>
                </c:pt>
                <c:pt idx="154">
                  <c:v>0.52436305179278353</c:v>
                </c:pt>
                <c:pt idx="155">
                  <c:v>0.40795173158340342</c:v>
                </c:pt>
                <c:pt idx="156">
                  <c:v>-0.32565767976223992</c:v>
                </c:pt>
                <c:pt idx="157">
                  <c:v>1.000505147716517</c:v>
                </c:pt>
                <c:pt idx="158">
                  <c:v>-0.27790800287950562</c:v>
                </c:pt>
                <c:pt idx="159">
                  <c:v>0.51173363142092043</c:v>
                </c:pt>
                <c:pt idx="160">
                  <c:v>-0.51779046899076775</c:v>
                </c:pt>
                <c:pt idx="161">
                  <c:v>0.53349838762560697</c:v>
                </c:pt>
                <c:pt idx="162">
                  <c:v>0.74918375891914035</c:v>
                </c:pt>
                <c:pt idx="163">
                  <c:v>1.084956999027302</c:v>
                </c:pt>
                <c:pt idx="164">
                  <c:v>0.35567372057233188</c:v>
                </c:pt>
                <c:pt idx="165">
                  <c:v>-1.2958947527243281</c:v>
                </c:pt>
                <c:pt idx="166">
                  <c:v>-0.40989181387951762</c:v>
                </c:pt>
                <c:pt idx="167">
                  <c:v>8.9410776003619574E-2</c:v>
                </c:pt>
                <c:pt idx="168">
                  <c:v>0.55163153771632967</c:v>
                </c:pt>
                <c:pt idx="169">
                  <c:v>0.23057257472219561</c:v>
                </c:pt>
                <c:pt idx="170">
                  <c:v>-0.8004294046729159</c:v>
                </c:pt>
                <c:pt idx="171">
                  <c:v>-7.5883180290151842E-2</c:v>
                </c:pt>
                <c:pt idx="172">
                  <c:v>-0.23822730150156879</c:v>
                </c:pt>
                <c:pt idx="173">
                  <c:v>0.54426794311086457</c:v>
                </c:pt>
                <c:pt idx="174">
                  <c:v>-0.30750327865960259</c:v>
                </c:pt>
                <c:pt idx="175">
                  <c:v>-0.75475404662929435</c:v>
                </c:pt>
                <c:pt idx="176">
                  <c:v>1.129222433415656</c:v>
                </c:pt>
                <c:pt idx="177">
                  <c:v>-0.2392468572335531</c:v>
                </c:pt>
                <c:pt idx="178">
                  <c:v>-5.5162973429323081E-2</c:v>
                </c:pt>
                <c:pt idx="179">
                  <c:v>0.1912576244519624</c:v>
                </c:pt>
                <c:pt idx="181" formatCode="0.00">
                  <c:v>-3</c:v>
                </c:pt>
                <c:pt idx="182" formatCode="0.00">
                  <c:v>3</c:v>
                </c:pt>
              </c:numCache>
            </c:numRef>
          </c:xVal>
          <c:yVal>
            <c:numRef>
              <c:f>Sheet1!$C$2:$C$184</c:f>
              <c:numCache>
                <c:formatCode>General</c:formatCode>
                <c:ptCount val="183"/>
                <c:pt idx="0">
                  <c:v>-2.9024000000000432</c:v>
                </c:pt>
                <c:pt idx="1">
                  <c:v>0.54759999999996012</c:v>
                </c:pt>
                <c:pt idx="2">
                  <c:v>-0.64240000000003761</c:v>
                </c:pt>
                <c:pt idx="3">
                  <c:v>-2.6324000000000471</c:v>
                </c:pt>
                <c:pt idx="4">
                  <c:v>-1.3924000000000381</c:v>
                </c:pt>
                <c:pt idx="5">
                  <c:v>1.3175999999999559</c:v>
                </c:pt>
                <c:pt idx="6">
                  <c:v>3.8175999999999561</c:v>
                </c:pt>
                <c:pt idx="7">
                  <c:v>0.2275999999999527</c:v>
                </c:pt>
                <c:pt idx="8">
                  <c:v>-0.712400000000045</c:v>
                </c:pt>
                <c:pt idx="9">
                  <c:v>-0.57240000000004443</c:v>
                </c:pt>
                <c:pt idx="10">
                  <c:v>-2.982400000000041</c:v>
                </c:pt>
                <c:pt idx="11">
                  <c:v>-0.74240000000004613</c:v>
                </c:pt>
                <c:pt idx="12">
                  <c:v>1.5475999999999599</c:v>
                </c:pt>
                <c:pt idx="13">
                  <c:v>3.7599999999955003E-2</c:v>
                </c:pt>
                <c:pt idx="14">
                  <c:v>0.72759999999995273</c:v>
                </c:pt>
                <c:pt idx="15">
                  <c:v>1.517599999999959</c:v>
                </c:pt>
                <c:pt idx="16">
                  <c:v>-3.0124000000000422</c:v>
                </c:pt>
                <c:pt idx="17">
                  <c:v>-2.3124000000000389</c:v>
                </c:pt>
                <c:pt idx="18">
                  <c:v>0.31759999999995608</c:v>
                </c:pt>
                <c:pt idx="19">
                  <c:v>1.537599999999955</c:v>
                </c:pt>
                <c:pt idx="20">
                  <c:v>2.9575999999999572</c:v>
                </c:pt>
                <c:pt idx="21">
                  <c:v>0.68759999999996069</c:v>
                </c:pt>
                <c:pt idx="22">
                  <c:v>2.017599999999959</c:v>
                </c:pt>
                <c:pt idx="23">
                  <c:v>-3.212400000000045</c:v>
                </c:pt>
                <c:pt idx="24">
                  <c:v>-0.29240000000004329</c:v>
                </c:pt>
                <c:pt idx="25">
                  <c:v>1.1875999999999609</c:v>
                </c:pt>
                <c:pt idx="26">
                  <c:v>0.787599999999955</c:v>
                </c:pt>
                <c:pt idx="27">
                  <c:v>-2.982400000000041</c:v>
                </c:pt>
                <c:pt idx="28">
                  <c:v>1.147599999999954</c:v>
                </c:pt>
                <c:pt idx="29">
                  <c:v>3.6175999999999529</c:v>
                </c:pt>
                <c:pt idx="30">
                  <c:v>-1.282400000000038</c:v>
                </c:pt>
                <c:pt idx="31">
                  <c:v>2.267599999999959</c:v>
                </c:pt>
                <c:pt idx="32">
                  <c:v>1.137599999999964</c:v>
                </c:pt>
                <c:pt idx="33">
                  <c:v>1.1175999999999531</c:v>
                </c:pt>
                <c:pt idx="34">
                  <c:v>0.80759999999996523</c:v>
                </c:pt>
                <c:pt idx="35">
                  <c:v>-1.4924000000000459</c:v>
                </c:pt>
                <c:pt idx="36">
                  <c:v>-0.77240000000004727</c:v>
                </c:pt>
                <c:pt idx="37">
                  <c:v>0.88759999999996353</c:v>
                </c:pt>
                <c:pt idx="38">
                  <c:v>-0.90240000000004272</c:v>
                </c:pt>
                <c:pt idx="39">
                  <c:v>-0.31240000000003931</c:v>
                </c:pt>
                <c:pt idx="40">
                  <c:v>1.017599999999959</c:v>
                </c:pt>
                <c:pt idx="41">
                  <c:v>-2.6624000000000341</c:v>
                </c:pt>
                <c:pt idx="42">
                  <c:v>2.3475999999999568</c:v>
                </c:pt>
                <c:pt idx="43">
                  <c:v>-0.962400000000045</c:v>
                </c:pt>
                <c:pt idx="44">
                  <c:v>0.287599999999955</c:v>
                </c:pt>
                <c:pt idx="45">
                  <c:v>1.6675999999999651</c:v>
                </c:pt>
                <c:pt idx="46">
                  <c:v>0.10759999999996241</c:v>
                </c:pt>
                <c:pt idx="47">
                  <c:v>-4.1724000000000387</c:v>
                </c:pt>
                <c:pt idx="48">
                  <c:v>1.7575999999999541</c:v>
                </c:pt>
                <c:pt idx="49">
                  <c:v>-0.45240000000003988</c:v>
                </c:pt>
                <c:pt idx="50">
                  <c:v>-3.6064285714285802</c:v>
                </c:pt>
                <c:pt idx="51">
                  <c:v>3.793571428571425</c:v>
                </c:pt>
                <c:pt idx="52">
                  <c:v>0.37357142857142378</c:v>
                </c:pt>
                <c:pt idx="53">
                  <c:v>-4.3164285714285739</c:v>
                </c:pt>
                <c:pt idx="54">
                  <c:v>-3.1364285714285671</c:v>
                </c:pt>
                <c:pt idx="55">
                  <c:v>1.3435714285714231</c:v>
                </c:pt>
                <c:pt idx="56">
                  <c:v>0.34357142857142259</c:v>
                </c:pt>
                <c:pt idx="57">
                  <c:v>1.043571428571425</c:v>
                </c:pt>
                <c:pt idx="58">
                  <c:v>-2.186428571428578</c:v>
                </c:pt>
                <c:pt idx="59">
                  <c:v>-0.59642857142857508</c:v>
                </c:pt>
                <c:pt idx="60">
                  <c:v>2.8635714285714329</c:v>
                </c:pt>
                <c:pt idx="61">
                  <c:v>-0.80642857142856883</c:v>
                </c:pt>
                <c:pt idx="62">
                  <c:v>0.73357142857142321</c:v>
                </c:pt>
                <c:pt idx="63">
                  <c:v>1.5935714285714231</c:v>
                </c:pt>
                <c:pt idx="64">
                  <c:v>1.053571428571431</c:v>
                </c:pt>
                <c:pt idx="65">
                  <c:v>7.3571428571426623E-2</c:v>
                </c:pt>
                <c:pt idx="66">
                  <c:v>-2.8664285714285711</c:v>
                </c:pt>
                <c:pt idx="67">
                  <c:v>9.9935714285714283</c:v>
                </c:pt>
                <c:pt idx="68">
                  <c:v>-0.58642857142856997</c:v>
                </c:pt>
                <c:pt idx="69">
                  <c:v>2.6535714285714249</c:v>
                </c:pt>
                <c:pt idx="70">
                  <c:v>-2.726428571428571</c:v>
                </c:pt>
                <c:pt idx="71">
                  <c:v>-1.476428571428571</c:v>
                </c:pt>
                <c:pt idx="72">
                  <c:v>-3.0464285714285779</c:v>
                </c:pt>
                <c:pt idx="73">
                  <c:v>-0.92642857142857338</c:v>
                </c:pt>
                <c:pt idx="74">
                  <c:v>-1.286428571428573</c:v>
                </c:pt>
                <c:pt idx="75">
                  <c:v>-2.0764285714285791</c:v>
                </c:pt>
                <c:pt idx="76">
                  <c:v>1.1835714285714261</c:v>
                </c:pt>
                <c:pt idx="77">
                  <c:v>0.81357142857142151</c:v>
                </c:pt>
                <c:pt idx="78">
                  <c:v>0.71357142857142719</c:v>
                </c:pt>
                <c:pt idx="79">
                  <c:v>1.2835714285714199</c:v>
                </c:pt>
                <c:pt idx="80">
                  <c:v>0.42357142857142088</c:v>
                </c:pt>
                <c:pt idx="81">
                  <c:v>-0.48642857142857571</c:v>
                </c:pt>
                <c:pt idx="82">
                  <c:v>1.1335714285714289</c:v>
                </c:pt>
                <c:pt idx="83">
                  <c:v>-1.9264285714285729</c:v>
                </c:pt>
                <c:pt idx="84">
                  <c:v>-1.516428571428577</c:v>
                </c:pt>
                <c:pt idx="85">
                  <c:v>-0.31642857142857389</c:v>
                </c:pt>
                <c:pt idx="86">
                  <c:v>-3.0164285714285768</c:v>
                </c:pt>
                <c:pt idx="87">
                  <c:v>1.91357142857143</c:v>
                </c:pt>
                <c:pt idx="88">
                  <c:v>2.2235714285714319</c:v>
                </c:pt>
                <c:pt idx="89">
                  <c:v>3.053571428571431</c:v>
                </c:pt>
                <c:pt idx="90">
                  <c:v>0.61357142857143288</c:v>
                </c:pt>
                <c:pt idx="91">
                  <c:v>-2.3164285714285739</c:v>
                </c:pt>
                <c:pt idx="92">
                  <c:v>2.1130952380952119</c:v>
                </c:pt>
                <c:pt idx="93">
                  <c:v>-2.976904761904791</c:v>
                </c:pt>
                <c:pt idx="94">
                  <c:v>0.82309523809520613</c:v>
                </c:pt>
                <c:pt idx="95">
                  <c:v>-5.2769047619047882</c:v>
                </c:pt>
                <c:pt idx="96">
                  <c:v>-0.63690476190478762</c:v>
                </c:pt>
                <c:pt idx="97">
                  <c:v>-1.896904761904793</c:v>
                </c:pt>
                <c:pt idx="98">
                  <c:v>5.3095238095210107E-2</c:v>
                </c:pt>
                <c:pt idx="99">
                  <c:v>1.0530952380952101</c:v>
                </c:pt>
                <c:pt idx="100">
                  <c:v>-0.62690476190479671</c:v>
                </c:pt>
                <c:pt idx="101">
                  <c:v>-0.87690476190479671</c:v>
                </c:pt>
                <c:pt idx="102">
                  <c:v>-1.546904761904798</c:v>
                </c:pt>
                <c:pt idx="103">
                  <c:v>-0.39690476190479268</c:v>
                </c:pt>
                <c:pt idx="104">
                  <c:v>1.383095238095208</c:v>
                </c:pt>
                <c:pt idx="105">
                  <c:v>-9.6904761904795578E-2</c:v>
                </c:pt>
                <c:pt idx="106">
                  <c:v>1.3930952380951991</c:v>
                </c:pt>
                <c:pt idx="107">
                  <c:v>2.5830952380952108</c:v>
                </c:pt>
                <c:pt idx="108">
                  <c:v>-1.9869047619047959</c:v>
                </c:pt>
                <c:pt idx="109">
                  <c:v>1.003095238095199</c:v>
                </c:pt>
                <c:pt idx="110">
                  <c:v>-0.91690476190478876</c:v>
                </c:pt>
                <c:pt idx="111">
                  <c:v>1.4830952380952029</c:v>
                </c:pt>
                <c:pt idx="112">
                  <c:v>7.8630952380952124</c:v>
                </c:pt>
                <c:pt idx="113">
                  <c:v>-1.526904761904788</c:v>
                </c:pt>
                <c:pt idx="114">
                  <c:v>-3.33690476190479</c:v>
                </c:pt>
                <c:pt idx="115">
                  <c:v>1.3030952380952101</c:v>
                </c:pt>
                <c:pt idx="116">
                  <c:v>0.20309523809520161</c:v>
                </c:pt>
                <c:pt idx="117">
                  <c:v>-1.5369047619047931</c:v>
                </c:pt>
                <c:pt idx="118">
                  <c:v>-1.456904761904795</c:v>
                </c:pt>
                <c:pt idx="119">
                  <c:v>2.1030952380952068</c:v>
                </c:pt>
                <c:pt idx="120">
                  <c:v>2.4830952380952032</c:v>
                </c:pt>
                <c:pt idx="121">
                  <c:v>0.29309523809520499</c:v>
                </c:pt>
                <c:pt idx="122">
                  <c:v>-2.4169047619047892</c:v>
                </c:pt>
                <c:pt idx="123">
                  <c:v>-1.496904761904801</c:v>
                </c:pt>
                <c:pt idx="124">
                  <c:v>-6.2569047619047922</c:v>
                </c:pt>
                <c:pt idx="125">
                  <c:v>3.653095238095204</c:v>
                </c:pt>
                <c:pt idx="126">
                  <c:v>0.26309523809520391</c:v>
                </c:pt>
                <c:pt idx="127">
                  <c:v>-0.68690476190479899</c:v>
                </c:pt>
                <c:pt idx="128">
                  <c:v>1.793095238095205</c:v>
                </c:pt>
                <c:pt idx="129">
                  <c:v>-2.4469047619047899</c:v>
                </c:pt>
                <c:pt idx="130">
                  <c:v>4.6030952380952073</c:v>
                </c:pt>
                <c:pt idx="131">
                  <c:v>-1.046904761904798</c:v>
                </c:pt>
                <c:pt idx="132">
                  <c:v>1.2130952380952069</c:v>
                </c:pt>
                <c:pt idx="133">
                  <c:v>1.7830952380952001</c:v>
                </c:pt>
                <c:pt idx="134">
                  <c:v>-6.0796551724137942</c:v>
                </c:pt>
                <c:pt idx="135">
                  <c:v>-2.6296551724137909</c:v>
                </c:pt>
                <c:pt idx="136">
                  <c:v>-3.069655172413789</c:v>
                </c:pt>
                <c:pt idx="137">
                  <c:v>-0.95965517241378961</c:v>
                </c:pt>
                <c:pt idx="138">
                  <c:v>3.060344827586206</c:v>
                </c:pt>
                <c:pt idx="139">
                  <c:v>5.6503448275862098</c:v>
                </c:pt>
                <c:pt idx="140">
                  <c:v>3.070344827586212</c:v>
                </c:pt>
                <c:pt idx="141">
                  <c:v>2.180344827586211</c:v>
                </c:pt>
                <c:pt idx="142">
                  <c:v>-9.549655172413793</c:v>
                </c:pt>
                <c:pt idx="143">
                  <c:v>4.5203448275862144</c:v>
                </c:pt>
                <c:pt idx="144">
                  <c:v>-0.12965517241379129</c:v>
                </c:pt>
                <c:pt idx="145">
                  <c:v>2.580344827586202</c:v>
                </c:pt>
                <c:pt idx="146">
                  <c:v>4.4603448275862121</c:v>
                </c:pt>
                <c:pt idx="147">
                  <c:v>1.610344827586204</c:v>
                </c:pt>
                <c:pt idx="148">
                  <c:v>1.7103448275862121</c:v>
                </c:pt>
                <c:pt idx="149">
                  <c:v>-5.8596551724137953</c:v>
                </c:pt>
                <c:pt idx="150">
                  <c:v>-3.909655172413792</c:v>
                </c:pt>
                <c:pt idx="151">
                  <c:v>7.1403448275862047</c:v>
                </c:pt>
                <c:pt idx="152">
                  <c:v>1.5403448275862099</c:v>
                </c:pt>
                <c:pt idx="153">
                  <c:v>2.7403448275862128</c:v>
                </c:pt>
                <c:pt idx="154">
                  <c:v>2.680344827586211</c:v>
                </c:pt>
                <c:pt idx="155">
                  <c:v>-0.70965517241378961</c:v>
                </c:pt>
                <c:pt idx="156">
                  <c:v>2.6403448275862051</c:v>
                </c:pt>
                <c:pt idx="157">
                  <c:v>-7.5396551724137879</c:v>
                </c:pt>
                <c:pt idx="158">
                  <c:v>3.430344827586211</c:v>
                </c:pt>
                <c:pt idx="159">
                  <c:v>-5.7496551724137959</c:v>
                </c:pt>
                <c:pt idx="160">
                  <c:v>3.180344827586211</c:v>
                </c:pt>
                <c:pt idx="161">
                  <c:v>-1.319655172413789</c:v>
                </c:pt>
                <c:pt idx="162">
                  <c:v>-4.6896551724137936</c:v>
                </c:pt>
                <c:pt idx="163">
                  <c:v>-3.0682352941176561</c:v>
                </c:pt>
                <c:pt idx="164">
                  <c:v>-4.3982352941176686</c:v>
                </c:pt>
                <c:pt idx="165">
                  <c:v>3.471764705882336</c:v>
                </c:pt>
                <c:pt idx="166">
                  <c:v>-5.778235294117664</c:v>
                </c:pt>
                <c:pt idx="167">
                  <c:v>8.1817647058823439</c:v>
                </c:pt>
                <c:pt idx="168">
                  <c:v>0.79176470588234338</c:v>
                </c:pt>
                <c:pt idx="169">
                  <c:v>-1.2682352941176589</c:v>
                </c:pt>
                <c:pt idx="170">
                  <c:v>-2.658235294117659</c:v>
                </c:pt>
                <c:pt idx="171">
                  <c:v>-4.2382352941176578</c:v>
                </c:pt>
                <c:pt idx="172">
                  <c:v>-0.78823529411766913</c:v>
                </c:pt>
                <c:pt idx="173">
                  <c:v>-7.8235294117661169E-2</c:v>
                </c:pt>
                <c:pt idx="174">
                  <c:v>4.2117647058823309</c:v>
                </c:pt>
                <c:pt idx="175">
                  <c:v>1.131764705882333</c:v>
                </c:pt>
                <c:pt idx="176">
                  <c:v>-1.0682352941176561</c:v>
                </c:pt>
                <c:pt idx="177">
                  <c:v>2.831764705882335</c:v>
                </c:pt>
                <c:pt idx="178">
                  <c:v>2.7117647058823309</c:v>
                </c:pt>
                <c:pt idx="179">
                  <c:v>1.176470588234224E-2</c:v>
                </c:pt>
              </c:numCache>
            </c:numRef>
          </c:yVal>
          <c:smooth val="0"/>
          <c:extLst>
            <c:ext xmlns:c16="http://schemas.microsoft.com/office/drawing/2014/chart" uri="{C3380CC4-5D6E-409C-BE32-E72D297353CC}">
              <c16:uniqueId val="{00000006-FA34-4B95-BAA7-52DB793B97C0}"/>
            </c:ext>
          </c:extLst>
        </c:ser>
        <c:dLbls>
          <c:showLegendKey val="0"/>
          <c:showVal val="0"/>
          <c:showCatName val="0"/>
          <c:showSerName val="0"/>
          <c:showPercent val="0"/>
          <c:showBubbleSize val="0"/>
        </c:dLbls>
        <c:axId val="378542024"/>
        <c:axId val="378540712"/>
        <c:extLst/>
      </c:scatterChart>
      <c:valAx>
        <c:axId val="378542024"/>
        <c:scaling>
          <c:orientation val="minMax"/>
          <c:max val="3"/>
          <c:min val="-3"/>
        </c:scaling>
        <c:delete val="0"/>
        <c:axPos val="b"/>
        <c:title>
          <c:tx>
            <c:rich>
              <a:bodyPr rot="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600">
                    <a:solidFill>
                      <a:schemeClr val="tx1"/>
                    </a:solidFill>
                    <a:latin typeface="Times New Roman" panose="02020603050405020304" pitchFamily="18" charset="0"/>
                    <a:cs typeface="Times New Roman" panose="02020603050405020304" pitchFamily="18" charset="0"/>
                  </a:rPr>
                  <a:t>CG</a:t>
                </a:r>
                <a:r>
                  <a:rPr lang="en-US" sz="1600" baseline="-25000">
                    <a:solidFill>
                      <a:schemeClr val="tx1"/>
                    </a:solidFill>
                    <a:latin typeface="Times New Roman" panose="02020603050405020304" pitchFamily="18" charset="0"/>
                    <a:cs typeface="Times New Roman" panose="02020603050405020304" pitchFamily="18" charset="0"/>
                  </a:rPr>
                  <a:t>LOG_centered</a:t>
                </a:r>
                <a:endParaRPr lang="en-US" sz="16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78540712"/>
        <c:crossesAt val="-15"/>
        <c:crossBetween val="midCat"/>
      </c:valAx>
      <c:valAx>
        <c:axId val="378540712"/>
        <c:scaling>
          <c:orientation val="minMax"/>
        </c:scaling>
        <c:delete val="0"/>
        <c:axPos val="l"/>
        <c:title>
          <c:tx>
            <c:rich>
              <a:bodyPr rot="-540000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600">
                    <a:solidFill>
                      <a:schemeClr val="tx1"/>
                    </a:solidFill>
                    <a:latin typeface="Times New Roman" panose="02020603050405020304" pitchFamily="18" charset="0"/>
                    <a:cs typeface="Times New Roman" panose="02020603050405020304" pitchFamily="18" charset="0"/>
                  </a:rPr>
                  <a:t>IQ</a:t>
                </a:r>
                <a:r>
                  <a:rPr lang="en-US" sz="1600" baseline="-25000">
                    <a:solidFill>
                      <a:schemeClr val="tx1"/>
                    </a:solidFill>
                    <a:latin typeface="Times New Roman" panose="02020603050405020304" pitchFamily="18" charset="0"/>
                    <a:cs typeface="Times New Roman" panose="02020603050405020304" pitchFamily="18" charset="0"/>
                  </a:rPr>
                  <a:t>centered</a:t>
                </a:r>
                <a:endParaRPr lang="en-US" sz="16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78542024"/>
        <c:crossesAt val="-3"/>
        <c:crossBetween val="midCat"/>
      </c:valAx>
      <c:spPr>
        <a:noFill/>
        <a:ln>
          <a:noFill/>
        </a:ln>
        <a:effectLst/>
      </c:spPr>
    </c:plotArea>
    <c:legend>
      <c:legendPos val="r"/>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v>White</c:v>
          </c:tx>
          <c:spPr>
            <a:ln w="25400" cap="rnd">
              <a:noFill/>
              <a:round/>
            </a:ln>
            <a:effectLst/>
          </c:spPr>
          <c:marker>
            <c:symbol val="triangle"/>
            <c:size val="5"/>
            <c:spPr>
              <a:solidFill>
                <a:sysClr val="windowText" lastClr="000000"/>
              </a:solidFill>
              <a:ln w="9525">
                <a:solidFill>
                  <a:schemeClr val="tx1"/>
                </a:solidFill>
              </a:ln>
              <a:effectLst/>
            </c:spPr>
          </c:marker>
          <c:xVal>
            <c:numRef>
              <c:f>Sheet1!$D$2:$D$51</c:f>
              <c:numCache>
                <c:formatCode>General</c:formatCode>
                <c:ptCount val="50"/>
                <c:pt idx="0">
                  <c:v>-0.57591000000000003</c:v>
                </c:pt>
                <c:pt idx="1">
                  <c:v>1.2486999999999999</c:v>
                </c:pt>
                <c:pt idx="2">
                  <c:v>0.23363</c:v>
                </c:pt>
                <c:pt idx="3">
                  <c:v>-0.26741999999999999</c:v>
                </c:pt>
                <c:pt idx="4">
                  <c:v>0.41336000000000001</c:v>
                </c:pt>
                <c:pt idx="5">
                  <c:v>-0.16894999999999999</c:v>
                </c:pt>
                <c:pt idx="6">
                  <c:v>-0.10169</c:v>
                </c:pt>
                <c:pt idx="7">
                  <c:v>0.54147999999999996</c:v>
                </c:pt>
                <c:pt idx="8">
                  <c:v>7.1580000000000005E-2</c:v>
                </c:pt>
                <c:pt idx="9">
                  <c:v>-0.42653000000000002</c:v>
                </c:pt>
                <c:pt idx="10">
                  <c:v>0.82194</c:v>
                </c:pt>
                <c:pt idx="11">
                  <c:v>-0.20785999999999999</c:v>
                </c:pt>
                <c:pt idx="12">
                  <c:v>0.29043999999999998</c:v>
                </c:pt>
                <c:pt idx="13">
                  <c:v>5.8939999999999999E-2</c:v>
                </c:pt>
                <c:pt idx="14">
                  <c:v>0.15032000000000001</c:v>
                </c:pt>
                <c:pt idx="15">
                  <c:v>0.14949000000000001</c:v>
                </c:pt>
                <c:pt idx="16">
                  <c:v>-0.47654000000000002</c:v>
                </c:pt>
                <c:pt idx="17">
                  <c:v>-0.25228</c:v>
                </c:pt>
                <c:pt idx="18">
                  <c:v>-0.23680999999999999</c:v>
                </c:pt>
                <c:pt idx="19">
                  <c:v>0.18865999999999999</c:v>
                </c:pt>
                <c:pt idx="20">
                  <c:v>-0.34883999999999998</c:v>
                </c:pt>
                <c:pt idx="21">
                  <c:v>-0.14882000000000001</c:v>
                </c:pt>
                <c:pt idx="22">
                  <c:v>0.11549</c:v>
                </c:pt>
                <c:pt idx="23">
                  <c:v>-0.33723999999999998</c:v>
                </c:pt>
                <c:pt idx="24">
                  <c:v>-9.6140000000000003E-2</c:v>
                </c:pt>
                <c:pt idx="25">
                  <c:v>-0.43862000000000001</c:v>
                </c:pt>
                <c:pt idx="26">
                  <c:v>-0.10016</c:v>
                </c:pt>
                <c:pt idx="27">
                  <c:v>0.21298</c:v>
                </c:pt>
                <c:pt idx="28">
                  <c:v>6.5869999999999998E-2</c:v>
                </c:pt>
                <c:pt idx="29">
                  <c:v>-0.80508999999999997</c:v>
                </c:pt>
                <c:pt idx="30">
                  <c:v>0.33094000000000001</c:v>
                </c:pt>
                <c:pt idx="31">
                  <c:v>-0.31490000000000001</c:v>
                </c:pt>
                <c:pt idx="32">
                  <c:v>0.18029999999999999</c:v>
                </c:pt>
                <c:pt idx="33">
                  <c:v>-0.13829</c:v>
                </c:pt>
                <c:pt idx="34">
                  <c:v>-0.18525</c:v>
                </c:pt>
                <c:pt idx="35">
                  <c:v>0.21304000000000001</c:v>
                </c:pt>
                <c:pt idx="36">
                  <c:v>0.28138000000000002</c:v>
                </c:pt>
                <c:pt idx="37">
                  <c:v>-0.58125000000000004</c:v>
                </c:pt>
                <c:pt idx="38">
                  <c:v>0.10763</c:v>
                </c:pt>
                <c:pt idx="39">
                  <c:v>-0.11890000000000001</c:v>
                </c:pt>
                <c:pt idx="40">
                  <c:v>6.7799999999999999E-2</c:v>
                </c:pt>
                <c:pt idx="41">
                  <c:v>3.304E-2</c:v>
                </c:pt>
                <c:pt idx="42">
                  <c:v>0.32797999999999999</c:v>
                </c:pt>
                <c:pt idx="43">
                  <c:v>0.14527000000000001</c:v>
                </c:pt>
                <c:pt idx="44">
                  <c:v>6.5979999999999997E-2</c:v>
                </c:pt>
                <c:pt idx="45">
                  <c:v>0.12218</c:v>
                </c:pt>
                <c:pt idx="46">
                  <c:v>0.45931</c:v>
                </c:pt>
                <c:pt idx="47">
                  <c:v>-0.65286999999999995</c:v>
                </c:pt>
                <c:pt idx="48">
                  <c:v>6.5799999999999997E-2</c:v>
                </c:pt>
                <c:pt idx="49">
                  <c:v>1.685E-2</c:v>
                </c:pt>
              </c:numCache>
            </c:numRef>
          </c:xVal>
          <c:yVal>
            <c:numRef>
              <c:f>Sheet1!$C$2:$C$51</c:f>
              <c:numCache>
                <c:formatCode>General</c:formatCode>
                <c:ptCount val="50"/>
                <c:pt idx="0">
                  <c:v>-1.08406</c:v>
                </c:pt>
                <c:pt idx="1">
                  <c:v>-1.0978699999999999</c:v>
                </c:pt>
                <c:pt idx="2">
                  <c:v>-1.18286</c:v>
                </c:pt>
                <c:pt idx="3">
                  <c:v>-0.34544000000000002</c:v>
                </c:pt>
                <c:pt idx="4">
                  <c:v>-3.4496799999999999</c:v>
                </c:pt>
                <c:pt idx="5">
                  <c:v>-0.16975999999999999</c:v>
                </c:pt>
                <c:pt idx="6">
                  <c:v>0.79798999999999998</c:v>
                </c:pt>
                <c:pt idx="7">
                  <c:v>-0.54737999999999998</c:v>
                </c:pt>
                <c:pt idx="8">
                  <c:v>-0.76097000000000004</c:v>
                </c:pt>
                <c:pt idx="9">
                  <c:v>-0.64903</c:v>
                </c:pt>
                <c:pt idx="10">
                  <c:v>-4.7656900000000002</c:v>
                </c:pt>
                <c:pt idx="11">
                  <c:v>1.5900000000000001E-3</c:v>
                </c:pt>
                <c:pt idx="12">
                  <c:v>0.45522000000000001</c:v>
                </c:pt>
                <c:pt idx="13">
                  <c:v>0.77459</c:v>
                </c:pt>
                <c:pt idx="14">
                  <c:v>1.0522199999999999</c:v>
                </c:pt>
                <c:pt idx="15">
                  <c:v>1.8680399999999999</c:v>
                </c:pt>
                <c:pt idx="16">
                  <c:v>-0.61860000000000004</c:v>
                </c:pt>
                <c:pt idx="17">
                  <c:v>-0.79056999999999999</c:v>
                </c:pt>
                <c:pt idx="18">
                  <c:v>1.1937599999999999</c:v>
                </c:pt>
                <c:pt idx="19">
                  <c:v>-0.56999999999999995</c:v>
                </c:pt>
                <c:pt idx="20">
                  <c:v>1.07023</c:v>
                </c:pt>
                <c:pt idx="21">
                  <c:v>0.31419000000000002</c:v>
                </c:pt>
                <c:pt idx="22">
                  <c:v>0.62607999999999997</c:v>
                </c:pt>
                <c:pt idx="23">
                  <c:v>-1.19475</c:v>
                </c:pt>
                <c:pt idx="24">
                  <c:v>0.76861999999999997</c:v>
                </c:pt>
                <c:pt idx="25">
                  <c:v>2.5665300000000002</c:v>
                </c:pt>
                <c:pt idx="26">
                  <c:v>0.96696000000000004</c:v>
                </c:pt>
                <c:pt idx="27">
                  <c:v>-2.7368299999999999</c:v>
                </c:pt>
                <c:pt idx="28">
                  <c:v>6.4750000000000002E-2</c:v>
                </c:pt>
                <c:pt idx="29">
                  <c:v>0.73872000000000004</c:v>
                </c:pt>
                <c:pt idx="30">
                  <c:v>-1.04925</c:v>
                </c:pt>
                <c:pt idx="31">
                  <c:v>0.66547000000000001</c:v>
                </c:pt>
                <c:pt idx="32">
                  <c:v>1.4793400000000001</c:v>
                </c:pt>
                <c:pt idx="33">
                  <c:v>1.9139299999999999</c:v>
                </c:pt>
                <c:pt idx="34">
                  <c:v>1.3085100000000001</c:v>
                </c:pt>
                <c:pt idx="35">
                  <c:v>0.72445000000000004</c:v>
                </c:pt>
                <c:pt idx="36">
                  <c:v>-0.60643999999999998</c:v>
                </c:pt>
                <c:pt idx="37">
                  <c:v>1.19773</c:v>
                </c:pt>
                <c:pt idx="38">
                  <c:v>-1.39225</c:v>
                </c:pt>
                <c:pt idx="39">
                  <c:v>0.36405999999999999</c:v>
                </c:pt>
                <c:pt idx="40">
                  <c:v>1.58775</c:v>
                </c:pt>
                <c:pt idx="41">
                  <c:v>-1.07941</c:v>
                </c:pt>
                <c:pt idx="42">
                  <c:v>2.1010499999999999</c:v>
                </c:pt>
                <c:pt idx="43">
                  <c:v>-1.32413</c:v>
                </c:pt>
                <c:pt idx="44">
                  <c:v>0.22378000000000001</c:v>
                </c:pt>
                <c:pt idx="45">
                  <c:v>0.49418000000000001</c:v>
                </c:pt>
                <c:pt idx="46">
                  <c:v>-0.67981000000000003</c:v>
                </c:pt>
                <c:pt idx="47">
                  <c:v>-0.92652999999999996</c:v>
                </c:pt>
                <c:pt idx="48">
                  <c:v>1.1742300000000001</c:v>
                </c:pt>
                <c:pt idx="49">
                  <c:v>0.52734000000000003</c:v>
                </c:pt>
              </c:numCache>
            </c:numRef>
          </c:yVal>
          <c:smooth val="0"/>
          <c:extLst>
            <c:ext xmlns:c16="http://schemas.microsoft.com/office/drawing/2014/chart" uri="{C3380CC4-5D6E-409C-BE32-E72D297353CC}">
              <c16:uniqueId val="{00000000-62CB-4EC1-BBFF-F59197BF500F}"/>
            </c:ext>
          </c:extLst>
        </c:ser>
        <c:ser>
          <c:idx val="1"/>
          <c:order val="1"/>
          <c:tx>
            <c:v>Black</c:v>
          </c:tx>
          <c:spPr>
            <a:ln w="25400" cap="rnd">
              <a:noFill/>
              <a:round/>
            </a:ln>
            <a:effectLst/>
          </c:spPr>
          <c:marker>
            <c:symbol val="circle"/>
            <c:size val="5"/>
            <c:spPr>
              <a:solidFill>
                <a:sysClr val="windowText" lastClr="000000"/>
              </a:solidFill>
              <a:ln w="9525">
                <a:noFill/>
              </a:ln>
              <a:effectLst/>
            </c:spPr>
          </c:marker>
          <c:xVal>
            <c:numRef>
              <c:f>Sheet1!$D$52:$D$88</c:f>
              <c:numCache>
                <c:formatCode>General</c:formatCode>
                <c:ptCount val="37"/>
                <c:pt idx="0">
                  <c:v>-0.41302</c:v>
                </c:pt>
                <c:pt idx="1">
                  <c:v>3.9100000000000003E-3</c:v>
                </c:pt>
                <c:pt idx="2">
                  <c:v>-0.17226</c:v>
                </c:pt>
                <c:pt idx="3">
                  <c:v>-0.15196999999999999</c:v>
                </c:pt>
                <c:pt idx="4">
                  <c:v>0.23843</c:v>
                </c:pt>
                <c:pt idx="5">
                  <c:v>0.16888</c:v>
                </c:pt>
                <c:pt idx="6">
                  <c:v>0.42182999999999998</c:v>
                </c:pt>
                <c:pt idx="7">
                  <c:v>-0.11720999999999999</c:v>
                </c:pt>
                <c:pt idx="8">
                  <c:v>-0.31540000000000001</c:v>
                </c:pt>
                <c:pt idx="9">
                  <c:v>0.40566000000000002</c:v>
                </c:pt>
                <c:pt idx="10">
                  <c:v>0.33115</c:v>
                </c:pt>
                <c:pt idx="11">
                  <c:v>0.55357000000000001</c:v>
                </c:pt>
                <c:pt idx="12">
                  <c:v>0.25994</c:v>
                </c:pt>
                <c:pt idx="13">
                  <c:v>-0.27917999999999998</c:v>
                </c:pt>
                <c:pt idx="14">
                  <c:v>-0.35680000000000001</c:v>
                </c:pt>
                <c:pt idx="15">
                  <c:v>-8.2720000000000002E-2</c:v>
                </c:pt>
                <c:pt idx="16">
                  <c:v>-0.2087</c:v>
                </c:pt>
                <c:pt idx="17">
                  <c:v>-0.10394</c:v>
                </c:pt>
                <c:pt idx="18">
                  <c:v>0.59221999999999997</c:v>
                </c:pt>
                <c:pt idx="19">
                  <c:v>-0.37037999999999999</c:v>
                </c:pt>
                <c:pt idx="20">
                  <c:v>0.29226999999999997</c:v>
                </c:pt>
                <c:pt idx="21">
                  <c:v>0.41861999999999999</c:v>
                </c:pt>
                <c:pt idx="22">
                  <c:v>-7.3789999999999994E-2</c:v>
                </c:pt>
                <c:pt idx="23">
                  <c:v>-0.46037</c:v>
                </c:pt>
                <c:pt idx="24">
                  <c:v>-0.49791000000000002</c:v>
                </c:pt>
                <c:pt idx="25">
                  <c:v>2.291E-2</c:v>
                </c:pt>
                <c:pt idx="26">
                  <c:v>2.019E-2</c:v>
                </c:pt>
                <c:pt idx="27">
                  <c:v>0.23588000000000001</c:v>
                </c:pt>
                <c:pt idx="28">
                  <c:v>5.0720000000000001E-2</c:v>
                </c:pt>
                <c:pt idx="29">
                  <c:v>-6.3899999999999998E-3</c:v>
                </c:pt>
                <c:pt idx="30">
                  <c:v>-0.40540999999999999</c:v>
                </c:pt>
                <c:pt idx="31">
                  <c:v>3.2399999999999998E-3</c:v>
                </c:pt>
                <c:pt idx="32">
                  <c:v>-6.2230000000000001E-2</c:v>
                </c:pt>
                <c:pt idx="33">
                  <c:v>-7.8700000000000006E-2</c:v>
                </c:pt>
                <c:pt idx="34">
                  <c:v>0.21057000000000001</c:v>
                </c:pt>
                <c:pt idx="35">
                  <c:v>-0.51251000000000002</c:v>
                </c:pt>
                <c:pt idx="36">
                  <c:v>0.43889</c:v>
                </c:pt>
              </c:numCache>
            </c:numRef>
          </c:xVal>
          <c:yVal>
            <c:numRef>
              <c:f>Sheet1!$C$52:$C$88</c:f>
              <c:numCache>
                <c:formatCode>General</c:formatCode>
                <c:ptCount val="37"/>
                <c:pt idx="0">
                  <c:v>-1.48245</c:v>
                </c:pt>
                <c:pt idx="1">
                  <c:v>-0.47566000000000003</c:v>
                </c:pt>
                <c:pt idx="2">
                  <c:v>-1.7293000000000001</c:v>
                </c:pt>
                <c:pt idx="3">
                  <c:v>-3.63916</c:v>
                </c:pt>
                <c:pt idx="4">
                  <c:v>4.981E-2</c:v>
                </c:pt>
                <c:pt idx="5">
                  <c:v>-1.1213200000000001</c:v>
                </c:pt>
                <c:pt idx="6">
                  <c:v>0.50697000000000003</c:v>
                </c:pt>
                <c:pt idx="7">
                  <c:v>-1.8201000000000001</c:v>
                </c:pt>
                <c:pt idx="8">
                  <c:v>-0.26974999999999999</c:v>
                </c:pt>
                <c:pt idx="9">
                  <c:v>-0.21310000000000001</c:v>
                </c:pt>
                <c:pt idx="10">
                  <c:v>1.50126</c:v>
                </c:pt>
                <c:pt idx="11">
                  <c:v>2.44868</c:v>
                </c:pt>
                <c:pt idx="12">
                  <c:v>2.0215399999999999</c:v>
                </c:pt>
                <c:pt idx="13">
                  <c:v>1.5914200000000001</c:v>
                </c:pt>
                <c:pt idx="14">
                  <c:v>-0.29005999999999998</c:v>
                </c:pt>
                <c:pt idx="15">
                  <c:v>-2.0141399999999998</c:v>
                </c:pt>
                <c:pt idx="16">
                  <c:v>0.90869</c:v>
                </c:pt>
                <c:pt idx="17">
                  <c:v>-2.0506500000000001</c:v>
                </c:pt>
                <c:pt idx="18">
                  <c:v>-2.75651</c:v>
                </c:pt>
                <c:pt idx="19">
                  <c:v>-0.46892</c:v>
                </c:pt>
                <c:pt idx="20">
                  <c:v>-3.015E-2</c:v>
                </c:pt>
                <c:pt idx="21">
                  <c:v>-7.4139999999999998E-2</c:v>
                </c:pt>
                <c:pt idx="22">
                  <c:v>-2.6851500000000001</c:v>
                </c:pt>
                <c:pt idx="23">
                  <c:v>0.18168999999999999</c:v>
                </c:pt>
                <c:pt idx="24">
                  <c:v>-0.15529000000000001</c:v>
                </c:pt>
                <c:pt idx="25">
                  <c:v>1.98342</c:v>
                </c:pt>
                <c:pt idx="26">
                  <c:v>1.4465300000000001</c:v>
                </c:pt>
                <c:pt idx="27">
                  <c:v>1.40204</c:v>
                </c:pt>
                <c:pt idx="28">
                  <c:v>0.52500999999999998</c:v>
                </c:pt>
                <c:pt idx="29">
                  <c:v>-0.74816000000000005</c:v>
                </c:pt>
                <c:pt idx="30">
                  <c:v>1.07816</c:v>
                </c:pt>
                <c:pt idx="31">
                  <c:v>-1.5586500000000001</c:v>
                </c:pt>
                <c:pt idx="32">
                  <c:v>2.51505</c:v>
                </c:pt>
                <c:pt idx="33">
                  <c:v>2.0773999999999999</c:v>
                </c:pt>
                <c:pt idx="34">
                  <c:v>1.52877</c:v>
                </c:pt>
                <c:pt idx="35">
                  <c:v>2.8281399999999999</c:v>
                </c:pt>
                <c:pt idx="36">
                  <c:v>-1.0119199999999999</c:v>
                </c:pt>
              </c:numCache>
            </c:numRef>
          </c:yVal>
          <c:smooth val="0"/>
          <c:extLst>
            <c:ext xmlns:c16="http://schemas.microsoft.com/office/drawing/2014/chart" uri="{C3380CC4-5D6E-409C-BE32-E72D297353CC}">
              <c16:uniqueId val="{00000001-62CB-4EC1-BBFF-F59197BF500F}"/>
            </c:ext>
          </c:extLst>
        </c:ser>
        <c:ser>
          <c:idx val="2"/>
          <c:order val="2"/>
          <c:tx>
            <c:v>Hispanic</c:v>
          </c:tx>
          <c:spPr>
            <a:ln w="25400" cap="rnd">
              <a:noFill/>
              <a:round/>
            </a:ln>
            <a:effectLst/>
          </c:spPr>
          <c:marker>
            <c:symbol val="x"/>
            <c:size val="5"/>
            <c:spPr>
              <a:noFill/>
              <a:ln w="9525">
                <a:solidFill>
                  <a:schemeClr val="tx1"/>
                </a:solidFill>
              </a:ln>
              <a:effectLst/>
            </c:spPr>
          </c:marker>
          <c:xVal>
            <c:numRef>
              <c:f>Sheet1!$D$89:$D$116</c:f>
              <c:numCache>
                <c:formatCode>General</c:formatCode>
                <c:ptCount val="28"/>
                <c:pt idx="0">
                  <c:v>0.12116</c:v>
                </c:pt>
                <c:pt idx="1">
                  <c:v>2.681E-2</c:v>
                </c:pt>
                <c:pt idx="2">
                  <c:v>-8.4820000000000007E-2</c:v>
                </c:pt>
                <c:pt idx="3">
                  <c:v>0.36659000000000003</c:v>
                </c:pt>
                <c:pt idx="4">
                  <c:v>-0.76061000000000001</c:v>
                </c:pt>
                <c:pt idx="5">
                  <c:v>-0.65788000000000002</c:v>
                </c:pt>
                <c:pt idx="6">
                  <c:v>-0.27174999999999999</c:v>
                </c:pt>
                <c:pt idx="7">
                  <c:v>7.7310000000000004E-2</c:v>
                </c:pt>
                <c:pt idx="8">
                  <c:v>0.25091999999999998</c:v>
                </c:pt>
                <c:pt idx="9">
                  <c:v>0.17077000000000001</c:v>
                </c:pt>
                <c:pt idx="10">
                  <c:v>0.41632999999999998</c:v>
                </c:pt>
                <c:pt idx="11">
                  <c:v>-0.52590999999999999</c:v>
                </c:pt>
                <c:pt idx="12">
                  <c:v>0.59850000000000003</c:v>
                </c:pt>
                <c:pt idx="13">
                  <c:v>0.14521999999999999</c:v>
                </c:pt>
                <c:pt idx="14">
                  <c:v>-0.11</c:v>
                </c:pt>
                <c:pt idx="15">
                  <c:v>-0.41644999999999999</c:v>
                </c:pt>
                <c:pt idx="16">
                  <c:v>5.808E-2</c:v>
                </c:pt>
                <c:pt idx="17">
                  <c:v>-0.53603999999999996</c:v>
                </c:pt>
                <c:pt idx="18">
                  <c:v>-4.0079999999999998E-2</c:v>
                </c:pt>
                <c:pt idx="19">
                  <c:v>0.15323000000000001</c:v>
                </c:pt>
                <c:pt idx="20">
                  <c:v>0.27494000000000002</c:v>
                </c:pt>
                <c:pt idx="21">
                  <c:v>0.18382000000000001</c:v>
                </c:pt>
                <c:pt idx="22">
                  <c:v>-0.36125000000000002</c:v>
                </c:pt>
                <c:pt idx="23">
                  <c:v>1.0410000000000001E-2</c:v>
                </c:pt>
                <c:pt idx="24">
                  <c:v>0.21016000000000001</c:v>
                </c:pt>
                <c:pt idx="25">
                  <c:v>0.13255</c:v>
                </c:pt>
                <c:pt idx="26">
                  <c:v>0.37673000000000001</c:v>
                </c:pt>
                <c:pt idx="27">
                  <c:v>0.19128000000000001</c:v>
                </c:pt>
              </c:numCache>
            </c:numRef>
          </c:xVal>
          <c:yVal>
            <c:numRef>
              <c:f>Sheet1!$C$89:$C$116</c:f>
              <c:numCache>
                <c:formatCode>General</c:formatCode>
                <c:ptCount val="28"/>
                <c:pt idx="0">
                  <c:v>-1.09992</c:v>
                </c:pt>
                <c:pt idx="1">
                  <c:v>-4.85046</c:v>
                </c:pt>
                <c:pt idx="2">
                  <c:v>1.24318</c:v>
                </c:pt>
                <c:pt idx="3">
                  <c:v>-1.1489400000000001</c:v>
                </c:pt>
                <c:pt idx="4">
                  <c:v>1.3914899999999999</c:v>
                </c:pt>
                <c:pt idx="5">
                  <c:v>1.7031799999999999</c:v>
                </c:pt>
                <c:pt idx="6">
                  <c:v>-0.23882</c:v>
                </c:pt>
                <c:pt idx="7">
                  <c:v>-1.26416</c:v>
                </c:pt>
                <c:pt idx="8">
                  <c:v>0.63007000000000002</c:v>
                </c:pt>
                <c:pt idx="9">
                  <c:v>2.1244499999999999</c:v>
                </c:pt>
                <c:pt idx="10">
                  <c:v>-2.1654</c:v>
                </c:pt>
                <c:pt idx="11">
                  <c:v>2.2259099999999998</c:v>
                </c:pt>
                <c:pt idx="12">
                  <c:v>-2.00962</c:v>
                </c:pt>
                <c:pt idx="13">
                  <c:v>-1.53105</c:v>
                </c:pt>
                <c:pt idx="14">
                  <c:v>-3.6796099999999998</c:v>
                </c:pt>
                <c:pt idx="15">
                  <c:v>-0.51495999999999997</c:v>
                </c:pt>
                <c:pt idx="16">
                  <c:v>1.2570699999999999</c:v>
                </c:pt>
                <c:pt idx="17">
                  <c:v>-0.67715000000000003</c:v>
                </c:pt>
                <c:pt idx="18">
                  <c:v>2.2731499999999998</c:v>
                </c:pt>
                <c:pt idx="19">
                  <c:v>1.0363500000000001</c:v>
                </c:pt>
                <c:pt idx="20">
                  <c:v>-2.22478</c:v>
                </c:pt>
                <c:pt idx="21">
                  <c:v>-0.88136999999999999</c:v>
                </c:pt>
                <c:pt idx="22">
                  <c:v>4.4971500000000004</c:v>
                </c:pt>
                <c:pt idx="23">
                  <c:v>3.86408</c:v>
                </c:pt>
                <c:pt idx="24">
                  <c:v>-1.49949</c:v>
                </c:pt>
                <c:pt idx="25">
                  <c:v>1.8236000000000001</c:v>
                </c:pt>
                <c:pt idx="26">
                  <c:v>-1.04572</c:v>
                </c:pt>
                <c:pt idx="27">
                  <c:v>0.76175000000000004</c:v>
                </c:pt>
              </c:numCache>
            </c:numRef>
          </c:yVal>
          <c:smooth val="0"/>
          <c:extLst>
            <c:ext xmlns:c16="http://schemas.microsoft.com/office/drawing/2014/chart" uri="{C3380CC4-5D6E-409C-BE32-E72D297353CC}">
              <c16:uniqueId val="{00000002-62CB-4EC1-BBFF-F59197BF500F}"/>
            </c:ext>
          </c:extLst>
        </c:ser>
        <c:ser>
          <c:idx val="3"/>
          <c:order val="3"/>
          <c:tx>
            <c:v>Asian</c:v>
          </c:tx>
          <c:spPr>
            <a:ln w="25400" cap="rnd">
              <a:noFill/>
              <a:round/>
            </a:ln>
            <a:effectLst/>
          </c:spPr>
          <c:marker>
            <c:symbol val="circle"/>
            <c:size val="5"/>
            <c:spPr>
              <a:noFill/>
              <a:ln w="9525">
                <a:solidFill>
                  <a:schemeClr val="tx1"/>
                </a:solidFill>
              </a:ln>
              <a:effectLst/>
            </c:spPr>
          </c:marker>
          <c:xVal>
            <c:numRef>
              <c:f>Sheet1!$D$117:$D$139</c:f>
              <c:numCache>
                <c:formatCode>General</c:formatCode>
                <c:ptCount val="23"/>
                <c:pt idx="0">
                  <c:v>-8.1009999999999999E-2</c:v>
                </c:pt>
                <c:pt idx="1">
                  <c:v>0.13400999999999999</c:v>
                </c:pt>
                <c:pt idx="2">
                  <c:v>-0.20302999999999999</c:v>
                </c:pt>
                <c:pt idx="3">
                  <c:v>-4.5420000000000002E-2</c:v>
                </c:pt>
                <c:pt idx="4">
                  <c:v>-0.25669999999999998</c:v>
                </c:pt>
                <c:pt idx="5">
                  <c:v>-0.44939000000000001</c:v>
                </c:pt>
                <c:pt idx="6">
                  <c:v>0.66903000000000001</c:v>
                </c:pt>
                <c:pt idx="7">
                  <c:v>-0.24026</c:v>
                </c:pt>
                <c:pt idx="8">
                  <c:v>-0.57955999999999996</c:v>
                </c:pt>
                <c:pt idx="9">
                  <c:v>0.22900999999999999</c:v>
                </c:pt>
                <c:pt idx="10">
                  <c:v>-0.24836</c:v>
                </c:pt>
                <c:pt idx="11">
                  <c:v>0.68476000000000004</c:v>
                </c:pt>
                <c:pt idx="12">
                  <c:v>0.40439000000000003</c:v>
                </c:pt>
                <c:pt idx="13">
                  <c:v>-0.92093999999999998</c:v>
                </c:pt>
                <c:pt idx="14">
                  <c:v>-0.70845999999999998</c:v>
                </c:pt>
                <c:pt idx="15">
                  <c:v>0.60275000000000001</c:v>
                </c:pt>
                <c:pt idx="16">
                  <c:v>0.39485999999999999</c:v>
                </c:pt>
                <c:pt idx="17">
                  <c:v>-0.31586999999999998</c:v>
                </c:pt>
                <c:pt idx="18">
                  <c:v>-0.12204</c:v>
                </c:pt>
                <c:pt idx="19">
                  <c:v>0.24515000000000001</c:v>
                </c:pt>
                <c:pt idx="20">
                  <c:v>-0.15786</c:v>
                </c:pt>
                <c:pt idx="21">
                  <c:v>0.52286999999999995</c:v>
                </c:pt>
                <c:pt idx="22">
                  <c:v>0.44207000000000002</c:v>
                </c:pt>
              </c:numCache>
            </c:numRef>
          </c:xVal>
          <c:yVal>
            <c:numRef>
              <c:f>Sheet1!$C$117:$C$139</c:f>
              <c:numCache>
                <c:formatCode>General</c:formatCode>
                <c:ptCount val="23"/>
                <c:pt idx="0">
                  <c:v>-2.0898500000000002</c:v>
                </c:pt>
                <c:pt idx="1">
                  <c:v>-3.3056399999999999</c:v>
                </c:pt>
                <c:pt idx="2">
                  <c:v>-0.87770999999999999</c:v>
                </c:pt>
                <c:pt idx="3">
                  <c:v>0.64536000000000004</c:v>
                </c:pt>
                <c:pt idx="4">
                  <c:v>3.0276999999999998</c:v>
                </c:pt>
                <c:pt idx="5">
                  <c:v>1.96261</c:v>
                </c:pt>
                <c:pt idx="6">
                  <c:v>-8.1709300000000002</c:v>
                </c:pt>
                <c:pt idx="7">
                  <c:v>3.3090199999999999</c:v>
                </c:pt>
                <c:pt idx="8">
                  <c:v>2.9235500000000001</c:v>
                </c:pt>
                <c:pt idx="9">
                  <c:v>0.77947999999999995</c:v>
                </c:pt>
                <c:pt idx="10">
                  <c:v>7.8170000000000003E-2</c:v>
                </c:pt>
                <c:pt idx="11">
                  <c:v>-3.4920399999999998</c:v>
                </c:pt>
                <c:pt idx="12">
                  <c:v>-3.7757999999999998</c:v>
                </c:pt>
                <c:pt idx="13">
                  <c:v>3.6241400000000001</c:v>
                </c:pt>
                <c:pt idx="14">
                  <c:v>1.52475</c:v>
                </c:pt>
                <c:pt idx="15">
                  <c:v>2.2949299999999999</c:v>
                </c:pt>
                <c:pt idx="16">
                  <c:v>0.11203</c:v>
                </c:pt>
                <c:pt idx="17">
                  <c:v>2.64228</c:v>
                </c:pt>
                <c:pt idx="18">
                  <c:v>3.12296</c:v>
                </c:pt>
                <c:pt idx="19">
                  <c:v>-3.5620599999999998</c:v>
                </c:pt>
                <c:pt idx="20">
                  <c:v>2.3471899999999999</c:v>
                </c:pt>
                <c:pt idx="21">
                  <c:v>-0.29737000000000002</c:v>
                </c:pt>
                <c:pt idx="22">
                  <c:v>-2.82281</c:v>
                </c:pt>
              </c:numCache>
            </c:numRef>
          </c:yVal>
          <c:smooth val="0"/>
          <c:extLst>
            <c:ext xmlns:c16="http://schemas.microsoft.com/office/drawing/2014/chart" uri="{C3380CC4-5D6E-409C-BE32-E72D297353CC}">
              <c16:uniqueId val="{00000003-62CB-4EC1-BBFF-F59197BF500F}"/>
            </c:ext>
          </c:extLst>
        </c:ser>
        <c:ser>
          <c:idx val="4"/>
          <c:order val="4"/>
          <c:tx>
            <c:v>Native</c:v>
          </c:tx>
          <c:spPr>
            <a:ln w="25400" cap="rnd">
              <a:noFill/>
              <a:round/>
            </a:ln>
            <a:effectLst/>
          </c:spPr>
          <c:marker>
            <c:symbol val="circle"/>
            <c:size val="5"/>
            <c:spPr>
              <a:noFill/>
              <a:ln w="9525">
                <a:solidFill>
                  <a:schemeClr val="tx1"/>
                </a:solidFill>
              </a:ln>
              <a:effectLst/>
            </c:spPr>
          </c:marker>
          <c:xVal>
            <c:numRef>
              <c:f>Sheet1!$D$140:$D$149</c:f>
              <c:numCache>
                <c:formatCode>General</c:formatCode>
                <c:ptCount val="10"/>
                <c:pt idx="0">
                  <c:v>1.0720099999999999</c:v>
                </c:pt>
                <c:pt idx="1">
                  <c:v>7.596E-2</c:v>
                </c:pt>
                <c:pt idx="2">
                  <c:v>-0.82613000000000003</c:v>
                </c:pt>
                <c:pt idx="3">
                  <c:v>-3.5779999999999999E-2</c:v>
                </c:pt>
                <c:pt idx="4">
                  <c:v>0.13253999999999999</c:v>
                </c:pt>
                <c:pt idx="5">
                  <c:v>-0.31136000000000003</c:v>
                </c:pt>
                <c:pt idx="6">
                  <c:v>-0.12046</c:v>
                </c:pt>
                <c:pt idx="7">
                  <c:v>-0.39390999999999998</c:v>
                </c:pt>
                <c:pt idx="8">
                  <c:v>0.54971000000000003</c:v>
                </c:pt>
                <c:pt idx="9">
                  <c:v>-0.14258999999999999</c:v>
                </c:pt>
              </c:numCache>
            </c:numRef>
          </c:xVal>
          <c:yVal>
            <c:numRef>
              <c:f>Sheet1!$C$140:$C$149</c:f>
              <c:numCache>
                <c:formatCode>General</c:formatCode>
                <c:ptCount val="10"/>
                <c:pt idx="0">
                  <c:v>-3.3505600000000002</c:v>
                </c:pt>
                <c:pt idx="1">
                  <c:v>-4.2616300000000003</c:v>
                </c:pt>
                <c:pt idx="2">
                  <c:v>-1.1564399999999999</c:v>
                </c:pt>
                <c:pt idx="3">
                  <c:v>8.3971199999999993</c:v>
                </c:pt>
                <c:pt idx="4">
                  <c:v>2.3665699999999998</c:v>
                </c:pt>
                <c:pt idx="5">
                  <c:v>-4.81752</c:v>
                </c:pt>
                <c:pt idx="6">
                  <c:v>-3.1583000000000001</c:v>
                </c:pt>
                <c:pt idx="7">
                  <c:v>3.3382399999999999</c:v>
                </c:pt>
                <c:pt idx="8">
                  <c:v>1.3676900000000001</c:v>
                </c:pt>
                <c:pt idx="9">
                  <c:v>1.2748299999999999</c:v>
                </c:pt>
              </c:numCache>
            </c:numRef>
          </c:yVal>
          <c:smooth val="0"/>
          <c:extLst>
            <c:ext xmlns:c16="http://schemas.microsoft.com/office/drawing/2014/chart" uri="{C3380CC4-5D6E-409C-BE32-E72D297353CC}">
              <c16:uniqueId val="{00000004-62CB-4EC1-BBFF-F59197BF500F}"/>
            </c:ext>
          </c:extLst>
        </c:ser>
        <c:ser>
          <c:idx val="5"/>
          <c:order val="5"/>
          <c:tx>
            <c:v>Long</c:v>
          </c:tx>
          <c:spPr>
            <a:ln w="25400" cap="rnd">
              <a:noFill/>
              <a:round/>
            </a:ln>
            <a:effectLst/>
          </c:spPr>
          <c:marker>
            <c:symbol val="circle"/>
            <c:size val="5"/>
            <c:spPr>
              <a:noFill/>
              <a:ln w="9525">
                <a:noFill/>
              </a:ln>
              <a:effectLst/>
            </c:spPr>
          </c:marker>
          <c:trendline>
            <c:spPr>
              <a:ln w="12700" cap="rnd">
                <a:solidFill>
                  <a:schemeClr val="tx1"/>
                </a:solidFill>
                <a:prstDash val="solid"/>
              </a:ln>
              <a:effectLst/>
            </c:spPr>
            <c:trendlineType val="linear"/>
            <c:dispRSqr val="0"/>
            <c:dispEq val="0"/>
          </c:trendline>
          <c:xVal>
            <c:numRef>
              <c:f>Sheet1!$D$2:$D$152</c:f>
              <c:numCache>
                <c:formatCode>General</c:formatCode>
                <c:ptCount val="151"/>
                <c:pt idx="0">
                  <c:v>-0.57591000000000003</c:v>
                </c:pt>
                <c:pt idx="1">
                  <c:v>1.2486999999999999</c:v>
                </c:pt>
                <c:pt idx="2">
                  <c:v>0.23363</c:v>
                </c:pt>
                <c:pt idx="3">
                  <c:v>-0.26741999999999999</c:v>
                </c:pt>
                <c:pt idx="4">
                  <c:v>0.41336000000000001</c:v>
                </c:pt>
                <c:pt idx="5">
                  <c:v>-0.16894999999999999</c:v>
                </c:pt>
                <c:pt idx="6">
                  <c:v>-0.10169</c:v>
                </c:pt>
                <c:pt idx="7">
                  <c:v>0.54147999999999996</c:v>
                </c:pt>
                <c:pt idx="8">
                  <c:v>7.1580000000000005E-2</c:v>
                </c:pt>
                <c:pt idx="9">
                  <c:v>-0.42653000000000002</c:v>
                </c:pt>
                <c:pt idx="10">
                  <c:v>0.82194</c:v>
                </c:pt>
                <c:pt idx="11">
                  <c:v>-0.20785999999999999</c:v>
                </c:pt>
                <c:pt idx="12">
                  <c:v>0.29043999999999998</c:v>
                </c:pt>
                <c:pt idx="13">
                  <c:v>5.8939999999999999E-2</c:v>
                </c:pt>
                <c:pt idx="14">
                  <c:v>0.15032000000000001</c:v>
                </c:pt>
                <c:pt idx="15">
                  <c:v>0.14949000000000001</c:v>
                </c:pt>
                <c:pt idx="16">
                  <c:v>-0.47654000000000002</c:v>
                </c:pt>
                <c:pt idx="17">
                  <c:v>-0.25228</c:v>
                </c:pt>
                <c:pt idx="18">
                  <c:v>-0.23680999999999999</c:v>
                </c:pt>
                <c:pt idx="19">
                  <c:v>0.18865999999999999</c:v>
                </c:pt>
                <c:pt idx="20">
                  <c:v>-0.34883999999999998</c:v>
                </c:pt>
                <c:pt idx="21">
                  <c:v>-0.14882000000000001</c:v>
                </c:pt>
                <c:pt idx="22">
                  <c:v>0.11549</c:v>
                </c:pt>
                <c:pt idx="23">
                  <c:v>-0.33723999999999998</c:v>
                </c:pt>
                <c:pt idx="24">
                  <c:v>-9.6140000000000003E-2</c:v>
                </c:pt>
                <c:pt idx="25">
                  <c:v>-0.43862000000000001</c:v>
                </c:pt>
                <c:pt idx="26">
                  <c:v>-0.10016</c:v>
                </c:pt>
                <c:pt idx="27">
                  <c:v>0.21298</c:v>
                </c:pt>
                <c:pt idx="28">
                  <c:v>6.5869999999999998E-2</c:v>
                </c:pt>
                <c:pt idx="29">
                  <c:v>-0.80508999999999997</c:v>
                </c:pt>
                <c:pt idx="30">
                  <c:v>0.33094000000000001</c:v>
                </c:pt>
                <c:pt idx="31">
                  <c:v>-0.31490000000000001</c:v>
                </c:pt>
                <c:pt idx="32">
                  <c:v>0.18029999999999999</c:v>
                </c:pt>
                <c:pt idx="33">
                  <c:v>-0.13829</c:v>
                </c:pt>
                <c:pt idx="34">
                  <c:v>-0.18525</c:v>
                </c:pt>
                <c:pt idx="35">
                  <c:v>0.21304000000000001</c:v>
                </c:pt>
                <c:pt idx="36">
                  <c:v>0.28138000000000002</c:v>
                </c:pt>
                <c:pt idx="37">
                  <c:v>-0.58125000000000004</c:v>
                </c:pt>
                <c:pt idx="38">
                  <c:v>0.10763</c:v>
                </c:pt>
                <c:pt idx="39">
                  <c:v>-0.11890000000000001</c:v>
                </c:pt>
                <c:pt idx="40">
                  <c:v>6.7799999999999999E-2</c:v>
                </c:pt>
                <c:pt idx="41">
                  <c:v>3.304E-2</c:v>
                </c:pt>
                <c:pt idx="42">
                  <c:v>0.32797999999999999</c:v>
                </c:pt>
                <c:pt idx="43">
                  <c:v>0.14527000000000001</c:v>
                </c:pt>
                <c:pt idx="44">
                  <c:v>6.5979999999999997E-2</c:v>
                </c:pt>
                <c:pt idx="45">
                  <c:v>0.12218</c:v>
                </c:pt>
                <c:pt idx="46">
                  <c:v>0.45931</c:v>
                </c:pt>
                <c:pt idx="47">
                  <c:v>-0.65286999999999995</c:v>
                </c:pt>
                <c:pt idx="48">
                  <c:v>6.5799999999999997E-2</c:v>
                </c:pt>
                <c:pt idx="49">
                  <c:v>1.685E-2</c:v>
                </c:pt>
                <c:pt idx="50">
                  <c:v>-0.41302</c:v>
                </c:pt>
                <c:pt idx="51">
                  <c:v>3.9100000000000003E-3</c:v>
                </c:pt>
                <c:pt idx="52">
                  <c:v>-0.17226</c:v>
                </c:pt>
                <c:pt idx="53">
                  <c:v>-0.15196999999999999</c:v>
                </c:pt>
                <c:pt idx="54">
                  <c:v>0.23843</c:v>
                </c:pt>
                <c:pt idx="55">
                  <c:v>0.16888</c:v>
                </c:pt>
                <c:pt idx="56">
                  <c:v>0.42182999999999998</c:v>
                </c:pt>
                <c:pt idx="57">
                  <c:v>-0.11720999999999999</c:v>
                </c:pt>
                <c:pt idx="58">
                  <c:v>-0.31540000000000001</c:v>
                </c:pt>
                <c:pt idx="59">
                  <c:v>0.40566000000000002</c:v>
                </c:pt>
                <c:pt idx="60">
                  <c:v>0.33115</c:v>
                </c:pt>
                <c:pt idx="61">
                  <c:v>0.55357000000000001</c:v>
                </c:pt>
                <c:pt idx="62">
                  <c:v>0.25994</c:v>
                </c:pt>
                <c:pt idx="63">
                  <c:v>-0.27917999999999998</c:v>
                </c:pt>
                <c:pt idx="64">
                  <c:v>-0.35680000000000001</c:v>
                </c:pt>
                <c:pt idx="65">
                  <c:v>-8.2720000000000002E-2</c:v>
                </c:pt>
                <c:pt idx="66">
                  <c:v>-0.2087</c:v>
                </c:pt>
                <c:pt idx="67">
                  <c:v>-0.10394</c:v>
                </c:pt>
                <c:pt idx="68">
                  <c:v>0.59221999999999997</c:v>
                </c:pt>
                <c:pt idx="69">
                  <c:v>-0.37037999999999999</c:v>
                </c:pt>
                <c:pt idx="70">
                  <c:v>0.29226999999999997</c:v>
                </c:pt>
                <c:pt idx="71">
                  <c:v>0.41861999999999999</c:v>
                </c:pt>
                <c:pt idx="72">
                  <c:v>-7.3789999999999994E-2</c:v>
                </c:pt>
                <c:pt idx="73">
                  <c:v>-0.46037</c:v>
                </c:pt>
                <c:pt idx="74">
                  <c:v>-0.49791000000000002</c:v>
                </c:pt>
                <c:pt idx="75">
                  <c:v>2.291E-2</c:v>
                </c:pt>
                <c:pt idx="76">
                  <c:v>2.019E-2</c:v>
                </c:pt>
                <c:pt idx="77">
                  <c:v>0.23588000000000001</c:v>
                </c:pt>
                <c:pt idx="78">
                  <c:v>5.0720000000000001E-2</c:v>
                </c:pt>
                <c:pt idx="79">
                  <c:v>-6.3899999999999998E-3</c:v>
                </c:pt>
                <c:pt idx="80">
                  <c:v>-0.40540999999999999</c:v>
                </c:pt>
                <c:pt idx="81">
                  <c:v>3.2399999999999998E-3</c:v>
                </c:pt>
                <c:pt idx="82">
                  <c:v>-6.2230000000000001E-2</c:v>
                </c:pt>
                <c:pt idx="83">
                  <c:v>-7.8700000000000006E-2</c:v>
                </c:pt>
                <c:pt idx="84">
                  <c:v>0.21057000000000001</c:v>
                </c:pt>
                <c:pt idx="85">
                  <c:v>-0.51251000000000002</c:v>
                </c:pt>
                <c:pt idx="86">
                  <c:v>0.43889</c:v>
                </c:pt>
                <c:pt idx="87">
                  <c:v>0.12116</c:v>
                </c:pt>
                <c:pt idx="88">
                  <c:v>2.681E-2</c:v>
                </c:pt>
                <c:pt idx="89">
                  <c:v>-8.4820000000000007E-2</c:v>
                </c:pt>
                <c:pt idx="90">
                  <c:v>0.36659000000000003</c:v>
                </c:pt>
                <c:pt idx="91">
                  <c:v>-0.76061000000000001</c:v>
                </c:pt>
                <c:pt idx="92">
                  <c:v>-0.65788000000000002</c:v>
                </c:pt>
                <c:pt idx="93">
                  <c:v>-0.27174999999999999</c:v>
                </c:pt>
                <c:pt idx="94">
                  <c:v>7.7310000000000004E-2</c:v>
                </c:pt>
                <c:pt idx="95">
                  <c:v>0.25091999999999998</c:v>
                </c:pt>
                <c:pt idx="96">
                  <c:v>0.17077000000000001</c:v>
                </c:pt>
                <c:pt idx="97">
                  <c:v>0.41632999999999998</c:v>
                </c:pt>
                <c:pt idx="98">
                  <c:v>-0.52590999999999999</c:v>
                </c:pt>
                <c:pt idx="99">
                  <c:v>0.59850000000000003</c:v>
                </c:pt>
                <c:pt idx="100">
                  <c:v>0.14521999999999999</c:v>
                </c:pt>
                <c:pt idx="101">
                  <c:v>-0.11</c:v>
                </c:pt>
                <c:pt idx="102">
                  <c:v>-0.41644999999999999</c:v>
                </c:pt>
                <c:pt idx="103">
                  <c:v>5.808E-2</c:v>
                </c:pt>
                <c:pt idx="104">
                  <c:v>-0.53603999999999996</c:v>
                </c:pt>
                <c:pt idx="105">
                  <c:v>-4.0079999999999998E-2</c:v>
                </c:pt>
                <c:pt idx="106">
                  <c:v>0.15323000000000001</c:v>
                </c:pt>
                <c:pt idx="107">
                  <c:v>0.27494000000000002</c:v>
                </c:pt>
                <c:pt idx="108">
                  <c:v>0.18382000000000001</c:v>
                </c:pt>
                <c:pt idx="109">
                  <c:v>-0.36125000000000002</c:v>
                </c:pt>
                <c:pt idx="110">
                  <c:v>1.0410000000000001E-2</c:v>
                </c:pt>
                <c:pt idx="111">
                  <c:v>0.21016000000000001</c:v>
                </c:pt>
                <c:pt idx="112">
                  <c:v>0.13255</c:v>
                </c:pt>
                <c:pt idx="113">
                  <c:v>0.37673000000000001</c:v>
                </c:pt>
                <c:pt idx="114">
                  <c:v>0.19128000000000001</c:v>
                </c:pt>
                <c:pt idx="115">
                  <c:v>-8.1009999999999999E-2</c:v>
                </c:pt>
                <c:pt idx="116">
                  <c:v>0.13400999999999999</c:v>
                </c:pt>
                <c:pt idx="117">
                  <c:v>-0.20302999999999999</c:v>
                </c:pt>
                <c:pt idx="118">
                  <c:v>-4.5420000000000002E-2</c:v>
                </c:pt>
                <c:pt idx="119">
                  <c:v>-0.25669999999999998</c:v>
                </c:pt>
                <c:pt idx="120">
                  <c:v>-0.44939000000000001</c:v>
                </c:pt>
                <c:pt idx="121">
                  <c:v>0.66903000000000001</c:v>
                </c:pt>
                <c:pt idx="122">
                  <c:v>-0.24026</c:v>
                </c:pt>
                <c:pt idx="123">
                  <c:v>-0.57955999999999996</c:v>
                </c:pt>
                <c:pt idx="124">
                  <c:v>0.22900999999999999</c:v>
                </c:pt>
                <c:pt idx="125">
                  <c:v>-0.24836</c:v>
                </c:pt>
                <c:pt idx="126">
                  <c:v>0.68476000000000004</c:v>
                </c:pt>
                <c:pt idx="127">
                  <c:v>0.40439000000000003</c:v>
                </c:pt>
                <c:pt idx="128">
                  <c:v>-0.92093999999999998</c:v>
                </c:pt>
                <c:pt idx="129">
                  <c:v>-0.70845999999999998</c:v>
                </c:pt>
                <c:pt idx="130">
                  <c:v>0.60275000000000001</c:v>
                </c:pt>
                <c:pt idx="131">
                  <c:v>0.39485999999999999</c:v>
                </c:pt>
                <c:pt idx="132">
                  <c:v>-0.31586999999999998</c:v>
                </c:pt>
                <c:pt idx="133">
                  <c:v>-0.12204</c:v>
                </c:pt>
                <c:pt idx="134">
                  <c:v>0.24515000000000001</c:v>
                </c:pt>
                <c:pt idx="135">
                  <c:v>-0.15786</c:v>
                </c:pt>
                <c:pt idx="136">
                  <c:v>0.52286999999999995</c:v>
                </c:pt>
                <c:pt idx="137">
                  <c:v>0.44207000000000002</c:v>
                </c:pt>
                <c:pt idx="138">
                  <c:v>1.0720099999999999</c:v>
                </c:pt>
                <c:pt idx="139">
                  <c:v>7.596E-2</c:v>
                </c:pt>
                <c:pt idx="140">
                  <c:v>-0.82613000000000003</c:v>
                </c:pt>
                <c:pt idx="141">
                  <c:v>-3.5779999999999999E-2</c:v>
                </c:pt>
                <c:pt idx="142">
                  <c:v>0.13253999999999999</c:v>
                </c:pt>
                <c:pt idx="143">
                  <c:v>-0.31136000000000003</c:v>
                </c:pt>
                <c:pt idx="144">
                  <c:v>-0.12046</c:v>
                </c:pt>
                <c:pt idx="145">
                  <c:v>-0.39390999999999998</c:v>
                </c:pt>
                <c:pt idx="146">
                  <c:v>0.54971000000000003</c:v>
                </c:pt>
                <c:pt idx="147">
                  <c:v>-0.14258999999999999</c:v>
                </c:pt>
                <c:pt idx="149" formatCode="0.00">
                  <c:v>-3</c:v>
                </c:pt>
                <c:pt idx="150" formatCode="0.00">
                  <c:v>3</c:v>
                </c:pt>
              </c:numCache>
            </c:numRef>
          </c:xVal>
          <c:yVal>
            <c:numRef>
              <c:f>Sheet1!$C$2:$C$152</c:f>
              <c:numCache>
                <c:formatCode>General</c:formatCode>
                <c:ptCount val="151"/>
                <c:pt idx="0">
                  <c:v>-1.08406</c:v>
                </c:pt>
                <c:pt idx="1">
                  <c:v>-1.0978699999999999</c:v>
                </c:pt>
                <c:pt idx="2">
                  <c:v>-1.18286</c:v>
                </c:pt>
                <c:pt idx="3">
                  <c:v>-0.34544000000000002</c:v>
                </c:pt>
                <c:pt idx="4">
                  <c:v>-3.4496799999999999</c:v>
                </c:pt>
                <c:pt idx="5">
                  <c:v>-0.16975999999999999</c:v>
                </c:pt>
                <c:pt idx="6">
                  <c:v>0.79798999999999998</c:v>
                </c:pt>
                <c:pt idx="7">
                  <c:v>-0.54737999999999998</c:v>
                </c:pt>
                <c:pt idx="8">
                  <c:v>-0.76097000000000004</c:v>
                </c:pt>
                <c:pt idx="9">
                  <c:v>-0.64903</c:v>
                </c:pt>
                <c:pt idx="10">
                  <c:v>-4.7656900000000002</c:v>
                </c:pt>
                <c:pt idx="11">
                  <c:v>1.5900000000000001E-3</c:v>
                </c:pt>
                <c:pt idx="12">
                  <c:v>0.45522000000000001</c:v>
                </c:pt>
                <c:pt idx="13">
                  <c:v>0.77459</c:v>
                </c:pt>
                <c:pt idx="14">
                  <c:v>1.0522199999999999</c:v>
                </c:pt>
                <c:pt idx="15">
                  <c:v>1.8680399999999999</c:v>
                </c:pt>
                <c:pt idx="16">
                  <c:v>-0.61860000000000004</c:v>
                </c:pt>
                <c:pt idx="17">
                  <c:v>-0.79056999999999999</c:v>
                </c:pt>
                <c:pt idx="18">
                  <c:v>1.1937599999999999</c:v>
                </c:pt>
                <c:pt idx="19">
                  <c:v>-0.56999999999999995</c:v>
                </c:pt>
                <c:pt idx="20">
                  <c:v>1.07023</c:v>
                </c:pt>
                <c:pt idx="21">
                  <c:v>0.31419000000000002</c:v>
                </c:pt>
                <c:pt idx="22">
                  <c:v>0.62607999999999997</c:v>
                </c:pt>
                <c:pt idx="23">
                  <c:v>-1.19475</c:v>
                </c:pt>
                <c:pt idx="24">
                  <c:v>0.76861999999999997</c:v>
                </c:pt>
                <c:pt idx="25">
                  <c:v>2.5665300000000002</c:v>
                </c:pt>
                <c:pt idx="26">
                  <c:v>0.96696000000000004</c:v>
                </c:pt>
                <c:pt idx="27">
                  <c:v>-2.7368299999999999</c:v>
                </c:pt>
                <c:pt idx="28">
                  <c:v>6.4750000000000002E-2</c:v>
                </c:pt>
                <c:pt idx="29">
                  <c:v>0.73872000000000004</c:v>
                </c:pt>
                <c:pt idx="30">
                  <c:v>-1.04925</c:v>
                </c:pt>
                <c:pt idx="31">
                  <c:v>0.66547000000000001</c:v>
                </c:pt>
                <c:pt idx="32">
                  <c:v>1.4793400000000001</c:v>
                </c:pt>
                <c:pt idx="33">
                  <c:v>1.9139299999999999</c:v>
                </c:pt>
                <c:pt idx="34">
                  <c:v>1.3085100000000001</c:v>
                </c:pt>
                <c:pt idx="35">
                  <c:v>0.72445000000000004</c:v>
                </c:pt>
                <c:pt idx="36">
                  <c:v>-0.60643999999999998</c:v>
                </c:pt>
                <c:pt idx="37">
                  <c:v>1.19773</c:v>
                </c:pt>
                <c:pt idx="38">
                  <c:v>-1.39225</c:v>
                </c:pt>
                <c:pt idx="39">
                  <c:v>0.36405999999999999</c:v>
                </c:pt>
                <c:pt idx="40">
                  <c:v>1.58775</c:v>
                </c:pt>
                <c:pt idx="41">
                  <c:v>-1.07941</c:v>
                </c:pt>
                <c:pt idx="42">
                  <c:v>2.1010499999999999</c:v>
                </c:pt>
                <c:pt idx="43">
                  <c:v>-1.32413</c:v>
                </c:pt>
                <c:pt idx="44">
                  <c:v>0.22378000000000001</c:v>
                </c:pt>
                <c:pt idx="45">
                  <c:v>0.49418000000000001</c:v>
                </c:pt>
                <c:pt idx="46">
                  <c:v>-0.67981000000000003</c:v>
                </c:pt>
                <c:pt idx="47">
                  <c:v>-0.92652999999999996</c:v>
                </c:pt>
                <c:pt idx="48">
                  <c:v>1.1742300000000001</c:v>
                </c:pt>
                <c:pt idx="49">
                  <c:v>0.52734000000000003</c:v>
                </c:pt>
                <c:pt idx="50">
                  <c:v>-1.48245</c:v>
                </c:pt>
                <c:pt idx="51">
                  <c:v>-0.47566000000000003</c:v>
                </c:pt>
                <c:pt idx="52">
                  <c:v>-1.7293000000000001</c:v>
                </c:pt>
                <c:pt idx="53">
                  <c:v>-3.63916</c:v>
                </c:pt>
                <c:pt idx="54">
                  <c:v>4.981E-2</c:v>
                </c:pt>
                <c:pt idx="55">
                  <c:v>-1.1213200000000001</c:v>
                </c:pt>
                <c:pt idx="56">
                  <c:v>0.50697000000000003</c:v>
                </c:pt>
                <c:pt idx="57">
                  <c:v>-1.8201000000000001</c:v>
                </c:pt>
                <c:pt idx="58">
                  <c:v>-0.26974999999999999</c:v>
                </c:pt>
                <c:pt idx="59">
                  <c:v>-0.21310000000000001</c:v>
                </c:pt>
                <c:pt idx="60">
                  <c:v>1.50126</c:v>
                </c:pt>
                <c:pt idx="61">
                  <c:v>2.44868</c:v>
                </c:pt>
                <c:pt idx="62">
                  <c:v>2.0215399999999999</c:v>
                </c:pt>
                <c:pt idx="63">
                  <c:v>1.5914200000000001</c:v>
                </c:pt>
                <c:pt idx="64">
                  <c:v>-0.29005999999999998</c:v>
                </c:pt>
                <c:pt idx="65">
                  <c:v>-2.0141399999999998</c:v>
                </c:pt>
                <c:pt idx="66">
                  <c:v>0.90869</c:v>
                </c:pt>
                <c:pt idx="67">
                  <c:v>-2.0506500000000001</c:v>
                </c:pt>
                <c:pt idx="68">
                  <c:v>-2.75651</c:v>
                </c:pt>
                <c:pt idx="69">
                  <c:v>-0.46892</c:v>
                </c:pt>
                <c:pt idx="70">
                  <c:v>-3.015E-2</c:v>
                </c:pt>
                <c:pt idx="71">
                  <c:v>-7.4139999999999998E-2</c:v>
                </c:pt>
                <c:pt idx="72">
                  <c:v>-2.6851500000000001</c:v>
                </c:pt>
                <c:pt idx="73">
                  <c:v>0.18168999999999999</c:v>
                </c:pt>
                <c:pt idx="74">
                  <c:v>-0.15529000000000001</c:v>
                </c:pt>
                <c:pt idx="75">
                  <c:v>1.98342</c:v>
                </c:pt>
                <c:pt idx="76">
                  <c:v>1.4465300000000001</c:v>
                </c:pt>
                <c:pt idx="77">
                  <c:v>1.40204</c:v>
                </c:pt>
                <c:pt idx="78">
                  <c:v>0.52500999999999998</c:v>
                </c:pt>
                <c:pt idx="79">
                  <c:v>-0.74816000000000005</c:v>
                </c:pt>
                <c:pt idx="80">
                  <c:v>1.07816</c:v>
                </c:pt>
                <c:pt idx="81">
                  <c:v>-1.5586500000000001</c:v>
                </c:pt>
                <c:pt idx="82">
                  <c:v>2.51505</c:v>
                </c:pt>
                <c:pt idx="83">
                  <c:v>2.0773999999999999</c:v>
                </c:pt>
                <c:pt idx="84">
                  <c:v>1.52877</c:v>
                </c:pt>
                <c:pt idx="85">
                  <c:v>2.8281399999999999</c:v>
                </c:pt>
                <c:pt idx="86">
                  <c:v>-1.0119199999999999</c:v>
                </c:pt>
                <c:pt idx="87">
                  <c:v>-1.09992</c:v>
                </c:pt>
                <c:pt idx="88">
                  <c:v>-4.85046</c:v>
                </c:pt>
                <c:pt idx="89">
                  <c:v>1.24318</c:v>
                </c:pt>
                <c:pt idx="90">
                  <c:v>-1.1489400000000001</c:v>
                </c:pt>
                <c:pt idx="91">
                  <c:v>1.3914899999999999</c:v>
                </c:pt>
                <c:pt idx="92">
                  <c:v>1.7031799999999999</c:v>
                </c:pt>
                <c:pt idx="93">
                  <c:v>-0.23882</c:v>
                </c:pt>
                <c:pt idx="94">
                  <c:v>-1.26416</c:v>
                </c:pt>
                <c:pt idx="95">
                  <c:v>0.63007000000000002</c:v>
                </c:pt>
                <c:pt idx="96">
                  <c:v>2.1244499999999999</c:v>
                </c:pt>
                <c:pt idx="97">
                  <c:v>-2.1654</c:v>
                </c:pt>
                <c:pt idx="98">
                  <c:v>2.2259099999999998</c:v>
                </c:pt>
                <c:pt idx="99">
                  <c:v>-2.00962</c:v>
                </c:pt>
                <c:pt idx="100">
                  <c:v>-1.53105</c:v>
                </c:pt>
                <c:pt idx="101">
                  <c:v>-3.6796099999999998</c:v>
                </c:pt>
                <c:pt idx="102">
                  <c:v>-0.51495999999999997</c:v>
                </c:pt>
                <c:pt idx="103">
                  <c:v>1.2570699999999999</c:v>
                </c:pt>
                <c:pt idx="104">
                  <c:v>-0.67715000000000003</c:v>
                </c:pt>
                <c:pt idx="105">
                  <c:v>2.2731499999999998</c:v>
                </c:pt>
                <c:pt idx="106">
                  <c:v>1.0363500000000001</c:v>
                </c:pt>
                <c:pt idx="107">
                  <c:v>-2.22478</c:v>
                </c:pt>
                <c:pt idx="108">
                  <c:v>-0.88136999999999999</c:v>
                </c:pt>
                <c:pt idx="109">
                  <c:v>4.4971500000000004</c:v>
                </c:pt>
                <c:pt idx="110">
                  <c:v>3.86408</c:v>
                </c:pt>
                <c:pt idx="111">
                  <c:v>-1.49949</c:v>
                </c:pt>
                <c:pt idx="112">
                  <c:v>1.8236000000000001</c:v>
                </c:pt>
                <c:pt idx="113">
                  <c:v>-1.04572</c:v>
                </c:pt>
                <c:pt idx="114">
                  <c:v>0.76175000000000004</c:v>
                </c:pt>
                <c:pt idx="115">
                  <c:v>-2.0898500000000002</c:v>
                </c:pt>
                <c:pt idx="116">
                  <c:v>-3.3056399999999999</c:v>
                </c:pt>
                <c:pt idx="117">
                  <c:v>-0.87770999999999999</c:v>
                </c:pt>
                <c:pt idx="118">
                  <c:v>0.64536000000000004</c:v>
                </c:pt>
                <c:pt idx="119">
                  <c:v>3.0276999999999998</c:v>
                </c:pt>
                <c:pt idx="120">
                  <c:v>1.96261</c:v>
                </c:pt>
                <c:pt idx="121">
                  <c:v>-8.1709300000000002</c:v>
                </c:pt>
                <c:pt idx="122">
                  <c:v>3.3090199999999999</c:v>
                </c:pt>
                <c:pt idx="123">
                  <c:v>2.9235500000000001</c:v>
                </c:pt>
                <c:pt idx="124">
                  <c:v>0.77947999999999995</c:v>
                </c:pt>
                <c:pt idx="125">
                  <c:v>7.8170000000000003E-2</c:v>
                </c:pt>
                <c:pt idx="126">
                  <c:v>-3.4920399999999998</c:v>
                </c:pt>
                <c:pt idx="127">
                  <c:v>-3.7757999999999998</c:v>
                </c:pt>
                <c:pt idx="128">
                  <c:v>3.6241400000000001</c:v>
                </c:pt>
                <c:pt idx="129">
                  <c:v>1.52475</c:v>
                </c:pt>
                <c:pt idx="130">
                  <c:v>2.2949299999999999</c:v>
                </c:pt>
                <c:pt idx="131">
                  <c:v>0.11203</c:v>
                </c:pt>
                <c:pt idx="132">
                  <c:v>2.64228</c:v>
                </c:pt>
                <c:pt idx="133">
                  <c:v>3.12296</c:v>
                </c:pt>
                <c:pt idx="134">
                  <c:v>-3.5620599999999998</c:v>
                </c:pt>
                <c:pt idx="135">
                  <c:v>2.3471899999999999</c:v>
                </c:pt>
                <c:pt idx="136">
                  <c:v>-0.29737000000000002</c:v>
                </c:pt>
                <c:pt idx="137">
                  <c:v>-2.82281</c:v>
                </c:pt>
                <c:pt idx="138">
                  <c:v>-3.3505600000000002</c:v>
                </c:pt>
                <c:pt idx="139">
                  <c:v>-4.2616300000000003</c:v>
                </c:pt>
                <c:pt idx="140">
                  <c:v>-1.1564399999999999</c:v>
                </c:pt>
                <c:pt idx="141">
                  <c:v>8.3971199999999993</c:v>
                </c:pt>
                <c:pt idx="142">
                  <c:v>2.3665699999999998</c:v>
                </c:pt>
                <c:pt idx="143">
                  <c:v>-4.81752</c:v>
                </c:pt>
                <c:pt idx="144">
                  <c:v>-3.1583000000000001</c:v>
                </c:pt>
                <c:pt idx="145">
                  <c:v>3.3382399999999999</c:v>
                </c:pt>
                <c:pt idx="146">
                  <c:v>1.3676900000000001</c:v>
                </c:pt>
                <c:pt idx="147">
                  <c:v>1.2748299999999999</c:v>
                </c:pt>
              </c:numCache>
            </c:numRef>
          </c:yVal>
          <c:smooth val="0"/>
          <c:extLst>
            <c:ext xmlns:c16="http://schemas.microsoft.com/office/drawing/2014/chart" uri="{C3380CC4-5D6E-409C-BE32-E72D297353CC}">
              <c16:uniqueId val="{00000006-62CB-4EC1-BBFF-F59197BF500F}"/>
            </c:ext>
          </c:extLst>
        </c:ser>
        <c:dLbls>
          <c:showLegendKey val="0"/>
          <c:showVal val="0"/>
          <c:showCatName val="0"/>
          <c:showSerName val="0"/>
          <c:showPercent val="0"/>
          <c:showBubbleSize val="0"/>
        </c:dLbls>
        <c:axId val="378542024"/>
        <c:axId val="378540712"/>
        <c:extLst/>
      </c:scatterChart>
      <c:valAx>
        <c:axId val="378542024"/>
        <c:scaling>
          <c:orientation val="minMax"/>
          <c:max val="3"/>
          <c:min val="-3"/>
        </c:scaling>
        <c:delete val="0"/>
        <c:axPos val="b"/>
        <c:title>
          <c:tx>
            <c:rich>
              <a:bodyPr rot="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600">
                    <a:solidFill>
                      <a:schemeClr val="tx1"/>
                    </a:solidFill>
                    <a:latin typeface="Times New Roman" panose="02020603050405020304" pitchFamily="18" charset="0"/>
                    <a:cs typeface="Times New Roman" panose="02020603050405020304" pitchFamily="18" charset="0"/>
                  </a:rPr>
                  <a:t>CG</a:t>
                </a:r>
                <a:r>
                  <a:rPr lang="en-US" sz="1600" baseline="-25000">
                    <a:solidFill>
                      <a:schemeClr val="tx1"/>
                    </a:solidFill>
                    <a:latin typeface="Times New Roman" panose="02020603050405020304" pitchFamily="18" charset="0"/>
                    <a:cs typeface="Times New Roman" panose="02020603050405020304" pitchFamily="18" charset="0"/>
                  </a:rPr>
                  <a:t>residual</a:t>
                </a:r>
                <a:endParaRPr lang="en-US" sz="16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78540712"/>
        <c:crossesAt val="-15"/>
        <c:crossBetween val="midCat"/>
      </c:valAx>
      <c:valAx>
        <c:axId val="378540712"/>
        <c:scaling>
          <c:orientation val="minMax"/>
          <c:max val="15"/>
          <c:min val="-15"/>
        </c:scaling>
        <c:delete val="0"/>
        <c:axPos val="l"/>
        <c:title>
          <c:tx>
            <c:rich>
              <a:bodyPr rot="-540000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600">
                    <a:solidFill>
                      <a:schemeClr val="tx1"/>
                    </a:solidFill>
                    <a:latin typeface="Times New Roman" panose="02020603050405020304" pitchFamily="18" charset="0"/>
                    <a:cs typeface="Times New Roman" panose="02020603050405020304" pitchFamily="18" charset="0"/>
                  </a:rPr>
                  <a:t>IQ</a:t>
                </a:r>
                <a:r>
                  <a:rPr lang="en-US" sz="1600" baseline="-25000">
                    <a:solidFill>
                      <a:schemeClr val="tx1"/>
                    </a:solidFill>
                    <a:latin typeface="Times New Roman" panose="02020603050405020304" pitchFamily="18" charset="0"/>
                    <a:cs typeface="Times New Roman" panose="02020603050405020304" pitchFamily="18" charset="0"/>
                  </a:rPr>
                  <a:t>residual</a:t>
                </a:r>
                <a:endParaRPr lang="en-US" sz="16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78542024"/>
        <c:crossesAt val="-3"/>
        <c:crossBetween val="midCat"/>
      </c:valAx>
      <c:spPr>
        <a:noFill/>
        <a:ln>
          <a:noFill/>
        </a:ln>
        <a:effectLst/>
      </c:spPr>
    </c:plotArea>
    <c:legend>
      <c:legendPos val="r"/>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0.85714</cdr:y>
    </cdr:from>
    <cdr:to>
      <cdr:x>0.08333</cdr:x>
      <cdr:y>1</cdr:y>
    </cdr:to>
    <cdr:sp macro="" textlink="">
      <cdr:nvSpPr>
        <cdr:cNvPr id="2" name="Rectangle 1"/>
        <cdr:cNvSpPr/>
      </cdr:nvSpPr>
      <cdr:spPr>
        <a:xfrm xmlns:a="http://schemas.openxmlformats.org/drawingml/2006/main">
          <a:off x="0" y="2743200"/>
          <a:ext cx="457200" cy="457200"/>
        </a:xfrm>
        <a:prstGeom xmlns:a="http://schemas.openxmlformats.org/drawingml/2006/main" prst="rect">
          <a:avLst/>
        </a:prstGeom>
        <a:ln xmlns:a="http://schemas.openxmlformats.org/drawingml/2006/main">
          <a:no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lgn="ctr"/>
          <a:r>
            <a:rPr lang="en-US" sz="2800" b="1">
              <a:solidFill>
                <a:sysClr val="windowText" lastClr="000000"/>
              </a:solidFill>
              <a:latin typeface="Times New Roman" panose="02020603050405020304" pitchFamily="18" charset="0"/>
              <a:cs typeface="Times New Roman" panose="02020603050405020304" pitchFamily="18" charset="0"/>
            </a:rPr>
            <a:t>a</a:t>
          </a:r>
          <a:endParaRPr lang="en-US" sz="1800" b="1">
            <a:solidFill>
              <a:sysClr val="windowText" lastClr="000000"/>
            </a:solidFill>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0.85714</cdr:y>
    </cdr:from>
    <cdr:to>
      <cdr:x>0.08333</cdr:x>
      <cdr:y>1</cdr:y>
    </cdr:to>
    <cdr:sp macro="" textlink="">
      <cdr:nvSpPr>
        <cdr:cNvPr id="3" name="Rectangle 2"/>
        <cdr:cNvSpPr/>
      </cdr:nvSpPr>
      <cdr:spPr>
        <a:xfrm xmlns:a="http://schemas.openxmlformats.org/drawingml/2006/main">
          <a:off x="0" y="2743200"/>
          <a:ext cx="457200" cy="457200"/>
        </a:xfrm>
        <a:prstGeom xmlns:a="http://schemas.openxmlformats.org/drawingml/2006/main" prst="rect">
          <a:avLst/>
        </a:prstGeom>
        <a:ln xmlns:a="http://schemas.openxmlformats.org/drawingml/2006/main">
          <a:no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lgn="ctr"/>
          <a:r>
            <a:rPr lang="en-US" sz="2800" b="1">
              <a:latin typeface="Times New Roman" panose="02020603050405020304" pitchFamily="18" charset="0"/>
              <a:cs typeface="Times New Roman" panose="02020603050405020304" pitchFamily="18" charset="0"/>
            </a:rPr>
            <a:t>b</a:t>
          </a:r>
          <a:endParaRPr lang="en-US" sz="1050" b="1">
            <a:latin typeface="Times New Roman" panose="02020603050405020304" pitchFamily="18" charset="0"/>
            <a:cs typeface="Times New Roman" panose="02020603050405020304"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0.85714</cdr:y>
    </cdr:from>
    <cdr:to>
      <cdr:x>0.08333</cdr:x>
      <cdr:y>1</cdr:y>
    </cdr:to>
    <cdr:sp macro="" textlink="">
      <cdr:nvSpPr>
        <cdr:cNvPr id="3" name="Rectangle 2"/>
        <cdr:cNvSpPr/>
      </cdr:nvSpPr>
      <cdr:spPr>
        <a:xfrm xmlns:a="http://schemas.openxmlformats.org/drawingml/2006/main">
          <a:off x="0" y="2743200"/>
          <a:ext cx="457200" cy="457200"/>
        </a:xfrm>
        <a:prstGeom xmlns:a="http://schemas.openxmlformats.org/drawingml/2006/main" prst="rect">
          <a:avLst/>
        </a:prstGeom>
        <a:ln xmlns:a="http://schemas.openxmlformats.org/drawingml/2006/main">
          <a:no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pPr algn="ctr"/>
          <a:r>
            <a:rPr lang="en-US" sz="2800" b="1">
              <a:latin typeface="Times New Roman" panose="02020603050405020304" pitchFamily="18" charset="0"/>
              <a:cs typeface="Times New Roman" panose="02020603050405020304" pitchFamily="18" charset="0"/>
            </a:rPr>
            <a:t>c</a:t>
          </a:r>
          <a:endParaRPr lang="en-US" sz="1050" b="1">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3A173-E8AC-46CC-82FB-B8E61320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18</Pages>
  <Words>4035</Words>
  <Characters>23002</Characters>
  <Application>Microsoft Office Word</Application>
  <DocSecurity>2</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Peters</cp:lastModifiedBy>
  <cp:revision>14</cp:revision>
  <dcterms:created xsi:type="dcterms:W3CDTF">2020-11-11T15:50:00Z</dcterms:created>
  <dcterms:modified xsi:type="dcterms:W3CDTF">2022-04-13T12:17:00Z</dcterms:modified>
  <cp:contentStatus/>
</cp:coreProperties>
</file>