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46.png" ContentType="image/png"/>
  <Override PartName="/word/media/rId62.png" ContentType="image/png"/>
  <Override PartName="/word/media/rId33.png" ContentType="image/png"/>
  <Override PartName="/word/media/rId40.png" ContentType="image/png"/>
  <Override PartName="/word/media/rId50.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Update Facharztmangel im ÖGD</w:t>
      </w:r>
    </w:p>
    <w:p>
      <w:pPr>
        <w:pStyle w:val="Subtitle"/>
      </w:pPr>
      <w:r>
        <w:t xml:space="preserve">Haben die Entwicklungen rund um die Coronapandemie die Anzahl an Fachärzten für öffentliches Gesundheitswesen erhöht?</w:t>
      </w:r>
    </w:p>
    <w:p>
      <w:pPr>
        <w:pStyle w:val="Author"/>
      </w:pPr>
      <w:r>
        <w:t xml:space="preserve">Jakob Schumacher</w:t>
      </w:r>
    </w:p>
    <w:p>
      <w:pPr>
        <w:pStyle w:val="Author"/>
      </w:pPr>
      <w:r>
        <w:t xml:space="preserve">Peter Tinnemann</w:t>
      </w:r>
    </w:p>
    <w:p>
      <w:pPr>
        <w:pStyle w:val="Date"/>
      </w:pPr>
      <w:r>
        <w:t xml:space="preserve">2025-06-16</w:t>
      </w:r>
    </w:p>
    <w:bookmarkStart w:id="21" w:name="einleitung"/>
    <w:p>
      <w:pPr>
        <w:pStyle w:val="Heading1"/>
      </w:pPr>
      <w:r>
        <w:t xml:space="preserve">Einleitung</w:t>
      </w:r>
    </w:p>
    <w:p>
      <w:pPr>
        <w:pStyle w:val="FirstParagraph"/>
      </w:pPr>
      <w:r>
        <w:t xml:space="preserve">Die Studie von Tinnemann et al. (2021) analysiert die Entwicklung des Anzahl an Fachärztinnen und Fachärzten für Öffentliches Gesundheitswesen (ÖGW) in Deutschland. Dabei wurde festgestellt, dass die Gesamtzahl der Fachärzte in Deutschland um 52 % gestiegen ist. Die Anzahl der Fachärzte für ÖGW ist um fast 30 % zurückgegangen. Die Untersuchung zeigt auch regionale Unterschiede. Die Studie zeigte auch, die Fachärztinnen und Fachärzte für ÖGW im Zeitraum im Schnitt älter geworden sind. Die Autoren weisen darauf hin, dass diese Entwicklungen die fachärztliche Bearbeitung hoheitlicher Aufgaben und die Versorgung vulnerabler Bevölkerungsgruppen gefährden.</w:t>
      </w:r>
    </w:p>
    <w:p>
      <w:pPr>
        <w:pStyle w:val="BodyText"/>
      </w:pPr>
      <w:r>
        <w:t xml:space="preserve">Die COVID-19-Pandemie führte zu einer Belastung der Gesundheitsämter. Um die Anforderungen an Infektionsschutz, Kontaktnachverfolgung, Testungen und Impfungen zu bewältigen, wurde das Personal kurzfristig aufgestockt. So wurden deutschlandweit etwa 5.900 zusätzliche Beschäftigte eingestellt. Dieses erfolgte zum Beispiel durch Umschichtungen aus anderen Verwaltungsbereichen. Mit dem „Pakt für den Öffentlichen Gesundheitsdienst“ wurden 1.775 unbefristete Stellen geschaffen. Diese wurden finanziert durch Bundesmittel und hatten das Ziel den Öffentlichen Gesundheitsdienst (ÖGD) langfristig zu stärken. Wäre dieser Maßnahmen wurden viele reguläre Aufgaben zurückgestellt, da ein Großteil des vorhandenen Personals für pandemiebedingte Tätigkeiten eingesetzt wurde. Gleichzeitig zeigten sich strukturelle Schwächen, wie der Mangel an Fachärzten für Öffentliches Gesundheitswesen und die Abhängigkeit von kurzfristigen Lösungen wie der Rekrutierung von Studierenden oder Rentnern. Diese Entwicklungen verdeutlichen die Notwendigkeit einer nachhaltigen Personalplanung und -ausstattung im ÖGD, um zukünftige Krisen besser bewältigen zu können.</w:t>
      </w:r>
    </w:p>
    <w:p>
      <w:pPr>
        <w:pStyle w:val="BodyText"/>
      </w:pPr>
      <w:r>
        <w:t xml:space="preserve">Am 12. Dezember 2023 wurde ein Zwischenbericht zum „Pakt für den Öffentlichen Gesundheitsdienst“ veröffentlicht, der die Fortschritte und Herausforderungen bei der Personalentwicklung im ÖGD darlegt. Im Rahmen des Paktes wurden bis Ende 2021 bundesweit 2.290 neue Vollzeitäquivalente (VZÄ) geschaffen, von denen 1.775 Stellen aus Paktmitteln finanziert wurden. Etwa 92 % dieser Stellen entfielen auf die unteren Gesundheitsbehörden und örtlichen Gesundheitsämter, während der Rest auf Landesstellen und oberste Landesbehörden verteilt wurde. Bis Ende 2022 stieg die Zahl der aus Paktmitteln finanzierten Stellen auf insgesamt rund 3.930 VZÄ, wobei der Schwerpunkt weiterhin auf den unteren Gesundheitsbehörden lag. Die Besetzung der Stellen erfolgte gestaffelt über mehrere Jahre, um Kapazitätsprobleme bei der Ausbildung und Rekrutierung qualifizierten Fachpersonals zu berücksichtigen. Neben ärztlichem Personal wurden auch Stellen für weiteres Fachpersonal wie Sozialarbeiter, Hygienekontrolleurinnen und Verwaltungskräfte geschaffen. Der Bericht zeigt, dass die Umsetzung des Paktes eine zentrale Rolle bei der Stärkung des ÖGD spielt und die strukturelle Modernisierung des öffentlichen Gesundheitswesens unterstützt.</w:t>
      </w:r>
    </w:p>
    <w:p>
      <w:pPr>
        <w:pStyle w:val="BodyText"/>
      </w:pPr>
      <w:r>
        <w:t xml:space="preserve">Die Studie analysiert die Verteilung und den Bedarf an Public-Health-Professionals in deutschen Gesundheitsämtern. Mittels einer Online-Befragung von 376 Amtsleitungen (Teilnahmerate: 40,4 %) wurde festgestellt, dass durchschnittlich 2,6 Public-Health-Professionals pro Gesundheitsamt beschäftigt sind, wobei 28,3 % der Ämter keine solchen Fachkräfte haben. 78,3 % der Befragten äußerten Bedarf an zusätzlichem Personal, insbesondere mit Public-Health-Qualifikationen. Die Ergebnisse zeigen eine heterogene Verteilung und verdeutlichen die Notwendigkeit einer stärkeren Zusammenarbeit zwischen akademischer Public Health und dem Öffentlichen Gesundheitsdienst (ÖGD), um multiprofessionelle Strukturen auszubauen und Karrierechancen für Public-Health-Absolventen zu verbessern.</w:t>
      </w:r>
    </w:p>
    <w:bookmarkStart w:id="20" w:name="fragestellung"/>
    <w:p>
      <w:pPr>
        <w:pStyle w:val="Heading2"/>
      </w:pPr>
      <w:r>
        <w:t xml:space="preserve">Fragestellung</w:t>
      </w:r>
    </w:p>
    <w:p>
      <w:pPr>
        <w:pStyle w:val="FirstParagraph"/>
      </w:pPr>
      <w:r>
        <w:t xml:space="preserve">Haben die Entwicklungen rund um die Coronapandemie die Anzahl an Fachärzten für öffentliches Gesundheitswesen erhöht?</w:t>
      </w:r>
    </w:p>
    <w:bookmarkEnd w:id="20"/>
    <w:bookmarkEnd w:id="21"/>
    <w:bookmarkStart w:id="26" w:name="methoden"/>
    <w:p>
      <w:pPr>
        <w:pStyle w:val="Heading1"/>
      </w:pPr>
      <w:r>
        <w:t xml:space="preserve">Methoden</w:t>
      </w:r>
    </w:p>
    <w:p>
      <w:pPr>
        <w:pStyle w:val="FirstParagraph"/>
      </w:pPr>
      <w:r>
        <w:t xml:space="preserve">Die Ärztestatistik basiert auf den Heilberufsgesetzen der Bundesländer, die Ärztekammer-Mitgliedschaft vorschreiben. Die Kammern führen Verzeichnisse ihrer Mitglieder und erstellen jährlich Auswertungen, die an die Bundesärztekammer (BÄK) übermittelt werden. Die BÄK fasst diese Daten zusammen und erstellt eine bundesweite Statistik, die Informationen zu Ärzten mit Gebiets- und Facharztbezeichnungen enthält.</w:t>
      </w:r>
    </w:p>
    <w:p>
      <w:pPr>
        <w:pStyle w:val="BodyText"/>
      </w:pPr>
      <w:r>
        <w:rPr>
          <w:vertAlign w:val="subscript"/>
        </w:rPr>
        <w:t xml:space="preserve">Quelle:</w:t>
      </w:r>
      <w:r>
        <w:rPr>
          <w:vertAlign w:val="subscript"/>
        </w:rPr>
        <w:t xml:space="preserve"> </w:t>
      </w:r>
      <w:hyperlink r:id="rId22">
        <w:r>
          <w:rPr>
            <w:rStyle w:val="Hyperlink"/>
            <w:vertAlign w:val="subscript"/>
          </w:rPr>
          <w:t xml:space="preserve">Artikel-Notizbuch</w:t>
        </w:r>
      </w:hyperlink>
    </w:p>
    <w:p>
      <w:pPr>
        <w:pStyle w:val="BodyText"/>
      </w:pPr>
      <w:r>
        <w:rPr>
          <w:vertAlign w:val="subscript"/>
        </w:rPr>
        <w:t xml:space="preserve">Quelle:</w:t>
      </w:r>
      <w:r>
        <w:rPr>
          <w:vertAlign w:val="subscript"/>
        </w:rPr>
        <w:t xml:space="preserve"> </w:t>
      </w:r>
      <w:hyperlink r:id="rId22">
        <w:r>
          <w:rPr>
            <w:rStyle w:val="Hyperlink"/>
            <w:vertAlign w:val="subscript"/>
          </w:rPr>
          <w:t xml:space="preserve">Artikel-Notizbuch</w:t>
        </w:r>
      </w:hyperlink>
    </w:p>
    <w:bookmarkStart w:id="25" w:name="datenquelle"/>
    <w:p>
      <w:pPr>
        <w:pStyle w:val="Heading2"/>
      </w:pPr>
      <w:r>
        <w:t xml:space="preserve">Datenquelle</w:t>
      </w:r>
    </w:p>
    <w:p>
      <w:pPr>
        <w:pStyle w:val="FirstParagraph"/>
      </w:pPr>
      <w:r>
        <w:t xml:space="preserve">Die Daten stammen von den Ärztekammern. Sie werden bereitgestellt auf</w:t>
      </w:r>
      <w:r>
        <w:t xml:space="preserve"> </w:t>
      </w:r>
      <w:hyperlink r:id="rId23">
        <w:r>
          <w:rPr>
            <w:rStyle w:val="Hyperlink"/>
          </w:rPr>
          <w:t xml:space="preserve">http://www.gbe-bund.de</w:t>
        </w:r>
      </w:hyperlink>
      <w:r>
        <w:t xml:space="preserve"> </w:t>
      </w:r>
      <w:r>
        <w:t xml:space="preserve">unter dem Tabellennamen:</w:t>
      </w:r>
      <w:r>
        <w:t xml:space="preserve"> </w:t>
      </w:r>
      <w:hyperlink r:id="rId24">
        <w:r>
          <w:rPr>
            <w:rStyle w:val="Hyperlink"/>
          </w:rPr>
          <w:t xml:space="preserve">“Ärztinnen und Ärzte mit Gebiets- und Facharztbezeichnung, BÄK”</w:t>
        </w:r>
      </w:hyperlink>
    </w:p>
    <w:p>
      <w:pPr>
        <w:pStyle w:val="BodyText"/>
      </w:pPr>
      <w:r>
        <w:t xml:space="preserve">Beschreibung der Methodik der Statistik der Mitglieder der (Landes-) Ärztekammern (Ärztestatistik) von gbe-bund.de</w:t>
      </w:r>
    </w:p>
    <w:p>
      <w:pPr>
        <w:pStyle w:val="Compact"/>
        <w:numPr>
          <w:ilvl w:val="0"/>
          <w:numId w:val="1001"/>
        </w:numPr>
      </w:pPr>
      <w:r>
        <w:rPr>
          <w:i/>
          <w:iCs/>
        </w:rPr>
        <w:t xml:space="preserve">In den Heilberufsgesetzen der Bundesländer ist festgelegt, dass alle Ärzte, die in einem bestimmten Bundesland tätig sind oder, falls sie ihren Beruf nicht ausüben, ihren gewöhnlichen Aufenthalt haben, Mitglied der jeweiligen (Landes-) Ärztekammer sein müssen. Die Kammern haben über ihre Mitglieder ein Verzeichnis zu führen, in das bestimmte Angaben einzutragen sind. Auf der Basis dieser Mitgliederverzeichnisse erstellen die (Landes-) Ärztekammern zum 31. Dezember jeden Jahres Auswertungen zu ausgewählten Aspekten der Berufspolitik, die sie an die Bundesärztekammer weiterleiten. Die Bundesärztekammer (BÄK), Arbeitsgemeinschaft der deutschen Ärztekammern, ist die Berufsvertretung aller deutschen Ärzte auf Bundesebene. Die Bundesärztekammer fasst diese Meldungen zum Bundesergebnis zusammen und erstellt somit die Ärztestatistik.</w:t>
      </w:r>
    </w:p>
    <w:p>
      <w:pPr>
        <w:pStyle w:val="FirstParagraph"/>
      </w:pPr>
      <w:r>
        <w:t xml:space="preserve">Klick-Beschreibung der Auswahl für den Datensatz: taetigkeit_facharzt</w:t>
      </w:r>
      <w:r>
        <w:t xml:space="preserve"> </w:t>
      </w:r>
      <w:r>
        <w:t xml:space="preserve">1. Auswahl der Tabelle</w:t>
      </w:r>
      <w:r>
        <w:t xml:space="preserve"> </w:t>
      </w:r>
      <w:r>
        <w:t xml:space="preserve">“Ärztinnen und Ärzte mit Gebiets- und Facharztbezeichnung, BÄK”</w:t>
      </w:r>
      <w:r>
        <w:t xml:space="preserve"> </w:t>
      </w:r>
      <w:r>
        <w:t xml:space="preserve">auf GBE-Bund.de</w:t>
      </w:r>
      <w:r>
        <w:t xml:space="preserve"> </w:t>
      </w:r>
      <w:r>
        <w:t xml:space="preserve">1. Nach klick auf</w:t>
      </w:r>
      <w:r>
        <w:t xml:space="preserve"> </w:t>
      </w:r>
      <w:r>
        <w:t xml:space="preserve">“Werteauswahl einblenden”</w:t>
      </w:r>
      <w:r>
        <w:t xml:space="preserve"> </w:t>
      </w:r>
      <w:r>
        <w:t xml:space="preserve">und</w:t>
      </w:r>
      <w:r>
        <w:t xml:space="preserve"> </w:t>
      </w:r>
      <w:r>
        <w:t xml:space="preserve">“Jahr”</w:t>
      </w:r>
      <w:r>
        <w:t xml:space="preserve"> </w:t>
      </w:r>
      <w:r>
        <w:t xml:space="preserve">alle Jahre anklicken oder</w:t>
      </w:r>
      <w:r>
        <w:t xml:space="preserve"> </w:t>
      </w:r>
      <w:r>
        <w:t xml:space="preserve">“Markierung für alle Merkmalsausprägungen”</w:t>
      </w:r>
      <w:r>
        <w:t xml:space="preserve"> </w:t>
      </w:r>
      <w:r>
        <w:t xml:space="preserve">auswählen, dann</w:t>
      </w:r>
      <w:r>
        <w:t xml:space="preserve"> </w:t>
      </w:r>
      <w:r>
        <w:t xml:space="preserve">“Werte übernehmen”</w:t>
      </w:r>
      <w:r>
        <w:t xml:space="preserve"> </w:t>
      </w:r>
      <w:r>
        <w:t xml:space="preserve">anklicken</w:t>
      </w:r>
      <w:r>
        <w:t xml:space="preserve"> </w:t>
      </w:r>
      <w:r>
        <w:t xml:space="preserve">1. Unter</w:t>
      </w:r>
      <w:r>
        <w:t xml:space="preserve"> </w:t>
      </w:r>
      <w:r>
        <w:t xml:space="preserve">“Merkmal in Zeilen oder Spalten ändern”</w:t>
      </w:r>
      <w:r>
        <w:t xml:space="preserve"> </w:t>
      </w:r>
      <w:r>
        <w:t xml:space="preserve">die folgenden Einstellungen tätigen:</w:t>
      </w:r>
      <w:r>
        <w:t xml:space="preserve"> </w:t>
      </w:r>
      <w:r>
        <w:t xml:space="preserve">“Gebiets-/Facharztbezeichnung”</w:t>
      </w:r>
      <w:r>
        <w:t xml:space="preserve"> </w:t>
      </w:r>
      <w:r>
        <w:t xml:space="preserve">in Zeile;</w:t>
      </w:r>
      <w:r>
        <w:t xml:space="preserve"> </w:t>
      </w:r>
      <w:r>
        <w:t xml:space="preserve">“Tätigkeitsbereich”</w:t>
      </w:r>
      <w:r>
        <w:t xml:space="preserve"> </w:t>
      </w:r>
      <w:r>
        <w:t xml:space="preserve">in Zeile;</w:t>
      </w:r>
      <w:r>
        <w:t xml:space="preserve"> </w:t>
      </w:r>
      <w:r>
        <w:t xml:space="preserve">“Jahr”</w:t>
      </w:r>
      <w:r>
        <w:t xml:space="preserve"> </w:t>
      </w:r>
      <w:r>
        <w:t xml:space="preserve">in Spalte. Dann auf</w:t>
      </w:r>
      <w:r>
        <w:t xml:space="preserve"> </w:t>
      </w:r>
      <w:r>
        <w:t xml:space="preserve">“Übernehmen”</w:t>
      </w:r>
      <w:r>
        <w:t xml:space="preserve"> </w:t>
      </w:r>
      <w:r>
        <w:t xml:space="preserve">klicken</w:t>
      </w:r>
      <w:r>
        <w:t xml:space="preserve"> </w:t>
      </w:r>
      <w:r>
        <w:t xml:space="preserve">1. Abspeichern der Datei als csv mit dem Namen:</w:t>
      </w:r>
      <w:r>
        <w:t xml:space="preserve"> </w:t>
      </w:r>
      <w:r>
        <w:rPr>
          <w:i/>
          <w:iCs/>
        </w:rPr>
        <w:t xml:space="preserve">taetigkeit_facharzt.csv</w:t>
      </w:r>
      <w:r>
        <w:t xml:space="preserve"> </w:t>
      </w:r>
      <w:r>
        <w:t xml:space="preserve">und im Ordner</w:t>
      </w:r>
      <w:r>
        <w:t xml:space="preserve"> </w:t>
      </w:r>
      <w:r>
        <w:t xml:space="preserve">“data”</w:t>
      </w:r>
      <w:r>
        <w:t xml:space="preserve"> </w:t>
      </w:r>
      <w:r>
        <w:t xml:space="preserve">abspeichern</w:t>
      </w:r>
    </w:p>
    <w:p>
      <w:pPr>
        <w:pStyle w:val="BodyText"/>
      </w:pPr>
      <w:r>
        <w:t xml:space="preserve">Klick-Beschreibung der Auswahl für den Datensatz: region_facharzt</w:t>
      </w:r>
      <w:r>
        <w:t xml:space="preserve"> </w:t>
      </w:r>
      <w:r>
        <w:t xml:space="preserve">1. Auswahl der Tabelle</w:t>
      </w:r>
      <w:r>
        <w:t xml:space="preserve"> </w:t>
      </w:r>
      <w:r>
        <w:t xml:space="preserve">“Ärztinnen und Ärzte mit Gebiets- und Facharztbezeichnung, BÄK”</w:t>
      </w:r>
      <w:r>
        <w:t xml:space="preserve"> </w:t>
      </w:r>
      <w:r>
        <w:t xml:space="preserve">auf GBE-Bund.de</w:t>
      </w:r>
      <w:r>
        <w:t xml:space="preserve"> </w:t>
      </w:r>
      <w:r>
        <w:t xml:space="preserve">1. Nach Klick auf</w:t>
      </w:r>
      <w:r>
        <w:t xml:space="preserve"> </w:t>
      </w:r>
      <w:r>
        <w:t xml:space="preserve">“Werteauswahl einblenden”</w:t>
      </w:r>
      <w:r>
        <w:t xml:space="preserve"> </w:t>
      </w:r>
      <w:r>
        <w:t xml:space="preserve">und</w:t>
      </w:r>
      <w:r>
        <w:t xml:space="preserve"> </w:t>
      </w:r>
      <w:r>
        <w:t xml:space="preserve">“Jahr”</w:t>
      </w:r>
      <w:r>
        <w:t xml:space="preserve"> </w:t>
      </w:r>
      <w:r>
        <w:t xml:space="preserve">alle Jahre anklicken oder</w:t>
      </w:r>
      <w:r>
        <w:t xml:space="preserve"> </w:t>
      </w:r>
      <w:r>
        <w:t xml:space="preserve">“Markierung für alle Merkmalsausprägungen”</w:t>
      </w:r>
      <w:r>
        <w:t xml:space="preserve"> </w:t>
      </w:r>
      <w:r>
        <w:t xml:space="preserve">auswählen, dann</w:t>
      </w:r>
      <w:r>
        <w:t xml:space="preserve"> </w:t>
      </w:r>
      <w:r>
        <w:t xml:space="preserve">“Werte übernehmen”</w:t>
      </w:r>
      <w:r>
        <w:t xml:space="preserve"> </w:t>
      </w:r>
      <w:r>
        <w:t xml:space="preserve">anklicken</w:t>
      </w:r>
      <w:r>
        <w:t xml:space="preserve"> </w:t>
      </w:r>
      <w:r>
        <w:t xml:space="preserve">1. Nach Klick auf</w:t>
      </w:r>
      <w:r>
        <w:t xml:space="preserve"> </w:t>
      </w:r>
      <w:r>
        <w:t xml:space="preserve">“Werteauswahl einblenden”</w:t>
      </w:r>
      <w:r>
        <w:t xml:space="preserve"> </w:t>
      </w:r>
      <w:r>
        <w:t xml:space="preserve">und</w:t>
      </w:r>
      <w:r>
        <w:t xml:space="preserve"> </w:t>
      </w:r>
      <w:r>
        <w:t xml:space="preserve">“Darstellung”</w:t>
      </w:r>
      <w:r>
        <w:t xml:space="preserve"> </w:t>
      </w:r>
      <w:r>
        <w:t xml:space="preserve">alle Punkte auswählen, dann</w:t>
      </w:r>
      <w:r>
        <w:t xml:space="preserve"> </w:t>
      </w:r>
      <w:r>
        <w:t xml:space="preserve">“Ausgewählte Merkmalsausprägung (ohne übergeordnete)”</w:t>
      </w:r>
      <w:r>
        <w:t xml:space="preserve"> </w:t>
      </w:r>
      <w:r>
        <w:t xml:space="preserve">auswählen, dann</w:t>
      </w:r>
      <w:r>
        <w:t xml:space="preserve"> </w:t>
      </w:r>
      <w:r>
        <w:t xml:space="preserve">“Werte übernehmen”</w:t>
      </w:r>
      <w:r>
        <w:t xml:space="preserve"> </w:t>
      </w:r>
      <w:r>
        <w:t xml:space="preserve">anklicken</w:t>
      </w:r>
      <w:r>
        <w:t xml:space="preserve"> </w:t>
      </w:r>
      <w:r>
        <w:t xml:space="preserve">1. Unter</w:t>
      </w:r>
      <w:r>
        <w:t xml:space="preserve"> </w:t>
      </w:r>
      <w:r>
        <w:t xml:space="preserve">“Merkmal in Zeilen oder Spalten ändern”</w:t>
      </w:r>
      <w:r>
        <w:t xml:space="preserve"> </w:t>
      </w:r>
      <w:r>
        <w:t xml:space="preserve">die folgenden Einstellungen tätigen:</w:t>
      </w:r>
      <w:r>
        <w:t xml:space="preserve"> </w:t>
      </w:r>
      <w:r>
        <w:t xml:space="preserve">“Gebiets-/Facharztbezeichnung”</w:t>
      </w:r>
      <w:r>
        <w:t xml:space="preserve"> </w:t>
      </w:r>
      <w:r>
        <w:t xml:space="preserve">in Zeile;</w:t>
      </w:r>
      <w:r>
        <w:t xml:space="preserve"> </w:t>
      </w:r>
      <w:r>
        <w:t xml:space="preserve">“Region”</w:t>
      </w:r>
      <w:r>
        <w:t xml:space="preserve"> </w:t>
      </w:r>
      <w:r>
        <w:t xml:space="preserve">in Zeile;</w:t>
      </w:r>
      <w:r>
        <w:t xml:space="preserve"> </w:t>
      </w:r>
      <w:r>
        <w:t xml:space="preserve">“Jahr”</w:t>
      </w:r>
      <w:r>
        <w:t xml:space="preserve"> </w:t>
      </w:r>
      <w:r>
        <w:t xml:space="preserve">in Spalte.</w:t>
      </w:r>
      <w:r>
        <w:t xml:space="preserve"> </w:t>
      </w:r>
      <w:r>
        <w:t xml:space="preserve">“Darstellung”</w:t>
      </w:r>
      <w:r>
        <w:t xml:space="preserve"> </w:t>
      </w:r>
      <w:r>
        <w:t xml:space="preserve">auf in Zeile; dann auf</w:t>
      </w:r>
      <w:r>
        <w:t xml:space="preserve"> </w:t>
      </w:r>
      <w:r>
        <w:t xml:space="preserve">“Übernehmen”</w:t>
      </w:r>
      <w:r>
        <w:t xml:space="preserve"> </w:t>
      </w:r>
      <w:r>
        <w:t xml:space="preserve">klicken</w:t>
      </w:r>
      <w:r>
        <w:t xml:space="preserve"> </w:t>
      </w:r>
      <w:r>
        <w:t xml:space="preserve">1. Unter</w:t>
      </w:r>
      <w:r>
        <w:t xml:space="preserve"> </w:t>
      </w:r>
      <w:r>
        <w:t xml:space="preserve">“Auswahl einer neuen Merkmalsausprägung”</w:t>
      </w:r>
      <w:r>
        <w:t xml:space="preserve"> </w:t>
      </w:r>
      <w:r>
        <w:t xml:space="preserve">in der Zeile Tätigkeitsbereich den Punkt:</w:t>
      </w:r>
      <w:r>
        <w:t xml:space="preserve"> </w:t>
      </w:r>
      <w:r>
        <w:t xml:space="preserve">“Mit ärztlicher Tätigkeit”</w:t>
      </w:r>
      <w:r>
        <w:t xml:space="preserve"> </w:t>
      </w:r>
      <w:r>
        <w:t xml:space="preserve">auswählen dann</w:t>
      </w:r>
      <w:r>
        <w:t xml:space="preserve"> </w:t>
      </w:r>
      <w:r>
        <w:t xml:space="preserve">“Blattmerkmale aktualisieren”</w:t>
      </w:r>
      <w:r>
        <w:t xml:space="preserve"> </w:t>
      </w:r>
      <w:r>
        <w:t xml:space="preserve">klicken.</w:t>
      </w:r>
      <w:r>
        <w:t xml:space="preserve"> </w:t>
      </w:r>
      <w:r>
        <w:t xml:space="preserve">1. Abspeichern der Datei als csv mit dem Namen:</w:t>
      </w:r>
      <w:r>
        <w:t xml:space="preserve"> </w:t>
      </w:r>
      <w:r>
        <w:rPr>
          <w:i/>
          <w:iCs/>
        </w:rPr>
        <w:t xml:space="preserve">region_facharzt.csv</w:t>
      </w:r>
      <w:r>
        <w:t xml:space="preserve"> </w:t>
      </w:r>
      <w:r>
        <w:t xml:space="preserve">und im Ordner</w:t>
      </w:r>
      <w:r>
        <w:t xml:space="preserve"> </w:t>
      </w:r>
      <w:r>
        <w:t xml:space="preserve">“data”</w:t>
      </w:r>
      <w:r>
        <w:t xml:space="preserve"> </w:t>
      </w:r>
      <w:r>
        <w:t xml:space="preserve">abspeichern</w:t>
      </w:r>
    </w:p>
    <w:p>
      <w:pPr>
        <w:pStyle w:val="BodyText"/>
      </w:pPr>
      <w:r>
        <w:t xml:space="preserve">Klick-Beschreibung der Auswahl für den Datensatz: geschlecht_alter</w:t>
      </w:r>
      <w:r>
        <w:t xml:space="preserve"> </w:t>
      </w:r>
      <w:r>
        <w:t xml:space="preserve">1. Auswahl der Tabelle</w:t>
      </w:r>
      <w:r>
        <w:t xml:space="preserve"> </w:t>
      </w:r>
      <w:r>
        <w:t xml:space="preserve">“Ärztinnen und Ärzte mit Gebiets- und Facharztbezeichnung, BÄK”</w:t>
      </w:r>
      <w:r>
        <w:t xml:space="preserve"> </w:t>
      </w:r>
      <w:r>
        <w:t xml:space="preserve">auf GBE-Bund.de</w:t>
      </w:r>
      <w:r>
        <w:t xml:space="preserve"> </w:t>
      </w:r>
      <w:r>
        <w:t xml:space="preserve">1. Nach Klick auf</w:t>
      </w:r>
      <w:r>
        <w:t xml:space="preserve"> </w:t>
      </w:r>
      <w:r>
        <w:t xml:space="preserve">“Werteauswahl einblenden”</w:t>
      </w:r>
      <w:r>
        <w:t xml:space="preserve"> </w:t>
      </w:r>
      <w:r>
        <w:t xml:space="preserve">und</w:t>
      </w:r>
      <w:r>
        <w:t xml:space="preserve"> </w:t>
      </w:r>
      <w:r>
        <w:t xml:space="preserve">“Jahr”</w:t>
      </w:r>
      <w:r>
        <w:t xml:space="preserve"> </w:t>
      </w:r>
      <w:r>
        <w:t xml:space="preserve">alle Jahre anklicken oder</w:t>
      </w:r>
      <w:r>
        <w:t xml:space="preserve"> </w:t>
      </w:r>
      <w:r>
        <w:t xml:space="preserve">“Markierung für alle Merkmalsausprägungen”</w:t>
      </w:r>
      <w:r>
        <w:t xml:space="preserve"> </w:t>
      </w:r>
      <w:r>
        <w:t xml:space="preserve">auswählen, dann</w:t>
      </w:r>
      <w:r>
        <w:t xml:space="preserve"> </w:t>
      </w:r>
      <w:r>
        <w:t xml:space="preserve">“Ausgewählte Merkmalsausprägung (ohne übergeordnete)”</w:t>
      </w:r>
      <w:r>
        <w:t xml:space="preserve"> </w:t>
      </w:r>
      <w:r>
        <w:t xml:space="preserve">auswählen, dann</w:t>
      </w:r>
      <w:r>
        <w:t xml:space="preserve"> </w:t>
      </w:r>
      <w:r>
        <w:t xml:space="preserve">“Werte übernehmen”</w:t>
      </w:r>
      <w:r>
        <w:t xml:space="preserve"> </w:t>
      </w:r>
      <w:r>
        <w:t xml:space="preserve">anklicken</w:t>
      </w:r>
      <w:r>
        <w:t xml:space="preserve"> </w:t>
      </w:r>
      <w:r>
        <w:t xml:space="preserve">1. Nach Klick auf</w:t>
      </w:r>
      <w:r>
        <w:t xml:space="preserve"> </w:t>
      </w:r>
      <w:r>
        <w:t xml:space="preserve">“Werteauswahl einblenden”</w:t>
      </w:r>
      <w:r>
        <w:t xml:space="preserve"> </w:t>
      </w:r>
      <w:r>
        <w:t xml:space="preserve">und</w:t>
      </w:r>
      <w:r>
        <w:t xml:space="preserve"> </w:t>
      </w:r>
      <w:r>
        <w:t xml:space="preserve">“Tätigkeitsbereich”</w:t>
      </w:r>
      <w:r>
        <w:t xml:space="preserve"> </w:t>
      </w:r>
      <w:r>
        <w:t xml:space="preserve">den Wert</w:t>
      </w:r>
      <w:r>
        <w:t xml:space="preserve"> </w:t>
      </w:r>
      <w:r>
        <w:t xml:space="preserve">“mit ärztlicher Tätigkeit2 anklicken dann”</w:t>
      </w:r>
      <w:r>
        <w:t xml:space="preserve">Ausgewählte Merkmalsausprägung (ohne übergeordnete)” auswählen, dann</w:t>
      </w:r>
      <w:r>
        <w:t xml:space="preserve"> </w:t>
      </w:r>
      <w:r>
        <w:t xml:space="preserve">“Werte übernehmen”</w:t>
      </w:r>
      <w:r>
        <w:t xml:space="preserve"> </w:t>
      </w:r>
      <w:r>
        <w:t xml:space="preserve">anklicken</w:t>
      </w:r>
      <w:r>
        <w:t xml:space="preserve"> </w:t>
      </w:r>
      <w:r>
        <w:t xml:space="preserve">1. Unter</w:t>
      </w:r>
      <w:r>
        <w:t xml:space="preserve"> </w:t>
      </w:r>
      <w:r>
        <w:t xml:space="preserve">“Merkmal in Zeilen oder Spalten ändern”</w:t>
      </w:r>
      <w:r>
        <w:t xml:space="preserve"> </w:t>
      </w:r>
      <w:r>
        <w:t xml:space="preserve">die folgenden Einstellungen tätigen:</w:t>
      </w:r>
      <w:r>
        <w:t xml:space="preserve"> </w:t>
      </w:r>
      <w:r>
        <w:t xml:space="preserve">“Gebiets-/Facharztbezeichnung”</w:t>
      </w:r>
      <w:r>
        <w:t xml:space="preserve"> </w:t>
      </w:r>
      <w:r>
        <w:t xml:space="preserve">in Zeile;</w:t>
      </w:r>
      <w:r>
        <w:t xml:space="preserve"> </w:t>
      </w:r>
      <w:r>
        <w:t xml:space="preserve">“Geschlecht”</w:t>
      </w:r>
      <w:r>
        <w:t xml:space="preserve"> </w:t>
      </w:r>
      <w:r>
        <w:t xml:space="preserve">in Zeile;</w:t>
      </w:r>
      <w:r>
        <w:t xml:space="preserve"> </w:t>
      </w:r>
      <w:r>
        <w:t xml:space="preserve">“Alter”</w:t>
      </w:r>
      <w:r>
        <w:t xml:space="preserve"> </w:t>
      </w:r>
      <w:r>
        <w:t xml:space="preserve">in Zeile;</w:t>
      </w:r>
      <w:r>
        <w:t xml:space="preserve"> </w:t>
      </w:r>
      <w:r>
        <w:t xml:space="preserve">“Jahr”</w:t>
      </w:r>
      <w:r>
        <w:t xml:space="preserve"> </w:t>
      </w:r>
      <w:r>
        <w:t xml:space="preserve">in Spalte.</w:t>
      </w:r>
      <w:r>
        <w:t xml:space="preserve"> </w:t>
      </w:r>
      <w:r>
        <w:t xml:space="preserve">1. Unter</w:t>
      </w:r>
      <w:r>
        <w:t xml:space="preserve"> </w:t>
      </w:r>
      <w:r>
        <w:t xml:space="preserve">“Auswahl einer neuen Merkmalsausprägung”</w:t>
      </w:r>
      <w:r>
        <w:t xml:space="preserve"> </w:t>
      </w:r>
      <w:r>
        <w:t xml:space="preserve">in der Zeile Tätigkeitsbereich den Punkt:</w:t>
      </w:r>
      <w:r>
        <w:t xml:space="preserve"> </w:t>
      </w:r>
      <w:r>
        <w:t xml:space="preserve">“Mit ärztlicher Tätigkeit”</w:t>
      </w:r>
      <w:r>
        <w:t xml:space="preserve"> </w:t>
      </w:r>
      <w:r>
        <w:t xml:space="preserve">auswählen dann</w:t>
      </w:r>
      <w:r>
        <w:t xml:space="preserve"> </w:t>
      </w:r>
      <w:r>
        <w:t xml:space="preserve">“Blattmerkmale aktualisieren”</w:t>
      </w:r>
      <w:r>
        <w:t xml:space="preserve"> </w:t>
      </w:r>
      <w:r>
        <w:t xml:space="preserve">klicken.</w:t>
      </w:r>
      <w:r>
        <w:t xml:space="preserve"> </w:t>
      </w:r>
      <w:r>
        <w:t xml:space="preserve">1. Abspeichern der Datei als csv mit dem Namen:</w:t>
      </w:r>
      <w:r>
        <w:t xml:space="preserve"> </w:t>
      </w:r>
      <w:r>
        <w:rPr>
          <w:i/>
          <w:iCs/>
        </w:rPr>
        <w:t xml:space="preserve">geschlecht_alter.csv</w:t>
      </w:r>
      <w:r>
        <w:t xml:space="preserve"> </w:t>
      </w:r>
      <w:r>
        <w:t xml:space="preserve">und im Ordner</w:t>
      </w:r>
      <w:r>
        <w:t xml:space="preserve"> </w:t>
      </w:r>
      <w:r>
        <w:t xml:space="preserve">“data”</w:t>
      </w:r>
      <w:r>
        <w:t xml:space="preserve"> </w:t>
      </w:r>
      <w:r>
        <w:t xml:space="preserve">abspeichern</w:t>
      </w:r>
    </w:p>
    <w:bookmarkEnd w:id="25"/>
    <w:bookmarkEnd w:id="26"/>
    <w:bookmarkStart w:id="66" w:name="ergebnisse"/>
    <w:p>
      <w:pPr>
        <w:pStyle w:val="Heading1"/>
      </w:pPr>
      <w:r>
        <w:t xml:space="preserve">Ergebnisse</w:t>
      </w:r>
    </w:p>
    <w:p>
      <w:pPr>
        <w:pStyle w:val="FirstParagraph"/>
      </w:pPr>
      <w:r>
        <w:rPr>
          <w:vertAlign w:val="subscript"/>
        </w:rPr>
        <w:t xml:space="preserve">Quelle:</w:t>
      </w:r>
      <w:r>
        <w:rPr>
          <w:vertAlign w:val="subscript"/>
        </w:rPr>
        <w:t xml:space="preserve"> </w:t>
      </w:r>
      <w:hyperlink r:id="rId22">
        <w:r>
          <w:rPr>
            <w:rStyle w:val="Hyperlink"/>
            <w:vertAlign w:val="subscript"/>
          </w:rPr>
          <w:t xml:space="preserve">Artikel-Notizbuch</w:t>
        </w:r>
      </w:hyperlink>
    </w:p>
    <w:bookmarkStart w:id="32" w:name="änderung-gesamtanzahl"/>
    <w:p>
      <w:pPr>
        <w:pStyle w:val="Heading2"/>
      </w:pPr>
      <w:r>
        <w:t xml:space="preserve">Änderung Gesamtanzahl</w:t>
      </w:r>
    </w:p>
    <w:p>
      <w:pPr>
        <w:pStyle w:val="FirstParagraph"/>
      </w:pPr>
      <w:r>
        <w:t xml:space="preserve">Kummulierte prozentuale Änderung der Anzahl an tätigen Fachärzt/innen von 1998 bis 2023 nach Ärztlicher Tätigkeit unterschieden zwischen Gesamtheit aller Facharztrichtungen, in Behöroden/Körperschaften o.ä. und Öffentliches Gesundheitswesen</w:t>
      </w:r>
    </w:p>
    <w:bookmarkStart w:id="30" w:name="abbildung"/>
    <w:p>
      <w:pPr>
        <w:pStyle w:val="Heading3"/>
      </w:pPr>
      <w:r>
        <w:t xml:space="preserve">Abbildung</w:t>
      </w:r>
    </w:p>
    <w:p>
      <w:pPr>
        <w:pStyle w:val="FirstParagraph"/>
      </w:pPr>
      <w:r>
        <w:drawing>
          <wp:inline>
            <wp:extent cx="5334000" cy="5334000"/>
            <wp:effectExtent b="0" l="0" r="0" t="0"/>
            <wp:docPr descr="" title="" id="28" name="Picture"/>
            <a:graphic>
              <a:graphicData uri="http://schemas.openxmlformats.org/drawingml/2006/picture">
                <pic:pic>
                  <pic:nvPicPr>
                    <pic:cNvPr descr="index_files/figure-docx/Abbildung%201-1.png" id="29"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vertAlign w:val="subscript"/>
        </w:rPr>
        <w:t xml:space="preserve">Quelle:</w:t>
      </w:r>
      <w:r>
        <w:rPr>
          <w:vertAlign w:val="subscript"/>
        </w:rPr>
        <w:t xml:space="preserve"> </w:t>
      </w:r>
      <w:hyperlink r:id="rId22">
        <w:r>
          <w:rPr>
            <w:rStyle w:val="Hyperlink"/>
            <w:vertAlign w:val="subscript"/>
          </w:rPr>
          <w:t xml:space="preserve">Artikel-Notizbuch</w:t>
        </w:r>
      </w:hyperlink>
    </w:p>
    <w:bookmarkEnd w:id="30"/>
    <w:bookmarkStart w:id="31" w:name="anteil-der-fachärztinnen-ögw"/>
    <w:p>
      <w:pPr>
        <w:pStyle w:val="Heading3"/>
      </w:pPr>
      <w:r>
        <w:t xml:space="preserve">Anteil der Fachärzt/innen ÖGW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Tätigkeit</w:t>
            </w:r>
          </w:p>
        </w:tc>
        <w:tc>
          <w:tcPr/>
          <w:p>
            <w:pPr>
              <w:pStyle w:val="Compact"/>
              <w:jc w:val="right"/>
            </w:pPr>
            <w:r>
              <w:t xml:space="preserve">Anzahl im Jahr 2023</w:t>
            </w:r>
          </w:p>
        </w:tc>
      </w:tr>
      <w:tr>
        <w:tc>
          <w:tcPr/>
          <w:p>
            <w:pPr>
              <w:pStyle w:val="Compact"/>
              <w:jc w:val="left"/>
            </w:pPr>
            <w:r>
              <w:t xml:space="preserve">Öffentliches Gesundheitswesen</w:t>
            </w:r>
          </w:p>
        </w:tc>
        <w:tc>
          <w:tcPr/>
          <w:p>
            <w:pPr>
              <w:pStyle w:val="Compact"/>
              <w:jc w:val="right"/>
            </w:pPr>
            <w:r>
              <w:t xml:space="preserve">724</w:t>
            </w:r>
          </w:p>
        </w:tc>
      </w:tr>
      <w:tr>
        <w:tc>
          <w:tcPr/>
          <w:p>
            <w:pPr>
              <w:pStyle w:val="Compact"/>
              <w:jc w:val="left"/>
            </w:pPr>
            <w:r>
              <w:t xml:space="preserve">In Behörden/Körperschaften u. a.</w:t>
            </w:r>
          </w:p>
        </w:tc>
        <w:tc>
          <w:tcPr/>
          <w:p>
            <w:pPr>
              <w:pStyle w:val="Compact"/>
              <w:jc w:val="right"/>
            </w:pPr>
            <w:r>
              <w:t xml:space="preserve">11700</w:t>
            </w:r>
          </w:p>
        </w:tc>
      </w:tr>
      <w:tr>
        <w:tc>
          <w:tcPr/>
          <w:p>
            <w:pPr>
              <w:pStyle w:val="Compact"/>
              <w:jc w:val="left"/>
            </w:pPr>
            <w:r>
              <w:t xml:space="preserve">Gesamt</w:t>
            </w:r>
          </w:p>
        </w:tc>
        <w:tc>
          <w:tcPr/>
          <w:p>
            <w:pPr>
              <w:pStyle w:val="Compact"/>
              <w:jc w:val="right"/>
            </w:pPr>
            <w:r>
              <w:t xml:space="preserve">428417</w:t>
            </w:r>
          </w:p>
        </w:tc>
      </w:tr>
    </w:tbl>
    <w:p>
      <w:pPr>
        <w:pStyle w:val="BodyText"/>
      </w:pPr>
      <w:r>
        <w:rPr>
          <w:vertAlign w:val="subscript"/>
        </w:rPr>
        <w:t xml:space="preserve">Quelle:</w:t>
      </w:r>
      <w:r>
        <w:rPr>
          <w:vertAlign w:val="subscript"/>
        </w:rPr>
        <w:t xml:space="preserve"> </w:t>
      </w:r>
      <w:hyperlink r:id="rId22">
        <w:r>
          <w:rPr>
            <w:rStyle w:val="Hyperlink"/>
            <w:vertAlign w:val="subscript"/>
          </w:rPr>
          <w:t xml:space="preserve">Artikel-Notizbuch</w:t>
        </w:r>
      </w:hyperlink>
    </w:p>
    <w:bookmarkEnd w:id="31"/>
    <w:bookmarkEnd w:id="32"/>
    <w:bookmarkStart w:id="39" w:name="nach-region"/>
    <w:p>
      <w:pPr>
        <w:pStyle w:val="Heading2"/>
      </w:pPr>
      <w:r>
        <w:t xml:space="preserve">Nach Region</w:t>
      </w:r>
    </w:p>
    <w:p>
      <w:pPr>
        <w:pStyle w:val="FirstParagraph"/>
      </w:pPr>
      <w:r>
        <w:t xml:space="preserve">Bei den Ärztekammern registrierte tätigen Fachärt/innen für Öffentliches Gesundheitswesen nach Region von 1998 bis 2023 in Deutschland</w:t>
      </w:r>
    </w:p>
    <w:bookmarkStart w:id="36" w:name="abbildung-1"/>
    <w:p>
      <w:pPr>
        <w:pStyle w:val="Heading3"/>
      </w:pPr>
      <w:r>
        <w:t xml:space="preserve">Abbildung</w:t>
      </w:r>
    </w:p>
    <w:p>
      <w:pPr>
        <w:pStyle w:val="FirstParagraph"/>
      </w:pPr>
      <w:r>
        <w:drawing>
          <wp:inline>
            <wp:extent cx="5334000" cy="5334000"/>
            <wp:effectExtent b="0" l="0" r="0" t="0"/>
            <wp:docPr descr="" title="" id="34" name="Picture"/>
            <a:graphic>
              <a:graphicData uri="http://schemas.openxmlformats.org/drawingml/2006/picture">
                <pic:pic>
                  <pic:nvPicPr>
                    <pic:cNvPr descr="index_files/figure-docx/fig2-1.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vertAlign w:val="subscript"/>
        </w:rPr>
        <w:t xml:space="preserve">Quelle:</w:t>
      </w:r>
      <w:r>
        <w:rPr>
          <w:vertAlign w:val="subscript"/>
        </w:rPr>
        <w:t xml:space="preserve"> </w:t>
      </w:r>
      <w:hyperlink r:id="rId22">
        <w:r>
          <w:rPr>
            <w:rStyle w:val="Hyperlink"/>
            <w:vertAlign w:val="subscript"/>
          </w:rPr>
          <w:t xml:space="preserve">Artikel-Notizbuch</w:t>
        </w:r>
      </w:hyperlink>
    </w:p>
    <w:bookmarkEnd w:id="36"/>
    <w:bookmarkStart w:id="37" w:name="tabelle"/>
    <w:p>
      <w:pPr>
        <w:pStyle w:val="Heading3"/>
      </w:pPr>
      <w:r>
        <w:t xml:space="preserve">Tabelle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Region</w:t>
            </w:r>
          </w:p>
        </w:tc>
        <w:tc>
          <w:tcPr/>
          <w:p>
            <w:pPr>
              <w:pStyle w:val="Compact"/>
              <w:jc w:val="right"/>
            </w:pPr>
            <w:r>
              <w:t xml:space="preserve">1998-12-31</w:t>
            </w:r>
          </w:p>
        </w:tc>
        <w:tc>
          <w:tcPr/>
          <w:p>
            <w:pPr>
              <w:pStyle w:val="Compact"/>
              <w:jc w:val="right"/>
            </w:pPr>
            <w:r>
              <w:t xml:space="preserve">2023-12-31</w:t>
            </w:r>
          </w:p>
        </w:tc>
        <w:tc>
          <w:tcPr/>
          <w:p>
            <w:pPr>
              <w:pStyle w:val="Compact"/>
              <w:jc w:val="right"/>
            </w:pPr>
            <w:r>
              <w:t xml:space="preserve">Verlust in Prozent</w:t>
            </w:r>
          </w:p>
        </w:tc>
      </w:tr>
      <w:tr>
        <w:tc>
          <w:tcPr/>
          <w:p>
            <w:pPr>
              <w:pStyle w:val="Compact"/>
              <w:jc w:val="left"/>
            </w:pPr>
            <w:r>
              <w:t xml:space="preserve">Saarland</w:t>
            </w:r>
          </w:p>
        </w:tc>
        <w:tc>
          <w:tcPr/>
          <w:p>
            <w:pPr>
              <w:pStyle w:val="Compact"/>
              <w:jc w:val="right"/>
            </w:pPr>
            <w:r>
              <w:t xml:space="preserve">16</w:t>
            </w:r>
          </w:p>
        </w:tc>
        <w:tc>
          <w:tcPr/>
          <w:p>
            <w:pPr>
              <w:pStyle w:val="Compact"/>
              <w:jc w:val="right"/>
            </w:pPr>
            <w:r>
              <w:t xml:space="preserve">5</w:t>
            </w:r>
          </w:p>
        </w:tc>
        <w:tc>
          <w:tcPr/>
          <w:p>
            <w:pPr>
              <w:pStyle w:val="Compact"/>
              <w:jc w:val="right"/>
            </w:pPr>
            <w:r>
              <w:t xml:space="preserve">-68.8</w:t>
            </w:r>
          </w:p>
        </w:tc>
      </w:tr>
      <w:tr>
        <w:tc>
          <w:tcPr/>
          <w:p>
            <w:pPr>
              <w:pStyle w:val="Compact"/>
              <w:jc w:val="left"/>
            </w:pPr>
            <w:r>
              <w:t xml:space="preserve">Sachsen-Anhalt</w:t>
            </w:r>
          </w:p>
        </w:tc>
        <w:tc>
          <w:tcPr/>
          <w:p>
            <w:pPr>
              <w:pStyle w:val="Compact"/>
              <w:jc w:val="right"/>
            </w:pPr>
            <w:r>
              <w:t xml:space="preserve">39</w:t>
            </w:r>
          </w:p>
        </w:tc>
        <w:tc>
          <w:tcPr/>
          <w:p>
            <w:pPr>
              <w:pStyle w:val="Compact"/>
              <w:jc w:val="right"/>
            </w:pPr>
            <w:r>
              <w:t xml:space="preserve">14</w:t>
            </w:r>
          </w:p>
        </w:tc>
        <w:tc>
          <w:tcPr/>
          <w:p>
            <w:pPr>
              <w:pStyle w:val="Compact"/>
              <w:jc w:val="right"/>
            </w:pPr>
            <w:r>
              <w:t xml:space="preserve">-64.1</w:t>
            </w:r>
          </w:p>
        </w:tc>
      </w:tr>
      <w:tr>
        <w:tc>
          <w:tcPr/>
          <w:p>
            <w:pPr>
              <w:pStyle w:val="Compact"/>
              <w:jc w:val="left"/>
            </w:pPr>
            <w:r>
              <w:t xml:space="preserve">Thüringen</w:t>
            </w:r>
          </w:p>
        </w:tc>
        <w:tc>
          <w:tcPr/>
          <w:p>
            <w:pPr>
              <w:pStyle w:val="Compact"/>
              <w:jc w:val="right"/>
            </w:pPr>
            <w:r>
              <w:t xml:space="preserve">36</w:t>
            </w:r>
          </w:p>
        </w:tc>
        <w:tc>
          <w:tcPr/>
          <w:p>
            <w:pPr>
              <w:pStyle w:val="Compact"/>
              <w:jc w:val="right"/>
            </w:pPr>
            <w:r>
              <w:t xml:space="preserve">13</w:t>
            </w:r>
          </w:p>
        </w:tc>
        <w:tc>
          <w:tcPr/>
          <w:p>
            <w:pPr>
              <w:pStyle w:val="Compact"/>
              <w:jc w:val="right"/>
            </w:pPr>
            <w:r>
              <w:t xml:space="preserve">-63.9</w:t>
            </w:r>
          </w:p>
        </w:tc>
      </w:tr>
      <w:tr>
        <w:tc>
          <w:tcPr/>
          <w:p>
            <w:pPr>
              <w:pStyle w:val="Compact"/>
              <w:jc w:val="left"/>
            </w:pPr>
            <w:r>
              <w:t xml:space="preserve">Nordrhein-Westfalen</w:t>
            </w:r>
          </w:p>
        </w:tc>
        <w:tc>
          <w:tcPr/>
          <w:p>
            <w:pPr>
              <w:pStyle w:val="Compact"/>
              <w:jc w:val="right"/>
            </w:pPr>
            <w:r>
              <w:t xml:space="preserve">221</w:t>
            </w:r>
          </w:p>
        </w:tc>
        <w:tc>
          <w:tcPr/>
          <w:p>
            <w:pPr>
              <w:pStyle w:val="Compact"/>
              <w:jc w:val="right"/>
            </w:pPr>
            <w:r>
              <w:t xml:space="preserve">100</w:t>
            </w:r>
          </w:p>
        </w:tc>
        <w:tc>
          <w:tcPr/>
          <w:p>
            <w:pPr>
              <w:pStyle w:val="Compact"/>
              <w:jc w:val="right"/>
            </w:pPr>
            <w:r>
              <w:t xml:space="preserve">-54.8</w:t>
            </w:r>
          </w:p>
        </w:tc>
      </w:tr>
      <w:tr>
        <w:tc>
          <w:tcPr/>
          <w:p>
            <w:pPr>
              <w:pStyle w:val="Compact"/>
              <w:jc w:val="left"/>
            </w:pPr>
            <w:r>
              <w:t xml:space="preserve">Schleswig-Holstein</w:t>
            </w:r>
          </w:p>
        </w:tc>
        <w:tc>
          <w:tcPr/>
          <w:p>
            <w:pPr>
              <w:pStyle w:val="Compact"/>
              <w:jc w:val="right"/>
            </w:pPr>
            <w:r>
              <w:t xml:space="preserve">52</w:t>
            </w:r>
          </w:p>
        </w:tc>
        <w:tc>
          <w:tcPr/>
          <w:p>
            <w:pPr>
              <w:pStyle w:val="Compact"/>
              <w:jc w:val="right"/>
            </w:pPr>
            <w:r>
              <w:t xml:space="preserve">27</w:t>
            </w:r>
          </w:p>
        </w:tc>
        <w:tc>
          <w:tcPr/>
          <w:p>
            <w:pPr>
              <w:pStyle w:val="Compact"/>
              <w:jc w:val="right"/>
            </w:pPr>
            <w:r>
              <w:t xml:space="preserve">-48.1</w:t>
            </w:r>
          </w:p>
        </w:tc>
      </w:tr>
      <w:tr>
        <w:tc>
          <w:tcPr/>
          <w:p>
            <w:pPr>
              <w:pStyle w:val="Compact"/>
              <w:jc w:val="left"/>
            </w:pPr>
            <w:r>
              <w:t xml:space="preserve">Mecklenburg-Vorpommern</w:t>
            </w:r>
          </w:p>
        </w:tc>
        <w:tc>
          <w:tcPr/>
          <w:p>
            <w:pPr>
              <w:pStyle w:val="Compact"/>
              <w:jc w:val="right"/>
            </w:pPr>
            <w:r>
              <w:t xml:space="preserve">29</w:t>
            </w:r>
          </w:p>
        </w:tc>
        <w:tc>
          <w:tcPr/>
          <w:p>
            <w:pPr>
              <w:pStyle w:val="Compact"/>
              <w:jc w:val="right"/>
            </w:pPr>
            <w:r>
              <w:t xml:space="preserve">16</w:t>
            </w:r>
          </w:p>
        </w:tc>
        <w:tc>
          <w:tcPr/>
          <w:p>
            <w:pPr>
              <w:pStyle w:val="Compact"/>
              <w:jc w:val="right"/>
            </w:pPr>
            <w:r>
              <w:t xml:space="preserve">-44.8</w:t>
            </w:r>
          </w:p>
        </w:tc>
      </w:tr>
      <w:tr>
        <w:tc>
          <w:tcPr/>
          <w:p>
            <w:pPr>
              <w:pStyle w:val="Compact"/>
              <w:jc w:val="left"/>
            </w:pPr>
            <w:r>
              <w:t xml:space="preserve">Hamburg</w:t>
            </w:r>
          </w:p>
        </w:tc>
        <w:tc>
          <w:tcPr/>
          <w:p>
            <w:pPr>
              <w:pStyle w:val="Compact"/>
              <w:jc w:val="right"/>
            </w:pPr>
            <w:r>
              <w:t xml:space="preserve">27</w:t>
            </w:r>
          </w:p>
        </w:tc>
        <w:tc>
          <w:tcPr/>
          <w:p>
            <w:pPr>
              <w:pStyle w:val="Compact"/>
              <w:jc w:val="right"/>
            </w:pPr>
            <w:r>
              <w:t xml:space="preserve">15</w:t>
            </w:r>
          </w:p>
        </w:tc>
        <w:tc>
          <w:tcPr/>
          <w:p>
            <w:pPr>
              <w:pStyle w:val="Compact"/>
              <w:jc w:val="right"/>
            </w:pPr>
            <w:r>
              <w:t xml:space="preserve">-44.4</w:t>
            </w:r>
          </w:p>
        </w:tc>
      </w:tr>
      <w:tr>
        <w:tc>
          <w:tcPr/>
          <w:p>
            <w:pPr>
              <w:pStyle w:val="Compact"/>
              <w:jc w:val="left"/>
            </w:pPr>
            <w:r>
              <w:t xml:space="preserve">Berlin</w:t>
            </w:r>
          </w:p>
        </w:tc>
        <w:tc>
          <w:tcPr/>
          <w:p>
            <w:pPr>
              <w:pStyle w:val="Compact"/>
              <w:jc w:val="right"/>
            </w:pPr>
            <w:r>
              <w:t xml:space="preserve">59</w:t>
            </w:r>
          </w:p>
        </w:tc>
        <w:tc>
          <w:tcPr/>
          <w:p>
            <w:pPr>
              <w:pStyle w:val="Compact"/>
              <w:jc w:val="right"/>
            </w:pPr>
            <w:r>
              <w:t xml:space="preserve">35</w:t>
            </w:r>
          </w:p>
        </w:tc>
        <w:tc>
          <w:tcPr/>
          <w:p>
            <w:pPr>
              <w:pStyle w:val="Compact"/>
              <w:jc w:val="right"/>
            </w:pPr>
            <w:r>
              <w:t xml:space="preserve">-40.7</w:t>
            </w:r>
          </w:p>
        </w:tc>
      </w:tr>
      <w:tr>
        <w:tc>
          <w:tcPr/>
          <w:p>
            <w:pPr>
              <w:pStyle w:val="Compact"/>
              <w:jc w:val="left"/>
            </w:pPr>
            <w:r>
              <w:t xml:space="preserve">Baden-Württemberg</w:t>
            </w:r>
          </w:p>
        </w:tc>
        <w:tc>
          <w:tcPr/>
          <w:p>
            <w:pPr>
              <w:pStyle w:val="Compact"/>
              <w:jc w:val="right"/>
            </w:pPr>
            <w:r>
              <w:t xml:space="preserve">165</w:t>
            </w:r>
          </w:p>
        </w:tc>
        <w:tc>
          <w:tcPr/>
          <w:p>
            <w:pPr>
              <w:pStyle w:val="Compact"/>
              <w:jc w:val="right"/>
            </w:pPr>
            <w:r>
              <w:t xml:space="preserve">107</w:t>
            </w:r>
          </w:p>
        </w:tc>
        <w:tc>
          <w:tcPr/>
          <w:p>
            <w:pPr>
              <w:pStyle w:val="Compact"/>
              <w:jc w:val="right"/>
            </w:pPr>
            <w:r>
              <w:t xml:space="preserve">-35.2</w:t>
            </w:r>
          </w:p>
        </w:tc>
      </w:tr>
      <w:tr>
        <w:tc>
          <w:tcPr/>
          <w:p>
            <w:pPr>
              <w:pStyle w:val="Compact"/>
              <w:jc w:val="left"/>
            </w:pPr>
            <w:r>
              <w:t xml:space="preserve">Bremen</w:t>
            </w:r>
          </w:p>
        </w:tc>
        <w:tc>
          <w:tcPr/>
          <w:p>
            <w:pPr>
              <w:pStyle w:val="Compact"/>
              <w:jc w:val="right"/>
            </w:pPr>
            <w:r>
              <w:t xml:space="preserve">9</w:t>
            </w:r>
          </w:p>
        </w:tc>
        <w:tc>
          <w:tcPr/>
          <w:p>
            <w:pPr>
              <w:pStyle w:val="Compact"/>
              <w:jc w:val="right"/>
            </w:pPr>
            <w:r>
              <w:t xml:space="preserve">6</w:t>
            </w:r>
          </w:p>
        </w:tc>
        <w:tc>
          <w:tcPr/>
          <w:p>
            <w:pPr>
              <w:pStyle w:val="Compact"/>
              <w:jc w:val="right"/>
            </w:pPr>
            <w:r>
              <w:t xml:space="preserve">-33.3</w:t>
            </w:r>
          </w:p>
        </w:tc>
      </w:tr>
      <w:tr>
        <w:tc>
          <w:tcPr/>
          <w:p>
            <w:pPr>
              <w:pStyle w:val="Compact"/>
              <w:jc w:val="left"/>
            </w:pPr>
            <w:r>
              <w:t xml:space="preserve">Niedersachsen</w:t>
            </w:r>
          </w:p>
        </w:tc>
        <w:tc>
          <w:tcPr/>
          <w:p>
            <w:pPr>
              <w:pStyle w:val="Compact"/>
              <w:jc w:val="right"/>
            </w:pPr>
            <w:r>
              <w:t xml:space="preserve">122</w:t>
            </w:r>
          </w:p>
        </w:tc>
        <w:tc>
          <w:tcPr/>
          <w:p>
            <w:pPr>
              <w:pStyle w:val="Compact"/>
              <w:jc w:val="right"/>
            </w:pPr>
            <w:r>
              <w:t xml:space="preserve">99</w:t>
            </w:r>
          </w:p>
        </w:tc>
        <w:tc>
          <w:tcPr/>
          <w:p>
            <w:pPr>
              <w:pStyle w:val="Compact"/>
              <w:jc w:val="right"/>
            </w:pPr>
            <w:r>
              <w:t xml:space="preserve">-18.9</w:t>
            </w:r>
          </w:p>
        </w:tc>
      </w:tr>
      <w:tr>
        <w:tc>
          <w:tcPr/>
          <w:p>
            <w:pPr>
              <w:pStyle w:val="Compact"/>
              <w:jc w:val="left"/>
            </w:pPr>
            <w:r>
              <w:t xml:space="preserve">Brandenburg</w:t>
            </w:r>
          </w:p>
        </w:tc>
        <w:tc>
          <w:tcPr/>
          <w:p>
            <w:pPr>
              <w:pStyle w:val="Compact"/>
              <w:jc w:val="right"/>
            </w:pPr>
            <w:r>
              <w:t xml:space="preserve">33</w:t>
            </w:r>
          </w:p>
        </w:tc>
        <w:tc>
          <w:tcPr/>
          <w:p>
            <w:pPr>
              <w:pStyle w:val="Compact"/>
              <w:jc w:val="right"/>
            </w:pPr>
            <w:r>
              <w:t xml:space="preserve">28</w:t>
            </w:r>
          </w:p>
        </w:tc>
        <w:tc>
          <w:tcPr/>
          <w:p>
            <w:pPr>
              <w:pStyle w:val="Compact"/>
              <w:jc w:val="right"/>
            </w:pPr>
            <w:r>
              <w:t xml:space="preserve">-15.2</w:t>
            </w:r>
          </w:p>
        </w:tc>
      </w:tr>
      <w:tr>
        <w:tc>
          <w:tcPr/>
          <w:p>
            <w:pPr>
              <w:pStyle w:val="Compact"/>
              <w:jc w:val="left"/>
            </w:pPr>
            <w:r>
              <w:t xml:space="preserve">Rheinland-Pfalz</w:t>
            </w:r>
          </w:p>
        </w:tc>
        <w:tc>
          <w:tcPr/>
          <w:p>
            <w:pPr>
              <w:pStyle w:val="Compact"/>
              <w:jc w:val="right"/>
            </w:pPr>
            <w:r>
              <w:t xml:space="preserve">53</w:t>
            </w:r>
          </w:p>
        </w:tc>
        <w:tc>
          <w:tcPr/>
          <w:p>
            <w:pPr>
              <w:pStyle w:val="Compact"/>
              <w:jc w:val="right"/>
            </w:pPr>
            <w:r>
              <w:t xml:space="preserve">46</w:t>
            </w:r>
          </w:p>
        </w:tc>
        <w:tc>
          <w:tcPr/>
          <w:p>
            <w:pPr>
              <w:pStyle w:val="Compact"/>
              <w:jc w:val="right"/>
            </w:pPr>
            <w:r>
              <w:t xml:space="preserve">-13.2</w:t>
            </w:r>
          </w:p>
        </w:tc>
      </w:tr>
      <w:tr>
        <w:tc>
          <w:tcPr/>
          <w:p>
            <w:pPr>
              <w:pStyle w:val="Compact"/>
              <w:jc w:val="left"/>
            </w:pPr>
            <w:r>
              <w:t xml:space="preserve">Sachsen</w:t>
            </w:r>
          </w:p>
        </w:tc>
        <w:tc>
          <w:tcPr/>
          <w:p>
            <w:pPr>
              <w:pStyle w:val="Compact"/>
              <w:jc w:val="right"/>
            </w:pPr>
            <w:r>
              <w:t xml:space="preserve">50</w:t>
            </w:r>
          </w:p>
        </w:tc>
        <w:tc>
          <w:tcPr/>
          <w:p>
            <w:pPr>
              <w:pStyle w:val="Compact"/>
              <w:jc w:val="right"/>
            </w:pPr>
            <w:r>
              <w:t xml:space="preserve">47</w:t>
            </w:r>
          </w:p>
        </w:tc>
        <w:tc>
          <w:tcPr/>
          <w:p>
            <w:pPr>
              <w:pStyle w:val="Compact"/>
              <w:jc w:val="right"/>
            </w:pPr>
            <w:r>
              <w:t xml:space="preserve">-6.0</w:t>
            </w:r>
          </w:p>
        </w:tc>
      </w:tr>
      <w:tr>
        <w:tc>
          <w:tcPr/>
          <w:p>
            <w:pPr>
              <w:pStyle w:val="Compact"/>
              <w:jc w:val="left"/>
            </w:pPr>
            <w:r>
              <w:t xml:space="preserve">Bayern</w:t>
            </w:r>
          </w:p>
        </w:tc>
        <w:tc>
          <w:tcPr/>
          <w:p>
            <w:pPr>
              <w:pStyle w:val="Compact"/>
              <w:jc w:val="right"/>
            </w:pPr>
            <w:r>
              <w:t xml:space="preserve">99</w:t>
            </w:r>
          </w:p>
        </w:tc>
        <w:tc>
          <w:tcPr/>
          <w:p>
            <w:pPr>
              <w:pStyle w:val="Compact"/>
              <w:jc w:val="right"/>
            </w:pPr>
            <w:r>
              <w:t xml:space="preserve">102</w:t>
            </w:r>
          </w:p>
        </w:tc>
        <w:tc>
          <w:tcPr/>
          <w:p>
            <w:pPr>
              <w:pStyle w:val="Compact"/>
              <w:jc w:val="right"/>
            </w:pPr>
            <w:r>
              <w:t xml:space="preserve">3.0</w:t>
            </w:r>
          </w:p>
        </w:tc>
      </w:tr>
      <w:tr>
        <w:tc>
          <w:tcPr/>
          <w:p>
            <w:pPr>
              <w:pStyle w:val="Compact"/>
              <w:jc w:val="left"/>
            </w:pPr>
            <w:r>
              <w:t xml:space="preserve">Hessen</w:t>
            </w:r>
          </w:p>
        </w:tc>
        <w:tc>
          <w:tcPr/>
          <w:p>
            <w:pPr>
              <w:pStyle w:val="Compact"/>
              <w:jc w:val="right"/>
            </w:pPr>
            <w:r>
              <w:t xml:space="preserve">62</w:t>
            </w:r>
          </w:p>
        </w:tc>
        <w:tc>
          <w:tcPr/>
          <w:p>
            <w:pPr>
              <w:pStyle w:val="Compact"/>
              <w:jc w:val="right"/>
            </w:pPr>
            <w:r>
              <w:t xml:space="preserve">64</w:t>
            </w:r>
          </w:p>
        </w:tc>
        <w:tc>
          <w:tcPr/>
          <w:p>
            <w:pPr>
              <w:pStyle w:val="Compact"/>
              <w:jc w:val="right"/>
            </w:pPr>
            <w:r>
              <w:t xml:space="preserve">3.2</w:t>
            </w:r>
          </w:p>
        </w:tc>
      </w:tr>
    </w:tbl>
    <w:bookmarkEnd w:id="37"/>
    <w:bookmarkStart w:id="38" w:name="tabelle-anzahl-pro-100.000"/>
    <w:p>
      <w:pPr>
        <w:pStyle w:val="Heading3"/>
      </w:pPr>
      <w:r>
        <w:t xml:space="preserve">Tabelle Anzahl pro 100.000</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Region</w:t>
            </w:r>
          </w:p>
        </w:tc>
        <w:tc>
          <w:tcPr/>
          <w:p>
            <w:pPr>
              <w:pStyle w:val="Compact"/>
              <w:jc w:val="right"/>
            </w:pPr>
            <w:r>
              <w:t xml:space="preserve">Anzahl pro 100.000 (2023)</w:t>
            </w:r>
          </w:p>
        </w:tc>
      </w:tr>
      <w:tr>
        <w:tc>
          <w:tcPr/>
          <w:p>
            <w:pPr>
              <w:pStyle w:val="Compact"/>
              <w:jc w:val="left"/>
            </w:pPr>
            <w:r>
              <w:t xml:space="preserve">Saarland</w:t>
            </w:r>
          </w:p>
        </w:tc>
        <w:tc>
          <w:tcPr/>
          <w:p>
            <w:pPr>
              <w:pStyle w:val="Compact"/>
              <w:jc w:val="right"/>
            </w:pPr>
            <w:r>
              <w:t xml:space="preserve">0.50</w:t>
            </w:r>
          </w:p>
        </w:tc>
      </w:tr>
      <w:tr>
        <w:tc>
          <w:tcPr/>
          <w:p>
            <w:pPr>
              <w:pStyle w:val="Compact"/>
              <w:jc w:val="left"/>
            </w:pPr>
            <w:r>
              <w:t xml:space="preserve">Nordrhein-Westfalen</w:t>
            </w:r>
          </w:p>
        </w:tc>
        <w:tc>
          <w:tcPr/>
          <w:p>
            <w:pPr>
              <w:pStyle w:val="Compact"/>
              <w:jc w:val="right"/>
            </w:pPr>
            <w:r>
              <w:t xml:space="preserve">0.55</w:t>
            </w:r>
          </w:p>
        </w:tc>
      </w:tr>
      <w:tr>
        <w:tc>
          <w:tcPr/>
          <w:p>
            <w:pPr>
              <w:pStyle w:val="Compact"/>
              <w:jc w:val="left"/>
            </w:pPr>
            <w:r>
              <w:t xml:space="preserve">Thüringen</w:t>
            </w:r>
          </w:p>
        </w:tc>
        <w:tc>
          <w:tcPr/>
          <w:p>
            <w:pPr>
              <w:pStyle w:val="Compact"/>
              <w:jc w:val="right"/>
            </w:pPr>
            <w:r>
              <w:t xml:space="preserve">0.61</w:t>
            </w:r>
          </w:p>
        </w:tc>
      </w:tr>
      <w:tr>
        <w:tc>
          <w:tcPr/>
          <w:p>
            <w:pPr>
              <w:pStyle w:val="Compact"/>
              <w:jc w:val="left"/>
            </w:pPr>
            <w:r>
              <w:t xml:space="preserve">Sachsen-Anhalt</w:t>
            </w:r>
          </w:p>
        </w:tc>
        <w:tc>
          <w:tcPr/>
          <w:p>
            <w:pPr>
              <w:pStyle w:val="Compact"/>
              <w:jc w:val="right"/>
            </w:pPr>
            <w:r>
              <w:t xml:space="preserve">0.64</w:t>
            </w:r>
          </w:p>
        </w:tc>
      </w:tr>
      <w:tr>
        <w:tc>
          <w:tcPr/>
          <w:p>
            <w:pPr>
              <w:pStyle w:val="Compact"/>
              <w:jc w:val="left"/>
            </w:pPr>
            <w:r>
              <w:t xml:space="preserve">Bayern</w:t>
            </w:r>
          </w:p>
        </w:tc>
        <w:tc>
          <w:tcPr/>
          <w:p>
            <w:pPr>
              <w:pStyle w:val="Compact"/>
              <w:jc w:val="right"/>
            </w:pPr>
            <w:r>
              <w:t xml:space="preserve">0.76</w:t>
            </w:r>
          </w:p>
        </w:tc>
      </w:tr>
      <w:tr>
        <w:tc>
          <w:tcPr/>
          <w:p>
            <w:pPr>
              <w:pStyle w:val="Compact"/>
              <w:jc w:val="left"/>
            </w:pPr>
            <w:r>
              <w:t xml:space="preserve">Hamburg</w:t>
            </w:r>
          </w:p>
        </w:tc>
        <w:tc>
          <w:tcPr/>
          <w:p>
            <w:pPr>
              <w:pStyle w:val="Compact"/>
              <w:jc w:val="right"/>
            </w:pPr>
            <w:r>
              <w:t xml:space="preserve">0.79</w:t>
            </w:r>
          </w:p>
        </w:tc>
      </w:tr>
      <w:tr>
        <w:tc>
          <w:tcPr/>
          <w:p>
            <w:pPr>
              <w:pStyle w:val="Compact"/>
              <w:jc w:val="left"/>
            </w:pPr>
            <w:r>
              <w:t xml:space="preserve">Bremen</w:t>
            </w:r>
          </w:p>
        </w:tc>
        <w:tc>
          <w:tcPr/>
          <w:p>
            <w:pPr>
              <w:pStyle w:val="Compact"/>
              <w:jc w:val="right"/>
            </w:pPr>
            <w:r>
              <w:t xml:space="preserve">0.87</w:t>
            </w:r>
          </w:p>
        </w:tc>
      </w:tr>
      <w:tr>
        <w:tc>
          <w:tcPr/>
          <w:p>
            <w:pPr>
              <w:pStyle w:val="Compact"/>
              <w:jc w:val="left"/>
            </w:pPr>
            <w:r>
              <w:t xml:space="preserve">Schleswig-Holstein</w:t>
            </w:r>
          </w:p>
        </w:tc>
        <w:tc>
          <w:tcPr/>
          <w:p>
            <w:pPr>
              <w:pStyle w:val="Compact"/>
              <w:jc w:val="right"/>
            </w:pPr>
            <w:r>
              <w:t xml:space="preserve">0.91</w:t>
            </w:r>
          </w:p>
        </w:tc>
      </w:tr>
      <w:tr>
        <w:tc>
          <w:tcPr/>
          <w:p>
            <w:pPr>
              <w:pStyle w:val="Compact"/>
              <w:jc w:val="left"/>
            </w:pPr>
            <w:r>
              <w:t xml:space="preserve">Berlin</w:t>
            </w:r>
          </w:p>
        </w:tc>
        <w:tc>
          <w:tcPr/>
          <w:p>
            <w:pPr>
              <w:pStyle w:val="Compact"/>
              <w:jc w:val="right"/>
            </w:pPr>
            <w:r>
              <w:t xml:space="preserve">0.93</w:t>
            </w:r>
          </w:p>
        </w:tc>
      </w:tr>
      <w:tr>
        <w:tc>
          <w:tcPr/>
          <w:p>
            <w:pPr>
              <w:pStyle w:val="Compact"/>
              <w:jc w:val="left"/>
            </w:pPr>
            <w:r>
              <w:t xml:space="preserve">Baden-Württemberg</w:t>
            </w:r>
          </w:p>
        </w:tc>
        <w:tc>
          <w:tcPr/>
          <w:p>
            <w:pPr>
              <w:pStyle w:val="Compact"/>
              <w:jc w:val="right"/>
            </w:pPr>
            <w:r>
              <w:t xml:space="preserve">0.94</w:t>
            </w:r>
          </w:p>
        </w:tc>
      </w:tr>
      <w:tr>
        <w:tc>
          <w:tcPr/>
          <w:p>
            <w:pPr>
              <w:pStyle w:val="Compact"/>
              <w:jc w:val="left"/>
            </w:pPr>
            <w:r>
              <w:t xml:space="preserve">Mecklenburg-Vorpommern</w:t>
            </w:r>
          </w:p>
        </w:tc>
        <w:tc>
          <w:tcPr/>
          <w:p>
            <w:pPr>
              <w:pStyle w:val="Compact"/>
              <w:jc w:val="right"/>
            </w:pPr>
            <w:r>
              <w:t xml:space="preserve">0.98</w:t>
            </w:r>
          </w:p>
        </w:tc>
      </w:tr>
      <w:tr>
        <w:tc>
          <w:tcPr/>
          <w:p>
            <w:pPr>
              <w:pStyle w:val="Compact"/>
              <w:jc w:val="left"/>
            </w:pPr>
            <w:r>
              <w:t xml:space="preserve">Hessen</w:t>
            </w:r>
          </w:p>
        </w:tc>
        <w:tc>
          <w:tcPr/>
          <w:p>
            <w:pPr>
              <w:pStyle w:val="Compact"/>
              <w:jc w:val="right"/>
            </w:pPr>
            <w:r>
              <w:t xml:space="preserve">1.00</w:t>
            </w:r>
          </w:p>
        </w:tc>
      </w:tr>
      <w:tr>
        <w:tc>
          <w:tcPr/>
          <w:p>
            <w:pPr>
              <w:pStyle w:val="Compact"/>
              <w:jc w:val="left"/>
            </w:pPr>
            <w:r>
              <w:t xml:space="preserve">Brandenburg</w:t>
            </w:r>
          </w:p>
        </w:tc>
        <w:tc>
          <w:tcPr/>
          <w:p>
            <w:pPr>
              <w:pStyle w:val="Compact"/>
              <w:jc w:val="right"/>
            </w:pPr>
            <w:r>
              <w:t xml:space="preserve">1.08</w:t>
            </w:r>
          </w:p>
        </w:tc>
      </w:tr>
      <w:tr>
        <w:tc>
          <w:tcPr/>
          <w:p>
            <w:pPr>
              <w:pStyle w:val="Compact"/>
              <w:jc w:val="left"/>
            </w:pPr>
            <w:r>
              <w:t xml:space="preserve">Rheinland-Pfalz</w:t>
            </w:r>
          </w:p>
        </w:tc>
        <w:tc>
          <w:tcPr/>
          <w:p>
            <w:pPr>
              <w:pStyle w:val="Compact"/>
              <w:jc w:val="right"/>
            </w:pPr>
            <w:r>
              <w:t xml:space="preserve">1.10</w:t>
            </w:r>
          </w:p>
        </w:tc>
      </w:tr>
      <w:tr>
        <w:tc>
          <w:tcPr/>
          <w:p>
            <w:pPr>
              <w:pStyle w:val="Compact"/>
              <w:jc w:val="left"/>
            </w:pPr>
            <w:r>
              <w:t xml:space="preserve">Sachsen</w:t>
            </w:r>
          </w:p>
        </w:tc>
        <w:tc>
          <w:tcPr/>
          <w:p>
            <w:pPr>
              <w:pStyle w:val="Compact"/>
              <w:jc w:val="right"/>
            </w:pPr>
            <w:r>
              <w:t xml:space="preserve">1.15</w:t>
            </w:r>
          </w:p>
        </w:tc>
      </w:tr>
      <w:tr>
        <w:tc>
          <w:tcPr/>
          <w:p>
            <w:pPr>
              <w:pStyle w:val="Compact"/>
              <w:jc w:val="left"/>
            </w:pPr>
            <w:r>
              <w:t xml:space="preserve">Niedersachsen</w:t>
            </w:r>
          </w:p>
        </w:tc>
        <w:tc>
          <w:tcPr/>
          <w:p>
            <w:pPr>
              <w:pStyle w:val="Compact"/>
              <w:jc w:val="right"/>
            </w:pPr>
            <w:r>
              <w:t xml:space="preserve">1.21</w:t>
            </w:r>
          </w:p>
        </w:tc>
      </w:tr>
    </w:tbl>
    <w:bookmarkEnd w:id="38"/>
    <w:bookmarkEnd w:id="39"/>
    <w:bookmarkStart w:id="45" w:name="nach-facharztrichtungen"/>
    <w:p>
      <w:pPr>
        <w:pStyle w:val="Heading2"/>
      </w:pPr>
      <w:r>
        <w:t xml:space="preserve">Nach Facharztrichtungen</w:t>
      </w:r>
    </w:p>
    <w:p>
      <w:pPr>
        <w:pStyle w:val="FirstParagraph"/>
      </w:pPr>
      <w:r>
        <w:t xml:space="preserve">Bei den Ärztekammern registrierte tätigen Ärztinnen und Ärzte für ausgewählte Facharztrichtungen in Deutschland zwischen 1998 und 2017</w:t>
      </w:r>
    </w:p>
    <w:bookmarkStart w:id="43" w:name="abbildung-2"/>
    <w:p>
      <w:pPr>
        <w:pStyle w:val="Heading3"/>
      </w:pPr>
      <w:r>
        <w:t xml:space="preserve">Abbildung</w:t>
      </w:r>
    </w:p>
    <w:p>
      <w:pPr>
        <w:pStyle w:val="FirstParagraph"/>
      </w:pPr>
      <w:r>
        <w:drawing>
          <wp:inline>
            <wp:extent cx="5334000" cy="5334000"/>
            <wp:effectExtent b="0" l="0" r="0" t="0"/>
            <wp:docPr descr="" title="" id="41" name="Picture"/>
            <a:graphic>
              <a:graphicData uri="http://schemas.openxmlformats.org/drawingml/2006/picture">
                <pic:pic>
                  <pic:nvPicPr>
                    <pic:cNvPr descr="index_files/figure-docx/unnamed-chunk-3-1.png" id="42"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vertAlign w:val="subscript"/>
        </w:rPr>
        <w:t xml:space="preserve">Quelle:</w:t>
      </w:r>
      <w:r>
        <w:rPr>
          <w:vertAlign w:val="subscript"/>
        </w:rPr>
        <w:t xml:space="preserve"> </w:t>
      </w:r>
      <w:hyperlink r:id="rId22">
        <w:r>
          <w:rPr>
            <w:rStyle w:val="Hyperlink"/>
            <w:vertAlign w:val="subscript"/>
          </w:rPr>
          <w:t xml:space="preserve">Artikel-Notizbuch</w:t>
        </w:r>
      </w:hyperlink>
    </w:p>
    <w:bookmarkEnd w:id="43"/>
    <w:bookmarkStart w:id="44" w:name="tabelle-1"/>
    <w:p>
      <w:pPr>
        <w:pStyle w:val="Heading3"/>
      </w:pPr>
      <w:r>
        <w:t xml:space="preserve">Tabelle</w:t>
      </w:r>
    </w:p>
    <w:tbl>
      <w:tblPr>
        <w:tblStyle w:val="Table"/>
        <w:tblW w:type="pct" w:w="5000"/>
        <w:tblLayout w:type="fixed"/>
        <w:tblLook w:firstRow="1" w:lastRow="0" w:firstColumn="0" w:lastColumn="0" w:noHBand="0" w:noVBand="0" w:val="0020"/>
      </w:tblPr>
      <w:tblGrid>
        <w:gridCol w:w="3245"/>
        <w:gridCol w:w="1298"/>
        <w:gridCol w:w="1298"/>
        <w:gridCol w:w="2077"/>
      </w:tblGrid>
      <w:tr>
        <w:trPr>
          <w:tblHeader w:val="on"/>
        </w:trPr>
        <w:tc>
          <w:tcPr/>
          <w:p>
            <w:pPr>
              <w:pStyle w:val="Compact"/>
              <w:jc w:val="left"/>
            </w:pPr>
            <w:r>
              <w:t xml:space="preserve">Facharzt</w:t>
            </w:r>
          </w:p>
        </w:tc>
        <w:tc>
          <w:tcPr/>
          <w:p>
            <w:pPr>
              <w:pStyle w:val="Compact"/>
              <w:jc w:val="right"/>
            </w:pPr>
            <w:r>
              <w:t xml:space="preserve">Anzahl im Jahr 1998</w:t>
            </w:r>
          </w:p>
        </w:tc>
        <w:tc>
          <w:tcPr/>
          <w:p>
            <w:pPr>
              <w:pStyle w:val="Compact"/>
              <w:jc w:val="right"/>
            </w:pPr>
            <w:r>
              <w:t xml:space="preserve">Anzahl im Jahr 2023</w:t>
            </w:r>
          </w:p>
        </w:tc>
        <w:tc>
          <w:tcPr/>
          <w:p>
            <w:pPr>
              <w:pStyle w:val="Compact"/>
              <w:jc w:val="right"/>
            </w:pPr>
            <w:r>
              <w:t xml:space="preserve">Kumulierte prozentuale Änderung</w:t>
            </w:r>
          </w:p>
        </w:tc>
      </w:tr>
      <w:tr>
        <w:tc>
          <w:tcPr/>
          <w:p>
            <w:pPr>
              <w:pStyle w:val="Compact"/>
              <w:jc w:val="left"/>
            </w:pPr>
            <w:r>
              <w:t xml:space="preserve">Biochemie</w:t>
            </w:r>
          </w:p>
        </w:tc>
        <w:tc>
          <w:tcPr/>
          <w:p>
            <w:pPr>
              <w:pStyle w:val="Compact"/>
              <w:jc w:val="right"/>
            </w:pPr>
            <w:r>
              <w:t xml:space="preserve">93</w:t>
            </w:r>
          </w:p>
        </w:tc>
        <w:tc>
          <w:tcPr/>
          <w:p>
            <w:pPr>
              <w:pStyle w:val="Compact"/>
              <w:jc w:val="right"/>
            </w:pPr>
            <w:r>
              <w:t xml:space="preserve">33</w:t>
            </w:r>
          </w:p>
        </w:tc>
        <w:tc>
          <w:tcPr/>
          <w:p>
            <w:pPr>
              <w:pStyle w:val="Compact"/>
              <w:jc w:val="right"/>
            </w:pPr>
            <w:r>
              <w:t xml:space="preserve">-64.5</w:t>
            </w:r>
          </w:p>
        </w:tc>
      </w:tr>
      <w:tr>
        <w:tc>
          <w:tcPr/>
          <w:p>
            <w:pPr>
              <w:pStyle w:val="Compact"/>
              <w:jc w:val="left"/>
            </w:pPr>
            <w:r>
              <w:t xml:space="preserve">Öffentliches Gesundheitswesen</w:t>
            </w:r>
          </w:p>
        </w:tc>
        <w:tc>
          <w:tcPr/>
          <w:p>
            <w:pPr>
              <w:pStyle w:val="Compact"/>
              <w:jc w:val="right"/>
            </w:pPr>
            <w:r>
              <w:t xml:space="preserve">1072</w:t>
            </w:r>
          </w:p>
        </w:tc>
        <w:tc>
          <w:tcPr/>
          <w:p>
            <w:pPr>
              <w:pStyle w:val="Compact"/>
              <w:jc w:val="right"/>
            </w:pPr>
            <w:r>
              <w:t xml:space="preserve">724</w:t>
            </w:r>
          </w:p>
        </w:tc>
        <w:tc>
          <w:tcPr/>
          <w:p>
            <w:pPr>
              <w:pStyle w:val="Compact"/>
              <w:jc w:val="right"/>
            </w:pPr>
            <w:r>
              <w:t xml:space="preserve">-32.5</w:t>
            </w:r>
          </w:p>
        </w:tc>
      </w:tr>
      <w:tr>
        <w:tc>
          <w:tcPr/>
          <w:p>
            <w:pPr>
              <w:pStyle w:val="Compact"/>
              <w:jc w:val="left"/>
            </w:pPr>
            <w:r>
              <w:t xml:space="preserve">Pharmakologie</w:t>
            </w:r>
          </w:p>
        </w:tc>
        <w:tc>
          <w:tcPr/>
          <w:p>
            <w:pPr>
              <w:pStyle w:val="Compact"/>
              <w:jc w:val="right"/>
            </w:pPr>
            <w:r>
              <w:t xml:space="preserve">492</w:t>
            </w:r>
          </w:p>
        </w:tc>
        <w:tc>
          <w:tcPr/>
          <w:p>
            <w:pPr>
              <w:pStyle w:val="Compact"/>
              <w:jc w:val="right"/>
            </w:pPr>
            <w:r>
              <w:t xml:space="preserve">355</w:t>
            </w:r>
          </w:p>
        </w:tc>
        <w:tc>
          <w:tcPr/>
          <w:p>
            <w:pPr>
              <w:pStyle w:val="Compact"/>
              <w:jc w:val="right"/>
            </w:pPr>
            <w:r>
              <w:t xml:space="preserve">-27.8</w:t>
            </w:r>
          </w:p>
        </w:tc>
      </w:tr>
      <w:tr>
        <w:tc>
          <w:tcPr/>
          <w:p>
            <w:pPr>
              <w:pStyle w:val="Compact"/>
              <w:jc w:val="left"/>
            </w:pPr>
            <w:r>
              <w:t xml:space="preserve">Physiologie</w:t>
            </w:r>
          </w:p>
        </w:tc>
        <w:tc>
          <w:tcPr/>
          <w:p>
            <w:pPr>
              <w:pStyle w:val="Compact"/>
              <w:jc w:val="right"/>
            </w:pPr>
            <w:r>
              <w:t xml:space="preserve">119</w:t>
            </w:r>
          </w:p>
        </w:tc>
        <w:tc>
          <w:tcPr/>
          <w:p>
            <w:pPr>
              <w:pStyle w:val="Compact"/>
              <w:jc w:val="right"/>
            </w:pPr>
            <w:r>
              <w:t xml:space="preserve">87</w:t>
            </w:r>
          </w:p>
        </w:tc>
        <w:tc>
          <w:tcPr/>
          <w:p>
            <w:pPr>
              <w:pStyle w:val="Compact"/>
              <w:jc w:val="right"/>
            </w:pPr>
            <w:r>
              <w:t xml:space="preserve">-26.9</w:t>
            </w:r>
          </w:p>
        </w:tc>
      </w:tr>
      <w:tr>
        <w:tc>
          <w:tcPr/>
          <w:p>
            <w:pPr>
              <w:pStyle w:val="Compact"/>
              <w:jc w:val="left"/>
            </w:pPr>
            <w:r>
              <w:t xml:space="preserve">Anatomie</w:t>
            </w:r>
          </w:p>
        </w:tc>
        <w:tc>
          <w:tcPr/>
          <w:p>
            <w:pPr>
              <w:pStyle w:val="Compact"/>
              <w:jc w:val="right"/>
            </w:pPr>
            <w:r>
              <w:t xml:space="preserve">134</w:t>
            </w:r>
          </w:p>
        </w:tc>
        <w:tc>
          <w:tcPr/>
          <w:p>
            <w:pPr>
              <w:pStyle w:val="Compact"/>
              <w:jc w:val="right"/>
            </w:pPr>
            <w:r>
              <w:t xml:space="preserve">101</w:t>
            </w:r>
          </w:p>
        </w:tc>
        <w:tc>
          <w:tcPr/>
          <w:p>
            <w:pPr>
              <w:pStyle w:val="Compact"/>
              <w:jc w:val="right"/>
            </w:pPr>
            <w:r>
              <w:t xml:space="preserve">-24.6</w:t>
            </w:r>
          </w:p>
        </w:tc>
      </w:tr>
      <w:tr>
        <w:tc>
          <w:tcPr/>
          <w:p>
            <w:pPr>
              <w:pStyle w:val="Compact"/>
              <w:jc w:val="left"/>
            </w:pPr>
            <w:r>
              <w:t xml:space="preserve">Hygiene und Umweltmedizin</w:t>
            </w:r>
          </w:p>
        </w:tc>
        <w:tc>
          <w:tcPr/>
          <w:p>
            <w:pPr>
              <w:pStyle w:val="Compact"/>
              <w:jc w:val="right"/>
            </w:pPr>
            <w:r>
              <w:t xml:space="preserve">289</w:t>
            </w:r>
          </w:p>
        </w:tc>
        <w:tc>
          <w:tcPr/>
          <w:p>
            <w:pPr>
              <w:pStyle w:val="Compact"/>
              <w:jc w:val="right"/>
            </w:pPr>
            <w:r>
              <w:t xml:space="preserve">246</w:t>
            </w:r>
          </w:p>
        </w:tc>
        <w:tc>
          <w:tcPr/>
          <w:p>
            <w:pPr>
              <w:pStyle w:val="Compact"/>
              <w:jc w:val="right"/>
            </w:pPr>
            <w:r>
              <w:t xml:space="preserve">-14.9</w:t>
            </w:r>
          </w:p>
        </w:tc>
      </w:tr>
      <w:tr>
        <w:tc>
          <w:tcPr/>
          <w:p>
            <w:pPr>
              <w:pStyle w:val="Compact"/>
              <w:jc w:val="left"/>
            </w:pPr>
            <w:r>
              <w:t xml:space="preserve">Allgemeinmedizin</w:t>
            </w:r>
          </w:p>
        </w:tc>
        <w:tc>
          <w:tcPr/>
          <w:p>
            <w:pPr>
              <w:pStyle w:val="Compact"/>
              <w:jc w:val="right"/>
            </w:pPr>
            <w:r>
              <w:t xml:space="preserve">35599</w:t>
            </w:r>
          </w:p>
        </w:tc>
        <w:tc>
          <w:tcPr/>
          <w:p>
            <w:pPr>
              <w:pStyle w:val="Compact"/>
              <w:jc w:val="right"/>
            </w:pPr>
            <w:r>
              <w:t xml:space="preserve">44912</w:t>
            </w:r>
          </w:p>
        </w:tc>
        <w:tc>
          <w:tcPr/>
          <w:p>
            <w:pPr>
              <w:pStyle w:val="Compact"/>
              <w:jc w:val="right"/>
            </w:pPr>
            <w:r>
              <w:t xml:space="preserve">26.2</w:t>
            </w:r>
          </w:p>
        </w:tc>
      </w:tr>
      <w:tr>
        <w:tc>
          <w:tcPr/>
          <w:p>
            <w:pPr>
              <w:pStyle w:val="Compact"/>
              <w:jc w:val="left"/>
            </w:pPr>
            <w:r>
              <w:t xml:space="preserve">Hals-Nasen-Ohrenheilkunde</w:t>
            </w:r>
          </w:p>
        </w:tc>
        <w:tc>
          <w:tcPr/>
          <w:p>
            <w:pPr>
              <w:pStyle w:val="Compact"/>
              <w:jc w:val="right"/>
            </w:pPr>
            <w:r>
              <w:t xml:space="preserve">5172</w:t>
            </w:r>
          </w:p>
        </w:tc>
        <w:tc>
          <w:tcPr/>
          <w:p>
            <w:pPr>
              <w:pStyle w:val="Compact"/>
              <w:jc w:val="right"/>
            </w:pPr>
            <w:r>
              <w:t xml:space="preserve">6607</w:t>
            </w:r>
          </w:p>
        </w:tc>
        <w:tc>
          <w:tcPr/>
          <w:p>
            <w:pPr>
              <w:pStyle w:val="Compact"/>
              <w:jc w:val="right"/>
            </w:pPr>
            <w:r>
              <w:t xml:space="preserve">27.7</w:t>
            </w:r>
          </w:p>
        </w:tc>
      </w:tr>
      <w:tr>
        <w:tc>
          <w:tcPr/>
          <w:p>
            <w:pPr>
              <w:pStyle w:val="Compact"/>
              <w:jc w:val="left"/>
            </w:pPr>
            <w:r>
              <w:t xml:space="preserve">Augenheilkunde</w:t>
            </w:r>
          </w:p>
        </w:tc>
        <w:tc>
          <w:tcPr/>
          <w:p>
            <w:pPr>
              <w:pStyle w:val="Compact"/>
              <w:jc w:val="right"/>
            </w:pPr>
            <w:r>
              <w:t xml:space="preserve">6305</w:t>
            </w:r>
          </w:p>
        </w:tc>
        <w:tc>
          <w:tcPr/>
          <w:p>
            <w:pPr>
              <w:pStyle w:val="Compact"/>
              <w:jc w:val="right"/>
            </w:pPr>
            <w:r>
              <w:t xml:space="preserve">8135</w:t>
            </w:r>
          </w:p>
        </w:tc>
        <w:tc>
          <w:tcPr/>
          <w:p>
            <w:pPr>
              <w:pStyle w:val="Compact"/>
              <w:jc w:val="right"/>
            </w:pPr>
            <w:r>
              <w:t xml:space="preserve">29.0</w:t>
            </w:r>
          </w:p>
        </w:tc>
      </w:tr>
      <w:tr>
        <w:tc>
          <w:tcPr/>
          <w:p>
            <w:pPr>
              <w:pStyle w:val="Compact"/>
              <w:jc w:val="left"/>
            </w:pPr>
            <w:r>
              <w:t xml:space="preserve">Laboratoriumsmedizin</w:t>
            </w:r>
          </w:p>
        </w:tc>
        <w:tc>
          <w:tcPr/>
          <w:p>
            <w:pPr>
              <w:pStyle w:val="Compact"/>
              <w:jc w:val="right"/>
            </w:pPr>
            <w:r>
              <w:t xml:space="preserve">924</w:t>
            </w:r>
          </w:p>
        </w:tc>
        <w:tc>
          <w:tcPr/>
          <w:p>
            <w:pPr>
              <w:pStyle w:val="Compact"/>
              <w:jc w:val="right"/>
            </w:pPr>
            <w:r>
              <w:t xml:space="preserve">1206</w:t>
            </w:r>
          </w:p>
        </w:tc>
        <w:tc>
          <w:tcPr/>
          <w:p>
            <w:pPr>
              <w:pStyle w:val="Compact"/>
              <w:jc w:val="right"/>
            </w:pPr>
            <w:r>
              <w:t xml:space="preserve">30.5</w:t>
            </w:r>
          </w:p>
        </w:tc>
      </w:tr>
      <w:tr>
        <w:tc>
          <w:tcPr/>
          <w:p>
            <w:pPr>
              <w:pStyle w:val="Compact"/>
              <w:jc w:val="left"/>
            </w:pPr>
            <w:r>
              <w:t xml:space="preserve">Rechtsmedizin</w:t>
            </w:r>
          </w:p>
        </w:tc>
        <w:tc>
          <w:tcPr/>
          <w:p>
            <w:pPr>
              <w:pStyle w:val="Compact"/>
              <w:jc w:val="right"/>
            </w:pPr>
            <w:r>
              <w:t xml:space="preserve">220</w:t>
            </w:r>
          </w:p>
        </w:tc>
        <w:tc>
          <w:tcPr/>
          <w:p>
            <w:pPr>
              <w:pStyle w:val="Compact"/>
              <w:jc w:val="right"/>
            </w:pPr>
            <w:r>
              <w:t xml:space="preserve">298</w:t>
            </w:r>
          </w:p>
        </w:tc>
        <w:tc>
          <w:tcPr/>
          <w:p>
            <w:pPr>
              <w:pStyle w:val="Compact"/>
              <w:jc w:val="right"/>
            </w:pPr>
            <w:r>
              <w:t xml:space="preserve">35.5</w:t>
            </w:r>
          </w:p>
        </w:tc>
      </w:tr>
      <w:tr>
        <w:tc>
          <w:tcPr/>
          <w:p>
            <w:pPr>
              <w:pStyle w:val="Compact"/>
              <w:jc w:val="left"/>
            </w:pPr>
            <w:r>
              <w:t xml:space="preserve">Frauenheilkunde und Geburtshilfe</w:t>
            </w:r>
          </w:p>
        </w:tc>
        <w:tc>
          <w:tcPr/>
          <w:p>
            <w:pPr>
              <w:pStyle w:val="Compact"/>
              <w:jc w:val="right"/>
            </w:pPr>
            <w:r>
              <w:t xml:space="preserve">14327</w:t>
            </w:r>
          </w:p>
        </w:tc>
        <w:tc>
          <w:tcPr/>
          <w:p>
            <w:pPr>
              <w:pStyle w:val="Compact"/>
              <w:jc w:val="right"/>
            </w:pPr>
            <w:r>
              <w:t xml:space="preserve">19530</w:t>
            </w:r>
          </w:p>
        </w:tc>
        <w:tc>
          <w:tcPr/>
          <w:p>
            <w:pPr>
              <w:pStyle w:val="Compact"/>
              <w:jc w:val="right"/>
            </w:pPr>
            <w:r>
              <w:t xml:space="preserve">36.3</w:t>
            </w:r>
          </w:p>
        </w:tc>
      </w:tr>
      <w:tr>
        <w:tc>
          <w:tcPr/>
          <w:p>
            <w:pPr>
              <w:pStyle w:val="Compact"/>
              <w:jc w:val="left"/>
            </w:pPr>
            <w:r>
              <w:t xml:space="preserve">Psychosomatische Medizin und Psychotherapie</w:t>
            </w:r>
          </w:p>
        </w:tc>
        <w:tc>
          <w:tcPr/>
          <w:p>
            <w:pPr>
              <w:pStyle w:val="Compact"/>
              <w:jc w:val="right"/>
            </w:pPr>
            <w:r>
              <w:t xml:space="preserve">2872</w:t>
            </w:r>
          </w:p>
        </w:tc>
        <w:tc>
          <w:tcPr/>
          <w:p>
            <w:pPr>
              <w:pStyle w:val="Compact"/>
              <w:jc w:val="right"/>
            </w:pPr>
            <w:r>
              <w:t xml:space="preserve">4046</w:t>
            </w:r>
          </w:p>
        </w:tc>
        <w:tc>
          <w:tcPr/>
          <w:p>
            <w:pPr>
              <w:pStyle w:val="Compact"/>
              <w:jc w:val="right"/>
            </w:pPr>
            <w:r>
              <w:t xml:space="preserve">40.9</w:t>
            </w:r>
          </w:p>
        </w:tc>
      </w:tr>
      <w:tr>
        <w:tc>
          <w:tcPr/>
          <w:p>
            <w:pPr>
              <w:pStyle w:val="Compact"/>
              <w:jc w:val="left"/>
            </w:pPr>
            <w:r>
              <w:t xml:space="preserve">Mikrobiologie, Virologie, Infektionsepidemiologie</w:t>
            </w:r>
          </w:p>
        </w:tc>
        <w:tc>
          <w:tcPr/>
          <w:p>
            <w:pPr>
              <w:pStyle w:val="Compact"/>
              <w:jc w:val="right"/>
            </w:pPr>
            <w:r>
              <w:t xml:space="preserve">587</w:t>
            </w:r>
          </w:p>
        </w:tc>
        <w:tc>
          <w:tcPr/>
          <w:p>
            <w:pPr>
              <w:pStyle w:val="Compact"/>
              <w:jc w:val="right"/>
            </w:pPr>
            <w:r>
              <w:t xml:space="preserve">845</w:t>
            </w:r>
          </w:p>
        </w:tc>
        <w:tc>
          <w:tcPr/>
          <w:p>
            <w:pPr>
              <w:pStyle w:val="Compact"/>
              <w:jc w:val="right"/>
            </w:pPr>
            <w:r>
              <w:t xml:space="preserve">44.0</w:t>
            </w:r>
          </w:p>
        </w:tc>
      </w:tr>
      <w:tr>
        <w:tc>
          <w:tcPr/>
          <w:p>
            <w:pPr>
              <w:pStyle w:val="Compact"/>
              <w:jc w:val="left"/>
            </w:pPr>
            <w:r>
              <w:t xml:space="preserve">Pathologie</w:t>
            </w:r>
          </w:p>
        </w:tc>
        <w:tc>
          <w:tcPr/>
          <w:p>
            <w:pPr>
              <w:pStyle w:val="Compact"/>
              <w:jc w:val="right"/>
            </w:pPr>
            <w:r>
              <w:t xml:space="preserve">1314</w:t>
            </w:r>
          </w:p>
        </w:tc>
        <w:tc>
          <w:tcPr/>
          <w:p>
            <w:pPr>
              <w:pStyle w:val="Compact"/>
              <w:jc w:val="right"/>
            </w:pPr>
            <w:r>
              <w:t xml:space="preserve">1892</w:t>
            </w:r>
          </w:p>
        </w:tc>
        <w:tc>
          <w:tcPr/>
          <w:p>
            <w:pPr>
              <w:pStyle w:val="Compact"/>
              <w:jc w:val="right"/>
            </w:pPr>
            <w:r>
              <w:t xml:space="preserve">44.0</w:t>
            </w:r>
          </w:p>
        </w:tc>
      </w:tr>
      <w:tr>
        <w:tc>
          <w:tcPr/>
          <w:p>
            <w:pPr>
              <w:pStyle w:val="Compact"/>
              <w:jc w:val="left"/>
            </w:pPr>
            <w:r>
              <w:t xml:space="preserve">Physikalische und Rehabilitative Medizin</w:t>
            </w:r>
          </w:p>
        </w:tc>
        <w:tc>
          <w:tcPr/>
          <w:p>
            <w:pPr>
              <w:pStyle w:val="Compact"/>
              <w:jc w:val="right"/>
            </w:pPr>
            <w:r>
              <w:t xml:space="preserve">1303</w:t>
            </w:r>
          </w:p>
        </w:tc>
        <w:tc>
          <w:tcPr/>
          <w:p>
            <w:pPr>
              <w:pStyle w:val="Compact"/>
              <w:jc w:val="right"/>
            </w:pPr>
            <w:r>
              <w:t xml:space="preserve">1879</w:t>
            </w:r>
          </w:p>
        </w:tc>
        <w:tc>
          <w:tcPr/>
          <w:p>
            <w:pPr>
              <w:pStyle w:val="Compact"/>
              <w:jc w:val="right"/>
            </w:pPr>
            <w:r>
              <w:t xml:space="preserve">44.2</w:t>
            </w:r>
          </w:p>
        </w:tc>
      </w:tr>
      <w:tr>
        <w:tc>
          <w:tcPr/>
          <w:p>
            <w:pPr>
              <w:pStyle w:val="Compact"/>
              <w:jc w:val="left"/>
            </w:pPr>
            <w:r>
              <w:t xml:space="preserve">Transfusionsmedizin</w:t>
            </w:r>
          </w:p>
        </w:tc>
        <w:tc>
          <w:tcPr/>
          <w:p>
            <w:pPr>
              <w:pStyle w:val="Compact"/>
              <w:jc w:val="right"/>
            </w:pPr>
            <w:r>
              <w:t xml:space="preserve">381</w:t>
            </w:r>
          </w:p>
        </w:tc>
        <w:tc>
          <w:tcPr/>
          <w:p>
            <w:pPr>
              <w:pStyle w:val="Compact"/>
              <w:jc w:val="right"/>
            </w:pPr>
            <w:r>
              <w:t xml:space="preserve">551</w:t>
            </w:r>
          </w:p>
        </w:tc>
        <w:tc>
          <w:tcPr/>
          <w:p>
            <w:pPr>
              <w:pStyle w:val="Compact"/>
              <w:jc w:val="right"/>
            </w:pPr>
            <w:r>
              <w:t xml:space="preserve">44.6</w:t>
            </w:r>
          </w:p>
        </w:tc>
      </w:tr>
      <w:tr>
        <w:tc>
          <w:tcPr/>
          <w:p>
            <w:pPr>
              <w:pStyle w:val="Compact"/>
              <w:jc w:val="left"/>
            </w:pPr>
            <w:r>
              <w:t xml:space="preserve">Haut- und Geschlechtskrankheiten</w:t>
            </w:r>
          </w:p>
        </w:tc>
        <w:tc>
          <w:tcPr/>
          <w:p>
            <w:pPr>
              <w:pStyle w:val="Compact"/>
              <w:jc w:val="right"/>
            </w:pPr>
            <w:r>
              <w:t xml:space="preserve">4429</w:t>
            </w:r>
          </w:p>
        </w:tc>
        <w:tc>
          <w:tcPr/>
          <w:p>
            <w:pPr>
              <w:pStyle w:val="Compact"/>
              <w:jc w:val="right"/>
            </w:pPr>
            <w:r>
              <w:t xml:space="preserve">6511</w:t>
            </w:r>
          </w:p>
        </w:tc>
        <w:tc>
          <w:tcPr/>
          <w:p>
            <w:pPr>
              <w:pStyle w:val="Compact"/>
              <w:jc w:val="right"/>
            </w:pPr>
            <w:r>
              <w:t xml:space="preserve">47.0</w:t>
            </w:r>
          </w:p>
        </w:tc>
      </w:tr>
      <w:tr>
        <w:tc>
          <w:tcPr/>
          <w:p>
            <w:pPr>
              <w:pStyle w:val="Compact"/>
              <w:jc w:val="left"/>
            </w:pPr>
            <w:r>
              <w:t xml:space="preserve">Kinder- und Jugendmedizin</w:t>
            </w:r>
          </w:p>
        </w:tc>
        <w:tc>
          <w:tcPr/>
          <w:p>
            <w:pPr>
              <w:pStyle w:val="Compact"/>
              <w:jc w:val="right"/>
            </w:pPr>
            <w:r>
              <w:t xml:space="preserve">11044</w:t>
            </w:r>
          </w:p>
        </w:tc>
        <w:tc>
          <w:tcPr/>
          <w:p>
            <w:pPr>
              <w:pStyle w:val="Compact"/>
              <w:jc w:val="right"/>
            </w:pPr>
            <w:r>
              <w:t xml:space="preserve">16802</w:t>
            </w:r>
          </w:p>
        </w:tc>
        <w:tc>
          <w:tcPr/>
          <w:p>
            <w:pPr>
              <w:pStyle w:val="Compact"/>
              <w:jc w:val="right"/>
            </w:pPr>
            <w:r>
              <w:t xml:space="preserve">52.1</w:t>
            </w:r>
          </w:p>
        </w:tc>
      </w:tr>
      <w:tr>
        <w:tc>
          <w:tcPr/>
          <w:p>
            <w:pPr>
              <w:pStyle w:val="Compact"/>
              <w:jc w:val="left"/>
            </w:pPr>
            <w:r>
              <w:t xml:space="preserve">Arbeitsmedizin</w:t>
            </w:r>
          </w:p>
        </w:tc>
        <w:tc>
          <w:tcPr/>
          <w:p>
            <w:pPr>
              <w:pStyle w:val="Compact"/>
              <w:jc w:val="right"/>
            </w:pPr>
            <w:r>
              <w:t xml:space="preserve">2614</w:t>
            </w:r>
          </w:p>
        </w:tc>
        <w:tc>
          <w:tcPr/>
          <w:p>
            <w:pPr>
              <w:pStyle w:val="Compact"/>
              <w:jc w:val="right"/>
            </w:pPr>
            <w:r>
              <w:t xml:space="preserve">4101</w:t>
            </w:r>
          </w:p>
        </w:tc>
        <w:tc>
          <w:tcPr/>
          <w:p>
            <w:pPr>
              <w:pStyle w:val="Compact"/>
              <w:jc w:val="right"/>
            </w:pPr>
            <w:r>
              <w:t xml:space="preserve">56.9</w:t>
            </w:r>
          </w:p>
        </w:tc>
      </w:tr>
      <w:tr>
        <w:tc>
          <w:tcPr/>
          <w:p>
            <w:pPr>
              <w:pStyle w:val="Compact"/>
              <w:jc w:val="left"/>
            </w:pPr>
            <w:r>
              <w:t xml:space="preserve">Urologie</w:t>
            </w:r>
          </w:p>
        </w:tc>
        <w:tc>
          <w:tcPr/>
          <w:p>
            <w:pPr>
              <w:pStyle w:val="Compact"/>
              <w:jc w:val="right"/>
            </w:pPr>
            <w:r>
              <w:t xml:space="preserve">4186</w:t>
            </w:r>
          </w:p>
        </w:tc>
        <w:tc>
          <w:tcPr/>
          <w:p>
            <w:pPr>
              <w:pStyle w:val="Compact"/>
              <w:jc w:val="right"/>
            </w:pPr>
            <w:r>
              <w:t xml:space="preserve">6624</w:t>
            </w:r>
          </w:p>
        </w:tc>
        <w:tc>
          <w:tcPr/>
          <w:p>
            <w:pPr>
              <w:pStyle w:val="Compact"/>
              <w:jc w:val="right"/>
            </w:pPr>
            <w:r>
              <w:t xml:space="preserve">58.2</w:t>
            </w:r>
          </w:p>
        </w:tc>
      </w:tr>
      <w:tr>
        <w:tc>
          <w:tcPr/>
          <w:p>
            <w:pPr>
              <w:pStyle w:val="Compact"/>
              <w:jc w:val="left"/>
            </w:pPr>
            <w:r>
              <w:t xml:space="preserve">Nuklearmedizin</w:t>
            </w:r>
          </w:p>
        </w:tc>
        <w:tc>
          <w:tcPr/>
          <w:p>
            <w:pPr>
              <w:pStyle w:val="Compact"/>
              <w:jc w:val="right"/>
            </w:pPr>
            <w:r>
              <w:t xml:space="preserve">724</w:t>
            </w:r>
          </w:p>
        </w:tc>
        <w:tc>
          <w:tcPr/>
          <w:p>
            <w:pPr>
              <w:pStyle w:val="Compact"/>
              <w:jc w:val="right"/>
            </w:pPr>
            <w:r>
              <w:t xml:space="preserve">1240</w:t>
            </w:r>
          </w:p>
        </w:tc>
        <w:tc>
          <w:tcPr/>
          <w:p>
            <w:pPr>
              <w:pStyle w:val="Compact"/>
              <w:jc w:val="right"/>
            </w:pPr>
            <w:r>
              <w:t xml:space="preserve">71.3</w:t>
            </w:r>
          </w:p>
        </w:tc>
      </w:tr>
      <w:tr>
        <w:tc>
          <w:tcPr/>
          <w:p>
            <w:pPr>
              <w:pStyle w:val="Compact"/>
              <w:jc w:val="left"/>
            </w:pPr>
            <w:r>
              <w:t xml:space="preserve">Radiologie</w:t>
            </w:r>
          </w:p>
        </w:tc>
        <w:tc>
          <w:tcPr/>
          <w:p>
            <w:pPr>
              <w:pStyle w:val="Compact"/>
              <w:jc w:val="right"/>
            </w:pPr>
            <w:r>
              <w:t xml:space="preserve">5725</w:t>
            </w:r>
          </w:p>
        </w:tc>
        <w:tc>
          <w:tcPr/>
          <w:p>
            <w:pPr>
              <w:pStyle w:val="Compact"/>
              <w:jc w:val="right"/>
            </w:pPr>
            <w:r>
              <w:t xml:space="preserve">9938</w:t>
            </w:r>
          </w:p>
        </w:tc>
        <w:tc>
          <w:tcPr/>
          <w:p>
            <w:pPr>
              <w:pStyle w:val="Compact"/>
              <w:jc w:val="right"/>
            </w:pPr>
            <w:r>
              <w:t xml:space="preserve">73.6</w:t>
            </w:r>
          </w:p>
        </w:tc>
      </w:tr>
      <w:tr>
        <w:tc>
          <w:tcPr/>
          <w:p>
            <w:pPr>
              <w:pStyle w:val="Compact"/>
              <w:jc w:val="left"/>
            </w:pPr>
            <w:r>
              <w:t xml:space="preserve">Chirurgie</w:t>
            </w:r>
          </w:p>
        </w:tc>
        <w:tc>
          <w:tcPr/>
          <w:p>
            <w:pPr>
              <w:pStyle w:val="Compact"/>
              <w:jc w:val="right"/>
            </w:pPr>
            <w:r>
              <w:t xml:space="preserve">23113</w:t>
            </w:r>
          </w:p>
        </w:tc>
        <w:tc>
          <w:tcPr/>
          <w:p>
            <w:pPr>
              <w:pStyle w:val="Compact"/>
              <w:jc w:val="right"/>
            </w:pPr>
            <w:r>
              <w:t xml:space="preserve">41233</w:t>
            </w:r>
          </w:p>
        </w:tc>
        <w:tc>
          <w:tcPr/>
          <w:p>
            <w:pPr>
              <w:pStyle w:val="Compact"/>
              <w:jc w:val="right"/>
            </w:pPr>
            <w:r>
              <w:t xml:space="preserve">78.4</w:t>
            </w:r>
          </w:p>
        </w:tc>
      </w:tr>
      <w:tr>
        <w:tc>
          <w:tcPr/>
          <w:p>
            <w:pPr>
              <w:pStyle w:val="Compact"/>
              <w:jc w:val="left"/>
            </w:pPr>
            <w:r>
              <w:t xml:space="preserve">Innere Medizin</w:t>
            </w:r>
          </w:p>
        </w:tc>
        <w:tc>
          <w:tcPr/>
          <w:p>
            <w:pPr>
              <w:pStyle w:val="Compact"/>
              <w:jc w:val="right"/>
            </w:pPr>
            <w:r>
              <w:t xml:space="preserve">34653</w:t>
            </w:r>
          </w:p>
        </w:tc>
        <w:tc>
          <w:tcPr/>
          <w:p>
            <w:pPr>
              <w:pStyle w:val="Compact"/>
              <w:jc w:val="right"/>
            </w:pPr>
            <w:r>
              <w:t xml:space="preserve">61899</w:t>
            </w:r>
          </w:p>
        </w:tc>
        <w:tc>
          <w:tcPr/>
          <w:p>
            <w:pPr>
              <w:pStyle w:val="Compact"/>
              <w:jc w:val="right"/>
            </w:pPr>
            <w:r>
              <w:t xml:space="preserve">78.6</w:t>
            </w:r>
          </w:p>
        </w:tc>
      </w:tr>
      <w:tr>
        <w:tc>
          <w:tcPr/>
          <w:p>
            <w:pPr>
              <w:pStyle w:val="Compact"/>
              <w:jc w:val="left"/>
            </w:pPr>
            <w:r>
              <w:t xml:space="preserve">Mund-Kiefer-Gesichtschirurgie</w:t>
            </w:r>
          </w:p>
        </w:tc>
        <w:tc>
          <w:tcPr/>
          <w:p>
            <w:pPr>
              <w:pStyle w:val="Compact"/>
              <w:jc w:val="right"/>
            </w:pPr>
            <w:r>
              <w:t xml:space="preserve">1048</w:t>
            </w:r>
          </w:p>
        </w:tc>
        <w:tc>
          <w:tcPr/>
          <w:p>
            <w:pPr>
              <w:pStyle w:val="Compact"/>
              <w:jc w:val="right"/>
            </w:pPr>
            <w:r>
              <w:t xml:space="preserve">1903</w:t>
            </w:r>
          </w:p>
        </w:tc>
        <w:tc>
          <w:tcPr/>
          <w:p>
            <w:pPr>
              <w:pStyle w:val="Compact"/>
              <w:jc w:val="right"/>
            </w:pPr>
            <w:r>
              <w:t xml:space="preserve">81.6</w:t>
            </w:r>
          </w:p>
        </w:tc>
      </w:tr>
      <w:tr>
        <w:tc>
          <w:tcPr/>
          <w:p>
            <w:pPr>
              <w:pStyle w:val="Compact"/>
              <w:jc w:val="left"/>
            </w:pPr>
            <w:r>
              <w:t xml:space="preserve">Anästhesiologie</w:t>
            </w:r>
          </w:p>
        </w:tc>
        <w:tc>
          <w:tcPr/>
          <w:p>
            <w:pPr>
              <w:pStyle w:val="Compact"/>
              <w:jc w:val="right"/>
            </w:pPr>
            <w:r>
              <w:t xml:space="preserve">13779</w:t>
            </w:r>
          </w:p>
        </w:tc>
        <w:tc>
          <w:tcPr/>
          <w:p>
            <w:pPr>
              <w:pStyle w:val="Compact"/>
              <w:jc w:val="right"/>
            </w:pPr>
            <w:r>
              <w:t xml:space="preserve">27572</w:t>
            </w:r>
          </w:p>
        </w:tc>
        <w:tc>
          <w:tcPr/>
          <w:p>
            <w:pPr>
              <w:pStyle w:val="Compact"/>
              <w:jc w:val="right"/>
            </w:pPr>
            <w:r>
              <w:t xml:space="preserve">100.1</w:t>
            </w:r>
          </w:p>
        </w:tc>
      </w:tr>
      <w:tr>
        <w:tc>
          <w:tcPr/>
          <w:p>
            <w:pPr>
              <w:pStyle w:val="Compact"/>
              <w:jc w:val="left"/>
            </w:pPr>
            <w:r>
              <w:t xml:space="preserve">Humangenetik</w:t>
            </w:r>
          </w:p>
        </w:tc>
        <w:tc>
          <w:tcPr/>
          <w:p>
            <w:pPr>
              <w:pStyle w:val="Compact"/>
              <w:jc w:val="right"/>
            </w:pPr>
            <w:r>
              <w:t xml:space="preserve">151</w:t>
            </w:r>
          </w:p>
        </w:tc>
        <w:tc>
          <w:tcPr/>
          <w:p>
            <w:pPr>
              <w:pStyle w:val="Compact"/>
              <w:jc w:val="right"/>
            </w:pPr>
            <w:r>
              <w:t xml:space="preserve">410</w:t>
            </w:r>
          </w:p>
        </w:tc>
        <w:tc>
          <w:tcPr/>
          <w:p>
            <w:pPr>
              <w:pStyle w:val="Compact"/>
              <w:jc w:val="right"/>
            </w:pPr>
            <w:r>
              <w:t xml:space="preserve">171.5</w:t>
            </w:r>
          </w:p>
        </w:tc>
      </w:tr>
      <w:tr>
        <w:tc>
          <w:tcPr/>
          <w:p>
            <w:pPr>
              <w:pStyle w:val="Compact"/>
              <w:jc w:val="left"/>
            </w:pPr>
            <w:r>
              <w:t xml:space="preserve">Neurochirurgie</w:t>
            </w:r>
          </w:p>
        </w:tc>
        <w:tc>
          <w:tcPr/>
          <w:p>
            <w:pPr>
              <w:pStyle w:val="Compact"/>
              <w:jc w:val="right"/>
            </w:pPr>
            <w:r>
              <w:t xml:space="preserve">867</w:t>
            </w:r>
          </w:p>
        </w:tc>
        <w:tc>
          <w:tcPr/>
          <w:p>
            <w:pPr>
              <w:pStyle w:val="Compact"/>
              <w:jc w:val="right"/>
            </w:pPr>
            <w:r>
              <w:t xml:space="preserve">2713</w:t>
            </w:r>
          </w:p>
        </w:tc>
        <w:tc>
          <w:tcPr/>
          <w:p>
            <w:pPr>
              <w:pStyle w:val="Compact"/>
              <w:jc w:val="right"/>
            </w:pPr>
            <w:r>
              <w:t xml:space="preserve">212.9</w:t>
            </w:r>
          </w:p>
        </w:tc>
      </w:tr>
      <w:tr>
        <w:tc>
          <w:tcPr/>
          <w:p>
            <w:pPr>
              <w:pStyle w:val="Compact"/>
              <w:jc w:val="left"/>
            </w:pPr>
            <w:r>
              <w:t xml:space="preserve">Kinder- und Jugendpsychiatrie und -psychotherapie</w:t>
            </w:r>
          </w:p>
        </w:tc>
        <w:tc>
          <w:tcPr/>
          <w:p>
            <w:pPr>
              <w:pStyle w:val="Compact"/>
              <w:jc w:val="right"/>
            </w:pPr>
            <w:r>
              <w:t xml:space="preserve">910</w:t>
            </w:r>
          </w:p>
        </w:tc>
        <w:tc>
          <w:tcPr/>
          <w:p>
            <w:pPr>
              <w:pStyle w:val="Compact"/>
              <w:jc w:val="right"/>
            </w:pPr>
            <w:r>
              <w:t xml:space="preserve">2855</w:t>
            </w:r>
          </w:p>
        </w:tc>
        <w:tc>
          <w:tcPr/>
          <w:p>
            <w:pPr>
              <w:pStyle w:val="Compact"/>
              <w:jc w:val="right"/>
            </w:pPr>
            <w:r>
              <w:t xml:space="preserve">213.7</w:t>
            </w:r>
          </w:p>
        </w:tc>
      </w:tr>
      <w:tr>
        <w:tc>
          <w:tcPr/>
          <w:p>
            <w:pPr>
              <w:pStyle w:val="Compact"/>
              <w:jc w:val="left"/>
            </w:pPr>
            <w:r>
              <w:t xml:space="preserve">Psychiatrie und Psychotherapie</w:t>
            </w:r>
          </w:p>
        </w:tc>
        <w:tc>
          <w:tcPr/>
          <w:p>
            <w:pPr>
              <w:pStyle w:val="Compact"/>
              <w:jc w:val="right"/>
            </w:pPr>
            <w:r>
              <w:t xml:space="preserve">3760</w:t>
            </w:r>
          </w:p>
        </w:tc>
        <w:tc>
          <w:tcPr/>
          <w:p>
            <w:pPr>
              <w:pStyle w:val="Compact"/>
              <w:jc w:val="right"/>
            </w:pPr>
            <w:r>
              <w:t xml:space="preserve">12957</w:t>
            </w:r>
          </w:p>
        </w:tc>
        <w:tc>
          <w:tcPr/>
          <w:p>
            <w:pPr>
              <w:pStyle w:val="Compact"/>
              <w:jc w:val="right"/>
            </w:pPr>
            <w:r>
              <w:t xml:space="preserve">244.6</w:t>
            </w:r>
          </w:p>
        </w:tc>
      </w:tr>
      <w:tr>
        <w:tc>
          <w:tcPr/>
          <w:p>
            <w:pPr>
              <w:pStyle w:val="Compact"/>
              <w:jc w:val="left"/>
            </w:pPr>
            <w:r>
              <w:t xml:space="preserve">Strahlentherapie</w:t>
            </w:r>
          </w:p>
        </w:tc>
        <w:tc>
          <w:tcPr/>
          <w:p>
            <w:pPr>
              <w:pStyle w:val="Compact"/>
              <w:jc w:val="right"/>
            </w:pPr>
            <w:r>
              <w:t xml:space="preserve">457</w:t>
            </w:r>
          </w:p>
        </w:tc>
        <w:tc>
          <w:tcPr/>
          <w:p>
            <w:pPr>
              <w:pStyle w:val="Compact"/>
              <w:jc w:val="right"/>
            </w:pPr>
            <w:r>
              <w:t xml:space="preserve">1609</w:t>
            </w:r>
          </w:p>
        </w:tc>
        <w:tc>
          <w:tcPr/>
          <w:p>
            <w:pPr>
              <w:pStyle w:val="Compact"/>
              <w:jc w:val="right"/>
            </w:pPr>
            <w:r>
              <w:t xml:space="preserve">252.1</w:t>
            </w:r>
          </w:p>
        </w:tc>
      </w:tr>
      <w:tr>
        <w:tc>
          <w:tcPr/>
          <w:p>
            <w:pPr>
              <w:pStyle w:val="Compact"/>
              <w:jc w:val="left"/>
            </w:pPr>
            <w:r>
              <w:t xml:space="preserve">Neurologie</w:t>
            </w:r>
          </w:p>
        </w:tc>
        <w:tc>
          <w:tcPr/>
          <w:p>
            <w:pPr>
              <w:pStyle w:val="Compact"/>
              <w:jc w:val="right"/>
            </w:pPr>
            <w:r>
              <w:t xml:space="preserve">1961</w:t>
            </w:r>
          </w:p>
        </w:tc>
        <w:tc>
          <w:tcPr/>
          <w:p>
            <w:pPr>
              <w:pStyle w:val="Compact"/>
              <w:jc w:val="right"/>
            </w:pPr>
            <w:r>
              <w:t xml:space="preserve">9636</w:t>
            </w:r>
          </w:p>
        </w:tc>
        <w:tc>
          <w:tcPr/>
          <w:p>
            <w:pPr>
              <w:pStyle w:val="Compact"/>
              <w:jc w:val="right"/>
            </w:pPr>
            <w:r>
              <w:t xml:space="preserve">391.4</w:t>
            </w:r>
          </w:p>
        </w:tc>
      </w:tr>
    </w:tbl>
    <w:p>
      <w:pPr>
        <w:pStyle w:val="BodyText"/>
      </w:pPr>
      <w:r>
        <w:rPr>
          <w:vertAlign w:val="subscript"/>
        </w:rPr>
        <w:t xml:space="preserve">Quelle:</w:t>
      </w:r>
      <w:r>
        <w:rPr>
          <w:vertAlign w:val="subscript"/>
        </w:rPr>
        <w:t xml:space="preserve"> </w:t>
      </w:r>
      <w:hyperlink r:id="rId22">
        <w:r>
          <w:rPr>
            <w:rStyle w:val="Hyperlink"/>
            <w:vertAlign w:val="subscript"/>
          </w:rPr>
          <w:t xml:space="preserve">Artikel-Notizbuch</w:t>
        </w:r>
      </w:hyperlink>
    </w:p>
    <w:bookmarkEnd w:id="44"/>
    <w:bookmarkEnd w:id="45"/>
    <w:bookmarkStart w:id="55" w:name="nach-alter"/>
    <w:p>
      <w:pPr>
        <w:pStyle w:val="Heading2"/>
      </w:pPr>
      <w:r>
        <w:t xml:space="preserve">Nach Alter</w:t>
      </w:r>
    </w:p>
    <w:p>
      <w:pPr>
        <w:pStyle w:val="FirstParagraph"/>
      </w:pPr>
      <w:r>
        <w:t xml:space="preserve">Bei den Ärztekammern registrierte tätige Ärztinnen und Ärzte mit der Facharztbezeichnung Öffentliches Gesundheitswesen nach Alter in Deutschland von 1998 bis 2023</w:t>
      </w:r>
    </w:p>
    <w:bookmarkStart w:id="49" w:name="abbildung-über-zeit"/>
    <w:p>
      <w:pPr>
        <w:pStyle w:val="Heading3"/>
      </w:pPr>
      <w:r>
        <w:t xml:space="preserve">Abbildung über Zeit</w:t>
      </w:r>
    </w:p>
    <w:p>
      <w:pPr>
        <w:pStyle w:val="FirstParagraph"/>
      </w:pPr>
      <w:r>
        <w:drawing>
          <wp:inline>
            <wp:extent cx="5334000" cy="5334000"/>
            <wp:effectExtent b="0" l="0" r="0" t="0"/>
            <wp:docPr descr="" title="" id="47" name="Picture"/>
            <a:graphic>
              <a:graphicData uri="http://schemas.openxmlformats.org/drawingml/2006/picture">
                <pic:pic>
                  <pic:nvPicPr>
                    <pic:cNvPr descr="index_files/figure-docx/Abbildung%204-1.png" id="48"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vertAlign w:val="subscript"/>
        </w:rPr>
        <w:t xml:space="preserve">Quelle:</w:t>
      </w:r>
      <w:r>
        <w:rPr>
          <w:vertAlign w:val="subscript"/>
        </w:rPr>
        <w:t xml:space="preserve"> </w:t>
      </w:r>
      <w:hyperlink r:id="rId22">
        <w:r>
          <w:rPr>
            <w:rStyle w:val="Hyperlink"/>
            <w:vertAlign w:val="subscript"/>
          </w:rPr>
          <w:t xml:space="preserve">Artikel-Notizbuch</w:t>
        </w:r>
      </w:hyperlink>
    </w:p>
    <w:bookmarkEnd w:id="49"/>
    <w:bookmarkStart w:id="53" w:name="abbildung-jahresvergleich"/>
    <w:p>
      <w:pPr>
        <w:pStyle w:val="Heading3"/>
      </w:pPr>
      <w:r>
        <w:t xml:space="preserve">Abbildung Jahresvergleich</w:t>
      </w:r>
    </w:p>
    <w:p>
      <w:pPr>
        <w:pStyle w:val="FirstParagraph"/>
      </w:pPr>
      <w:r>
        <w:drawing>
          <wp:inline>
            <wp:extent cx="5334000" cy="5334000"/>
            <wp:effectExtent b="0" l="0" r="0" t="0"/>
            <wp:docPr descr="" title="" id="51" name="Picture"/>
            <a:graphic>
              <a:graphicData uri="http://schemas.openxmlformats.org/drawingml/2006/picture">
                <pic:pic>
                  <pic:nvPicPr>
                    <pic:cNvPr descr="index_files/figure-docx/unnamed-chunk-5-1.png" id="52"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vertAlign w:val="subscript"/>
        </w:rPr>
        <w:t xml:space="preserve">Quelle:</w:t>
      </w:r>
      <w:r>
        <w:rPr>
          <w:vertAlign w:val="subscript"/>
        </w:rPr>
        <w:t xml:space="preserve"> </w:t>
      </w:r>
      <w:hyperlink r:id="rId22">
        <w:r>
          <w:rPr>
            <w:rStyle w:val="Hyperlink"/>
            <w:vertAlign w:val="subscript"/>
          </w:rPr>
          <w:t xml:space="preserve">Artikel-Notizbuch</w:t>
        </w:r>
      </w:hyperlink>
    </w:p>
    <w:bookmarkEnd w:id="53"/>
    <w:bookmarkStart w:id="54" w:name="tabelle-2"/>
    <w:p>
      <w:pPr>
        <w:pStyle w:val="Heading3"/>
      </w:pPr>
      <w:r>
        <w:t xml:space="preserve">Tabelle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Jahr</w:t>
            </w:r>
          </w:p>
        </w:tc>
        <w:tc>
          <w:tcPr/>
          <w:p>
            <w:pPr>
              <w:pStyle w:val="Compact"/>
              <w:jc w:val="left"/>
            </w:pPr>
            <w:r>
              <w:t xml:space="preserve">Alter</w:t>
            </w:r>
          </w:p>
        </w:tc>
        <w:tc>
          <w:tcPr/>
          <w:p>
            <w:pPr>
              <w:pStyle w:val="Compact"/>
              <w:jc w:val="right"/>
            </w:pPr>
            <w:r>
              <w:t xml:space="preserve">n</w:t>
            </w:r>
          </w:p>
        </w:tc>
        <w:tc>
          <w:tcPr/>
          <w:p>
            <w:pPr>
              <w:pStyle w:val="Compact"/>
              <w:jc w:val="right"/>
            </w:pPr>
            <w:r>
              <w:t xml:space="preserve">total_per_year</w:t>
            </w:r>
          </w:p>
        </w:tc>
        <w:tc>
          <w:tcPr/>
          <w:p>
            <w:pPr>
              <w:pStyle w:val="Compact"/>
              <w:jc w:val="right"/>
            </w:pPr>
            <w:r>
              <w:t xml:space="preserve">percent</w:t>
            </w:r>
          </w:p>
        </w:tc>
      </w:tr>
      <w:tr>
        <w:tc>
          <w:tcPr/>
          <w:p>
            <w:pPr>
              <w:pStyle w:val="Compact"/>
              <w:jc w:val="left"/>
            </w:pPr>
            <w:r>
              <w:t xml:space="preserve">1998-12-31</w:t>
            </w:r>
          </w:p>
        </w:tc>
        <w:tc>
          <w:tcPr/>
          <w:p>
            <w:pPr>
              <w:pStyle w:val="Compact"/>
              <w:jc w:val="left"/>
            </w:pPr>
            <w:r>
              <w:t xml:space="preserve">34 Jahre und jünger</w:t>
            </w:r>
          </w:p>
        </w:tc>
        <w:tc>
          <w:tcPr/>
          <w:p>
            <w:pPr>
              <w:pStyle w:val="Compact"/>
              <w:jc w:val="right"/>
            </w:pPr>
            <w:r>
              <w:t xml:space="preserve">3</w:t>
            </w:r>
          </w:p>
        </w:tc>
        <w:tc>
          <w:tcPr/>
          <w:p>
            <w:pPr>
              <w:pStyle w:val="Compact"/>
              <w:jc w:val="right"/>
            </w:pPr>
            <w:r>
              <w:t xml:space="preserve">1072</w:t>
            </w:r>
          </w:p>
        </w:tc>
        <w:tc>
          <w:tcPr/>
          <w:p>
            <w:pPr>
              <w:pStyle w:val="Compact"/>
              <w:jc w:val="right"/>
            </w:pPr>
            <w:r>
              <w:t xml:space="preserve">0.28</w:t>
            </w:r>
          </w:p>
        </w:tc>
      </w:tr>
      <w:tr>
        <w:tc>
          <w:tcPr/>
          <w:p>
            <w:pPr>
              <w:pStyle w:val="Compact"/>
              <w:jc w:val="left"/>
            </w:pPr>
            <w:r>
              <w:t xml:space="preserve">1998-12-31</w:t>
            </w:r>
          </w:p>
        </w:tc>
        <w:tc>
          <w:tcPr/>
          <w:p>
            <w:pPr>
              <w:pStyle w:val="Compact"/>
              <w:jc w:val="left"/>
            </w:pPr>
            <w:r>
              <w:t xml:space="preserve">35 bis unter 40 Jahre</w:t>
            </w:r>
          </w:p>
        </w:tc>
        <w:tc>
          <w:tcPr/>
          <w:p>
            <w:pPr>
              <w:pStyle w:val="Compact"/>
              <w:jc w:val="right"/>
            </w:pPr>
            <w:r>
              <w:t xml:space="preserve">48</w:t>
            </w:r>
          </w:p>
        </w:tc>
        <w:tc>
          <w:tcPr/>
          <w:p>
            <w:pPr>
              <w:pStyle w:val="Compact"/>
              <w:jc w:val="right"/>
            </w:pPr>
            <w:r>
              <w:t xml:space="preserve">1072</w:t>
            </w:r>
          </w:p>
        </w:tc>
        <w:tc>
          <w:tcPr/>
          <w:p>
            <w:pPr>
              <w:pStyle w:val="Compact"/>
              <w:jc w:val="right"/>
            </w:pPr>
            <w:r>
              <w:t xml:space="preserve">4.48</w:t>
            </w:r>
          </w:p>
        </w:tc>
      </w:tr>
      <w:tr>
        <w:tc>
          <w:tcPr/>
          <w:p>
            <w:pPr>
              <w:pStyle w:val="Compact"/>
              <w:jc w:val="left"/>
            </w:pPr>
            <w:r>
              <w:t xml:space="preserve">1998-12-31</w:t>
            </w:r>
          </w:p>
        </w:tc>
        <w:tc>
          <w:tcPr/>
          <w:p>
            <w:pPr>
              <w:pStyle w:val="Compact"/>
              <w:jc w:val="left"/>
            </w:pPr>
            <w:r>
              <w:t xml:space="preserve">40 bis unter 50 Jahre</w:t>
            </w:r>
          </w:p>
        </w:tc>
        <w:tc>
          <w:tcPr/>
          <w:p>
            <w:pPr>
              <w:pStyle w:val="Compact"/>
              <w:jc w:val="right"/>
            </w:pPr>
            <w:r>
              <w:t xml:space="preserve">475</w:t>
            </w:r>
          </w:p>
        </w:tc>
        <w:tc>
          <w:tcPr/>
          <w:p>
            <w:pPr>
              <w:pStyle w:val="Compact"/>
              <w:jc w:val="right"/>
            </w:pPr>
            <w:r>
              <w:t xml:space="preserve">1072</w:t>
            </w:r>
          </w:p>
        </w:tc>
        <w:tc>
          <w:tcPr/>
          <w:p>
            <w:pPr>
              <w:pStyle w:val="Compact"/>
              <w:jc w:val="right"/>
            </w:pPr>
            <w:r>
              <w:t xml:space="preserve">44.31</w:t>
            </w:r>
          </w:p>
        </w:tc>
      </w:tr>
      <w:tr>
        <w:tc>
          <w:tcPr/>
          <w:p>
            <w:pPr>
              <w:pStyle w:val="Compact"/>
              <w:jc w:val="left"/>
            </w:pPr>
            <w:r>
              <w:t xml:space="preserve">1998-12-31</w:t>
            </w:r>
          </w:p>
        </w:tc>
        <w:tc>
          <w:tcPr/>
          <w:p>
            <w:pPr>
              <w:pStyle w:val="Compact"/>
              <w:jc w:val="left"/>
            </w:pPr>
            <w:r>
              <w:t xml:space="preserve">50 bis unter 60 Jahre</w:t>
            </w:r>
          </w:p>
        </w:tc>
        <w:tc>
          <w:tcPr/>
          <w:p>
            <w:pPr>
              <w:pStyle w:val="Compact"/>
              <w:jc w:val="right"/>
            </w:pPr>
            <w:r>
              <w:t xml:space="preserve">432</w:t>
            </w:r>
          </w:p>
        </w:tc>
        <w:tc>
          <w:tcPr/>
          <w:p>
            <w:pPr>
              <w:pStyle w:val="Compact"/>
              <w:jc w:val="right"/>
            </w:pPr>
            <w:r>
              <w:t xml:space="preserve">1072</w:t>
            </w:r>
          </w:p>
        </w:tc>
        <w:tc>
          <w:tcPr/>
          <w:p>
            <w:pPr>
              <w:pStyle w:val="Compact"/>
              <w:jc w:val="right"/>
            </w:pPr>
            <w:r>
              <w:t xml:space="preserve">40.30</w:t>
            </w:r>
          </w:p>
        </w:tc>
      </w:tr>
      <w:tr>
        <w:tc>
          <w:tcPr/>
          <w:p>
            <w:pPr>
              <w:pStyle w:val="Compact"/>
              <w:jc w:val="left"/>
            </w:pPr>
            <w:r>
              <w:t xml:space="preserve">1998-12-31</w:t>
            </w:r>
          </w:p>
        </w:tc>
        <w:tc>
          <w:tcPr/>
          <w:p>
            <w:pPr>
              <w:pStyle w:val="Compact"/>
              <w:jc w:val="left"/>
            </w:pPr>
            <w:r>
              <w:t xml:space="preserve">60 bis unter 66 Jahre</w:t>
            </w:r>
          </w:p>
        </w:tc>
        <w:tc>
          <w:tcPr/>
          <w:p>
            <w:pPr>
              <w:pStyle w:val="Compact"/>
              <w:jc w:val="right"/>
            </w:pPr>
            <w:r>
              <w:t xml:space="preserve">90</w:t>
            </w:r>
          </w:p>
        </w:tc>
        <w:tc>
          <w:tcPr/>
          <w:p>
            <w:pPr>
              <w:pStyle w:val="Compact"/>
              <w:jc w:val="right"/>
            </w:pPr>
            <w:r>
              <w:t xml:space="preserve">1072</w:t>
            </w:r>
          </w:p>
        </w:tc>
        <w:tc>
          <w:tcPr/>
          <w:p>
            <w:pPr>
              <w:pStyle w:val="Compact"/>
              <w:jc w:val="right"/>
            </w:pPr>
            <w:r>
              <w:t xml:space="preserve">8.40</w:t>
            </w:r>
          </w:p>
        </w:tc>
      </w:tr>
      <w:tr>
        <w:tc>
          <w:tcPr/>
          <w:p>
            <w:pPr>
              <w:pStyle w:val="Compact"/>
              <w:jc w:val="left"/>
            </w:pPr>
            <w:r>
              <w:t xml:space="preserve">1998-12-31</w:t>
            </w:r>
          </w:p>
        </w:tc>
        <w:tc>
          <w:tcPr/>
          <w:p>
            <w:pPr>
              <w:pStyle w:val="Compact"/>
              <w:jc w:val="left"/>
            </w:pPr>
            <w:r>
              <w:t xml:space="preserve">66 Jahre und älter</w:t>
            </w:r>
          </w:p>
        </w:tc>
        <w:tc>
          <w:tcPr/>
          <w:p>
            <w:pPr>
              <w:pStyle w:val="Compact"/>
              <w:jc w:val="right"/>
            </w:pPr>
            <w:r>
              <w:t xml:space="preserve">24</w:t>
            </w:r>
          </w:p>
        </w:tc>
        <w:tc>
          <w:tcPr/>
          <w:p>
            <w:pPr>
              <w:pStyle w:val="Compact"/>
              <w:jc w:val="right"/>
            </w:pPr>
            <w:r>
              <w:t xml:space="preserve">1072</w:t>
            </w:r>
          </w:p>
        </w:tc>
        <w:tc>
          <w:tcPr/>
          <w:p>
            <w:pPr>
              <w:pStyle w:val="Compact"/>
              <w:jc w:val="right"/>
            </w:pPr>
            <w:r>
              <w:t xml:space="preserve">2.24</w:t>
            </w:r>
          </w:p>
        </w:tc>
      </w:tr>
      <w:tr>
        <w:tc>
          <w:tcPr/>
          <w:p>
            <w:pPr>
              <w:pStyle w:val="Compact"/>
              <w:jc w:val="left"/>
            </w:pPr>
            <w:r>
              <w:t xml:space="preserve">2023-12-31</w:t>
            </w:r>
          </w:p>
        </w:tc>
        <w:tc>
          <w:tcPr/>
          <w:p>
            <w:pPr>
              <w:pStyle w:val="Compact"/>
              <w:jc w:val="left"/>
            </w:pPr>
            <w:r>
              <w:t xml:space="preserve">34 Jahre und jünger</w:t>
            </w:r>
          </w:p>
        </w:tc>
        <w:tc>
          <w:tcPr/>
          <w:p>
            <w:pPr>
              <w:pStyle w:val="Compact"/>
              <w:jc w:val="right"/>
            </w:pPr>
            <w:r>
              <w:t xml:space="preserve">5</w:t>
            </w:r>
          </w:p>
        </w:tc>
        <w:tc>
          <w:tcPr/>
          <w:p>
            <w:pPr>
              <w:pStyle w:val="Compact"/>
              <w:jc w:val="right"/>
            </w:pPr>
            <w:r>
              <w:t xml:space="preserve">724</w:t>
            </w:r>
          </w:p>
        </w:tc>
        <w:tc>
          <w:tcPr/>
          <w:p>
            <w:pPr>
              <w:pStyle w:val="Compact"/>
              <w:jc w:val="right"/>
            </w:pPr>
            <w:r>
              <w:t xml:space="preserve">0.69</w:t>
            </w:r>
          </w:p>
        </w:tc>
      </w:tr>
      <w:tr>
        <w:tc>
          <w:tcPr/>
          <w:p>
            <w:pPr>
              <w:pStyle w:val="Compact"/>
              <w:jc w:val="left"/>
            </w:pPr>
            <w:r>
              <w:t xml:space="preserve">2023-12-31</w:t>
            </w:r>
          </w:p>
        </w:tc>
        <w:tc>
          <w:tcPr/>
          <w:p>
            <w:pPr>
              <w:pStyle w:val="Compact"/>
              <w:jc w:val="left"/>
            </w:pPr>
            <w:r>
              <w:t xml:space="preserve">35 bis unter 40 Jahre</w:t>
            </w:r>
          </w:p>
        </w:tc>
        <w:tc>
          <w:tcPr/>
          <w:p>
            <w:pPr>
              <w:pStyle w:val="Compact"/>
              <w:jc w:val="right"/>
            </w:pPr>
            <w:r>
              <w:t xml:space="preserve">10</w:t>
            </w:r>
          </w:p>
        </w:tc>
        <w:tc>
          <w:tcPr/>
          <w:p>
            <w:pPr>
              <w:pStyle w:val="Compact"/>
              <w:jc w:val="right"/>
            </w:pPr>
            <w:r>
              <w:t xml:space="preserve">724</w:t>
            </w:r>
          </w:p>
        </w:tc>
        <w:tc>
          <w:tcPr/>
          <w:p>
            <w:pPr>
              <w:pStyle w:val="Compact"/>
              <w:jc w:val="right"/>
            </w:pPr>
            <w:r>
              <w:t xml:space="preserve">1.38</w:t>
            </w:r>
          </w:p>
        </w:tc>
      </w:tr>
      <w:tr>
        <w:tc>
          <w:tcPr/>
          <w:p>
            <w:pPr>
              <w:pStyle w:val="Compact"/>
              <w:jc w:val="left"/>
            </w:pPr>
            <w:r>
              <w:t xml:space="preserve">2023-12-31</w:t>
            </w:r>
          </w:p>
        </w:tc>
        <w:tc>
          <w:tcPr/>
          <w:p>
            <w:pPr>
              <w:pStyle w:val="Compact"/>
              <w:jc w:val="left"/>
            </w:pPr>
            <w:r>
              <w:t xml:space="preserve">40 bis unter 50 Jahre</w:t>
            </w:r>
          </w:p>
        </w:tc>
        <w:tc>
          <w:tcPr/>
          <w:p>
            <w:pPr>
              <w:pStyle w:val="Compact"/>
              <w:jc w:val="right"/>
            </w:pPr>
            <w:r>
              <w:t xml:space="preserve">125</w:t>
            </w:r>
          </w:p>
        </w:tc>
        <w:tc>
          <w:tcPr/>
          <w:p>
            <w:pPr>
              <w:pStyle w:val="Compact"/>
              <w:jc w:val="right"/>
            </w:pPr>
            <w:r>
              <w:t xml:space="preserve">724</w:t>
            </w:r>
          </w:p>
        </w:tc>
        <w:tc>
          <w:tcPr/>
          <w:p>
            <w:pPr>
              <w:pStyle w:val="Compact"/>
              <w:jc w:val="right"/>
            </w:pPr>
            <w:r>
              <w:t xml:space="preserve">17.27</w:t>
            </w:r>
          </w:p>
        </w:tc>
      </w:tr>
      <w:tr>
        <w:tc>
          <w:tcPr/>
          <w:p>
            <w:pPr>
              <w:pStyle w:val="Compact"/>
              <w:jc w:val="left"/>
            </w:pPr>
            <w:r>
              <w:t xml:space="preserve">2023-12-31</w:t>
            </w:r>
          </w:p>
        </w:tc>
        <w:tc>
          <w:tcPr/>
          <w:p>
            <w:pPr>
              <w:pStyle w:val="Compact"/>
              <w:jc w:val="left"/>
            </w:pPr>
            <w:r>
              <w:t xml:space="preserve">50 bis unter 60 Jahre</w:t>
            </w:r>
          </w:p>
        </w:tc>
        <w:tc>
          <w:tcPr/>
          <w:p>
            <w:pPr>
              <w:pStyle w:val="Compact"/>
              <w:jc w:val="right"/>
            </w:pPr>
            <w:r>
              <w:t xml:space="preserve">241</w:t>
            </w:r>
          </w:p>
        </w:tc>
        <w:tc>
          <w:tcPr/>
          <w:p>
            <w:pPr>
              <w:pStyle w:val="Compact"/>
              <w:jc w:val="right"/>
            </w:pPr>
            <w:r>
              <w:t xml:space="preserve">724</w:t>
            </w:r>
          </w:p>
        </w:tc>
        <w:tc>
          <w:tcPr/>
          <w:p>
            <w:pPr>
              <w:pStyle w:val="Compact"/>
              <w:jc w:val="right"/>
            </w:pPr>
            <w:r>
              <w:t xml:space="preserve">33.29</w:t>
            </w:r>
          </w:p>
        </w:tc>
      </w:tr>
      <w:tr>
        <w:tc>
          <w:tcPr/>
          <w:p>
            <w:pPr>
              <w:pStyle w:val="Compact"/>
              <w:jc w:val="left"/>
            </w:pPr>
            <w:r>
              <w:t xml:space="preserve">2023-12-31</w:t>
            </w:r>
          </w:p>
        </w:tc>
        <w:tc>
          <w:tcPr/>
          <w:p>
            <w:pPr>
              <w:pStyle w:val="Compact"/>
              <w:jc w:val="left"/>
            </w:pPr>
            <w:r>
              <w:t xml:space="preserve">60 bis unter 66 Jahre</w:t>
            </w:r>
          </w:p>
        </w:tc>
        <w:tc>
          <w:tcPr/>
          <w:p>
            <w:pPr>
              <w:pStyle w:val="Compact"/>
              <w:jc w:val="right"/>
            </w:pPr>
            <w:r>
              <w:t xml:space="preserve">216</w:t>
            </w:r>
          </w:p>
        </w:tc>
        <w:tc>
          <w:tcPr/>
          <w:p>
            <w:pPr>
              <w:pStyle w:val="Compact"/>
              <w:jc w:val="right"/>
            </w:pPr>
            <w:r>
              <w:t xml:space="preserve">724</w:t>
            </w:r>
          </w:p>
        </w:tc>
        <w:tc>
          <w:tcPr/>
          <w:p>
            <w:pPr>
              <w:pStyle w:val="Compact"/>
              <w:jc w:val="right"/>
            </w:pPr>
            <w:r>
              <w:t xml:space="preserve">29.83</w:t>
            </w:r>
          </w:p>
        </w:tc>
      </w:tr>
      <w:tr>
        <w:tc>
          <w:tcPr/>
          <w:p>
            <w:pPr>
              <w:pStyle w:val="Compact"/>
              <w:jc w:val="left"/>
            </w:pPr>
            <w:r>
              <w:t xml:space="preserve">2023-12-31</w:t>
            </w:r>
          </w:p>
        </w:tc>
        <w:tc>
          <w:tcPr/>
          <w:p>
            <w:pPr>
              <w:pStyle w:val="Compact"/>
              <w:jc w:val="left"/>
            </w:pPr>
            <w:r>
              <w:t xml:space="preserve">66 Jahre und älter</w:t>
            </w:r>
          </w:p>
        </w:tc>
        <w:tc>
          <w:tcPr/>
          <w:p>
            <w:pPr>
              <w:pStyle w:val="Compact"/>
              <w:jc w:val="right"/>
            </w:pPr>
            <w:r>
              <w:t xml:space="preserve">127</w:t>
            </w:r>
          </w:p>
        </w:tc>
        <w:tc>
          <w:tcPr/>
          <w:p>
            <w:pPr>
              <w:pStyle w:val="Compact"/>
              <w:jc w:val="right"/>
            </w:pPr>
            <w:r>
              <w:t xml:space="preserve">724</w:t>
            </w:r>
          </w:p>
        </w:tc>
        <w:tc>
          <w:tcPr/>
          <w:p>
            <w:pPr>
              <w:pStyle w:val="Compact"/>
              <w:jc w:val="right"/>
            </w:pPr>
            <w:r>
              <w:t xml:space="preserve">17.54</w:t>
            </w:r>
          </w:p>
        </w:tc>
      </w:tr>
    </w:tbl>
    <w:p>
      <w:pPr>
        <w:pStyle w:val="BodyText"/>
      </w:pPr>
      <w:r>
        <w:rPr>
          <w:vertAlign w:val="subscript"/>
        </w:rPr>
        <w:t xml:space="preserve">Quelle:</w:t>
      </w:r>
      <w:r>
        <w:rPr>
          <w:vertAlign w:val="subscript"/>
        </w:rPr>
        <w:t xml:space="preserve"> </w:t>
      </w:r>
      <w:hyperlink r:id="rId22">
        <w:r>
          <w:rPr>
            <w:rStyle w:val="Hyperlink"/>
            <w:vertAlign w:val="subscript"/>
          </w:rPr>
          <w:t xml:space="preserve">Artikel-Notizbuch</w:t>
        </w:r>
      </w:hyperlink>
    </w:p>
    <w:bookmarkEnd w:id="54"/>
    <w:bookmarkEnd w:id="55"/>
    <w:bookmarkStart w:id="61" w:name="nach-geschlecht"/>
    <w:p>
      <w:pPr>
        <w:pStyle w:val="Heading2"/>
      </w:pPr>
      <w:r>
        <w:t xml:space="preserve">Nach Geschlecht</w:t>
      </w:r>
    </w:p>
    <w:bookmarkStart w:id="59" w:name="abbildung-3"/>
    <w:p>
      <w:pPr>
        <w:pStyle w:val="Heading3"/>
      </w:pPr>
      <w:r>
        <w:t xml:space="preserve">Abbildung</w:t>
      </w:r>
    </w:p>
    <w:p>
      <w:pPr>
        <w:pStyle w:val="FirstParagraph"/>
      </w:pPr>
      <w:r>
        <w:drawing>
          <wp:inline>
            <wp:extent cx="5334000" cy="5334000"/>
            <wp:effectExtent b="0" l="0" r="0" t="0"/>
            <wp:docPr descr="" title="" id="57" name="Picture"/>
            <a:graphic>
              <a:graphicData uri="http://schemas.openxmlformats.org/drawingml/2006/picture">
                <pic:pic>
                  <pic:nvPicPr>
                    <pic:cNvPr descr="index_files/figure-docx/unnamed-chunk-7-1.png" id="58"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vertAlign w:val="subscript"/>
        </w:rPr>
        <w:t xml:space="preserve">Quelle:</w:t>
      </w:r>
      <w:r>
        <w:rPr>
          <w:vertAlign w:val="subscript"/>
        </w:rPr>
        <w:t xml:space="preserve"> </w:t>
      </w:r>
      <w:hyperlink r:id="rId22">
        <w:r>
          <w:rPr>
            <w:rStyle w:val="Hyperlink"/>
            <w:vertAlign w:val="subscript"/>
          </w:rPr>
          <w:t xml:space="preserve">Artikel-Notizbuch</w:t>
        </w:r>
      </w:hyperlink>
    </w:p>
    <w:bookmarkEnd w:id="59"/>
    <w:bookmarkStart w:id="60" w:name="tabelle-3"/>
    <w:p>
      <w:pPr>
        <w:pStyle w:val="Heading3"/>
      </w:pPr>
      <w:r>
        <w:t xml:space="preserve">Tabelle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Jahr</w:t>
            </w:r>
          </w:p>
        </w:tc>
        <w:tc>
          <w:tcPr/>
          <w:p>
            <w:pPr>
              <w:pStyle w:val="Compact"/>
              <w:jc w:val="left"/>
            </w:pPr>
            <w:r>
              <w:t xml:space="preserve">Geschlecht</w:t>
            </w:r>
          </w:p>
        </w:tc>
        <w:tc>
          <w:tcPr/>
          <w:p>
            <w:pPr>
              <w:pStyle w:val="Compact"/>
              <w:jc w:val="right"/>
            </w:pPr>
            <w:r>
              <w:t xml:space="preserve">n</w:t>
            </w:r>
          </w:p>
        </w:tc>
        <w:tc>
          <w:tcPr/>
          <w:p>
            <w:pPr>
              <w:pStyle w:val="Compact"/>
              <w:jc w:val="right"/>
            </w:pPr>
            <w:r>
              <w:t xml:space="preserve">percent</w:t>
            </w:r>
          </w:p>
        </w:tc>
      </w:tr>
      <w:tr>
        <w:tc>
          <w:tcPr/>
          <w:p>
            <w:pPr>
              <w:pStyle w:val="Compact"/>
              <w:jc w:val="left"/>
            </w:pPr>
            <w:r>
              <w:t xml:space="preserve">1998-12-31</w:t>
            </w:r>
          </w:p>
        </w:tc>
        <w:tc>
          <w:tcPr/>
          <w:p>
            <w:pPr>
              <w:pStyle w:val="Compact"/>
              <w:jc w:val="left"/>
            </w:pPr>
            <w:r>
              <w:t xml:space="preserve">Männlich</w:t>
            </w:r>
          </w:p>
        </w:tc>
        <w:tc>
          <w:tcPr/>
          <w:p>
            <w:pPr>
              <w:pStyle w:val="Compact"/>
              <w:jc w:val="right"/>
            </w:pPr>
            <w:r>
              <w:t xml:space="preserve">614</w:t>
            </w:r>
          </w:p>
        </w:tc>
        <w:tc>
          <w:tcPr/>
          <w:p>
            <w:pPr>
              <w:pStyle w:val="Compact"/>
              <w:jc w:val="right"/>
            </w:pPr>
            <w:r>
              <w:t xml:space="preserve">57.28</w:t>
            </w:r>
          </w:p>
        </w:tc>
      </w:tr>
      <w:tr>
        <w:tc>
          <w:tcPr/>
          <w:p>
            <w:pPr>
              <w:pStyle w:val="Compact"/>
              <w:jc w:val="left"/>
            </w:pPr>
            <w:r>
              <w:t xml:space="preserve">1998-12-31</w:t>
            </w:r>
          </w:p>
        </w:tc>
        <w:tc>
          <w:tcPr/>
          <w:p>
            <w:pPr>
              <w:pStyle w:val="Compact"/>
              <w:jc w:val="left"/>
            </w:pPr>
            <w:r>
              <w:t xml:space="preserve">Weiblich</w:t>
            </w:r>
          </w:p>
        </w:tc>
        <w:tc>
          <w:tcPr/>
          <w:p>
            <w:pPr>
              <w:pStyle w:val="Compact"/>
              <w:jc w:val="right"/>
            </w:pPr>
            <w:r>
              <w:t xml:space="preserve">458</w:t>
            </w:r>
          </w:p>
        </w:tc>
        <w:tc>
          <w:tcPr/>
          <w:p>
            <w:pPr>
              <w:pStyle w:val="Compact"/>
              <w:jc w:val="right"/>
            </w:pPr>
            <w:r>
              <w:t xml:space="preserve">42.72</w:t>
            </w:r>
          </w:p>
        </w:tc>
      </w:tr>
      <w:tr>
        <w:tc>
          <w:tcPr/>
          <w:p>
            <w:pPr>
              <w:pStyle w:val="Compact"/>
              <w:jc w:val="left"/>
            </w:pPr>
            <w:r>
              <w:t xml:space="preserve">2023-12-31</w:t>
            </w:r>
          </w:p>
        </w:tc>
        <w:tc>
          <w:tcPr/>
          <w:p>
            <w:pPr>
              <w:pStyle w:val="Compact"/>
              <w:jc w:val="left"/>
            </w:pPr>
            <w:r>
              <w:t xml:space="preserve">Männlich</w:t>
            </w:r>
          </w:p>
        </w:tc>
        <w:tc>
          <w:tcPr/>
          <w:p>
            <w:pPr>
              <w:pStyle w:val="Compact"/>
              <w:jc w:val="right"/>
            </w:pPr>
            <w:r>
              <w:t xml:space="preserve">316</w:t>
            </w:r>
          </w:p>
        </w:tc>
        <w:tc>
          <w:tcPr/>
          <w:p>
            <w:pPr>
              <w:pStyle w:val="Compact"/>
              <w:jc w:val="right"/>
            </w:pPr>
            <w:r>
              <w:t xml:space="preserve">43.65</w:t>
            </w:r>
          </w:p>
        </w:tc>
      </w:tr>
      <w:tr>
        <w:tc>
          <w:tcPr/>
          <w:p>
            <w:pPr>
              <w:pStyle w:val="Compact"/>
              <w:jc w:val="left"/>
            </w:pPr>
            <w:r>
              <w:t xml:space="preserve">2023-12-31</w:t>
            </w:r>
          </w:p>
        </w:tc>
        <w:tc>
          <w:tcPr/>
          <w:p>
            <w:pPr>
              <w:pStyle w:val="Compact"/>
              <w:jc w:val="left"/>
            </w:pPr>
            <w:r>
              <w:t xml:space="preserve">Weiblich</w:t>
            </w:r>
          </w:p>
        </w:tc>
        <w:tc>
          <w:tcPr/>
          <w:p>
            <w:pPr>
              <w:pStyle w:val="Compact"/>
              <w:jc w:val="right"/>
            </w:pPr>
            <w:r>
              <w:t xml:space="preserve">408</w:t>
            </w:r>
          </w:p>
        </w:tc>
        <w:tc>
          <w:tcPr/>
          <w:p>
            <w:pPr>
              <w:pStyle w:val="Compact"/>
              <w:jc w:val="right"/>
            </w:pPr>
            <w:r>
              <w:t xml:space="preserve">56.35</w:t>
            </w:r>
          </w:p>
        </w:tc>
      </w:tr>
    </w:tbl>
    <w:p>
      <w:pPr>
        <w:pStyle w:val="BodyText"/>
      </w:pPr>
      <w:r>
        <w:rPr>
          <w:vertAlign w:val="subscript"/>
        </w:rPr>
        <w:t xml:space="preserve">Quelle:</w:t>
      </w:r>
      <w:r>
        <w:rPr>
          <w:vertAlign w:val="subscript"/>
        </w:rPr>
        <w:t xml:space="preserve"> </w:t>
      </w:r>
      <w:hyperlink r:id="rId22">
        <w:r>
          <w:rPr>
            <w:rStyle w:val="Hyperlink"/>
            <w:vertAlign w:val="subscript"/>
          </w:rPr>
          <w:t xml:space="preserve">Artikel-Notizbuch</w:t>
        </w:r>
      </w:hyperlink>
    </w:p>
    <w:bookmarkEnd w:id="60"/>
    <w:bookmarkEnd w:id="61"/>
    <w:bookmarkStart w:id="65" w:name="alterspyramide"/>
    <w:p>
      <w:pPr>
        <w:pStyle w:val="Heading2"/>
      </w:pPr>
      <w:r>
        <w:t xml:space="preserve">Alterspyramide</w:t>
      </w:r>
    </w:p>
    <w:p>
      <w:pPr>
        <w:pStyle w:val="FirstParagraph"/>
      </w:pPr>
      <w:r>
        <w:t xml:space="preserve">Bei den Ärztekammern registrierte tätige Ärztinnen und Ärzte mit der Facharztbezeichnung ÖGW nach Geschlecht und Alter (Alterspyramide) in Deutschland von 1998 bis 2023</w:t>
      </w:r>
    </w:p>
    <w:p>
      <w:pPr>
        <w:pStyle w:val="BodyText"/>
      </w:pPr>
      <w:r>
        <w:drawing>
          <wp:inline>
            <wp:extent cx="5334000" cy="5334000"/>
            <wp:effectExtent b="0" l="0" r="0" t="0"/>
            <wp:docPr descr="" title="" id="63" name="Picture"/>
            <a:graphic>
              <a:graphicData uri="http://schemas.openxmlformats.org/drawingml/2006/picture">
                <pic:pic>
                  <pic:nvPicPr>
                    <pic:cNvPr descr="index_files/figure-docx/Abbildung%205-1.png" id="64" name="Picture"/>
                    <pic:cNvPicPr>
                      <a:picLocks noChangeArrowheads="1" noChangeAspect="1"/>
                    </pic:cNvPicPr>
                  </pic:nvPicPr>
                  <pic:blipFill>
                    <a:blip r:embed="rId6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vertAlign w:val="subscript"/>
        </w:rPr>
        <w:t xml:space="preserve">Quelle:</w:t>
      </w:r>
      <w:r>
        <w:rPr>
          <w:vertAlign w:val="subscript"/>
        </w:rPr>
        <w:t xml:space="preserve"> </w:t>
      </w:r>
      <w:hyperlink r:id="rId22">
        <w:r>
          <w:rPr>
            <w:rStyle w:val="Hyperlink"/>
            <w:vertAlign w:val="subscript"/>
          </w:rPr>
          <w:t xml:space="preserve">Artikel-Notizbuch</w:t>
        </w:r>
      </w:hyperlink>
    </w:p>
    <w:bookmarkEnd w:id="65"/>
    <w:bookmarkEnd w:id="66"/>
    <w:bookmarkStart w:id="67" w:name="diskussion"/>
    <w:p>
      <w:pPr>
        <w:pStyle w:val="Heading1"/>
      </w:pPr>
      <w:r>
        <w:t xml:space="preserve">Diskussion</w:t>
      </w:r>
    </w:p>
    <w:p>
      <w:pPr>
        <w:pStyle w:val="FirstParagraph"/>
      </w:pPr>
      <w:r>
        <w:t xml:space="preserve">Die Ergebnisse unserer Untersuchung zeigen, dass die COVID-19-Pandemie den rückläufigen Trend bei der Anzahl der Fachärzte für Öffentliches Gesundheitswesen nicht aufhalten konnte. Trotz der erheblichen Aufmerksamkeit, die der Öffentliche Gesundheitsdienst während der Pandemie erhielt, und der damit einhergehenden gestiegenen gesellschaftlichen Anerkennung seiner Bedeutung, setzte sich der bereits von Tinnemann et al. (2021) dokumentierte Abwärtstrend fort. Dies ist besonders bemerkenswert, da die Pandemie die zentrale Rolle des ÖGD im Gesundheitssystem deutlich hervorgehoben hat.</w:t>
      </w:r>
    </w:p>
    <w:p>
      <w:pPr>
        <w:pStyle w:val="BodyText"/>
      </w:pPr>
      <w:r>
        <w:t xml:space="preserve">Paradoxerweise berichten die Bundesländer gleichzeitig von einem Anstieg der Gesamtbeschäftigtenzahl in den lokalen Gesundheitsämtern. Diese Diskrepanz lässt sich vermutlich teilweise durch die Art der neu geschaffenen Stellen erklären. Im Rahmen des</w:t>
      </w:r>
      <w:r>
        <w:t xml:space="preserve"> </w:t>
      </w:r>
      <w:r>
        <w:t xml:space="preserve">“Pakts für den Öffentlichen Gesundheitsdienst”</w:t>
      </w:r>
      <w:r>
        <w:t xml:space="preserve"> </w:t>
      </w:r>
      <w:r>
        <w:t xml:space="preserve">wurden bis Ende 2022 bundesweit etwa XXXX Vollzeitäquivalente geschaffen. Vermutlich wurden diese Stellen überwiegend mit nicht-ärztlichem Personal besetzt, darunter Verwaltungskräfte, Hygienekontrolleure und Sozialarbeiter. Die Fachärzte für ÖGW konnte von dieser personellen Aufstockung bislang offenbar nicht profitieren.</w:t>
      </w:r>
    </w:p>
    <w:p>
      <w:pPr>
        <w:pStyle w:val="BodyText"/>
      </w:pPr>
      <w:r>
        <w:t xml:space="preserve">Diese Entwicklung ist bedenklich, da gerade die fachärztliche Expertise für die Wahrnehmung hoheitlicher Aufgaben und die adäquate Versorgung vulnerabler Bevölkerungsgruppen unverzichtbar ist. Die anhaltende Überalterung der Fachärzteschaft für ÖGW, die bereits vor der Pandemie mit einem Anstieg des Anteils der über 50-Jährigen auf XXX dokumentiert wurde, verschärft diese Problematik zusätzlich und deutet auf einen drohenden weiteren Rückgang in den kommenden Jahren durch Pensionierungen hin.</w:t>
      </w:r>
    </w:p>
    <w:p>
      <w:pPr>
        <w:pStyle w:val="BodyText"/>
      </w:pPr>
      <w:r>
        <w:t xml:space="preserve">Bei der Interpretation unserer Ergebnisse müssen einige Limitationen berücksichtigt werden. Insbesondere könnte der Zeitpunkt unserer Erhebung zu früh nach der akuten Pandemiephase liegen, um mögliche positive Effekte auf die Nachwuchsgewinnung vollständig abzubilden. Die Ausbildung zum Facharzt für Öffentliches Gesundheitswesen erfordert nach dem Medizinstudium eine mehrjährige Weiterbildung. Daher könnten sich eventuelle pandemiebeeinflusste Karriereentscheidungen junger Ärztinnen und Ärzte erst mit zeitlicher Verzögerung in den Statistiken niederschlagen. Eine Folgeerhebung in drei bis fünf Jahren könnte feststellen, ob die während der Pandemie gestiegene Aufmerksamkeit für Public Health langfristig zu einem verstärkten Interesse an der Facharztweiterbildung ÖGW geführt hat.</w:t>
      </w:r>
    </w:p>
    <w:p>
      <w:pPr>
        <w:pStyle w:val="BodyText"/>
      </w:pPr>
      <w:r>
        <w:t xml:space="preserve">Die anhaltend geringe Anzahl an Fachärzten für ÖGW steht im Widerspruch zu den steigenden Anforderungen an den ÖGD und den Lehren aus der Pandemie. Während der</w:t>
      </w:r>
      <w:r>
        <w:t xml:space="preserve"> </w:t>
      </w:r>
      <w:r>
        <w:t xml:space="preserve">“Pakt für den Öffentlichen Gesundheitsdienst”</w:t>
      </w:r>
      <w:r>
        <w:t xml:space="preserve"> </w:t>
      </w:r>
      <w:r>
        <w:t xml:space="preserve">wichtige Verbesserungen eingeleitet hat, scheint die spezifische Förderung des fachärztlichen Nachwuchses bislang nicht ausreichend berücksichtigt worden zu sein. Die von der Studie aufgezeigte Diskrepanz zwischen allgemeiner Personalaufstockung und dem anhaltenden Mangel an Fachärzten für ÖGW unterstreicht die Notwendigkeit gezielter Maßnahmen zur Attraktivitätssteigerung dieser Fachdisziplin.</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46" Target="media/rId46.png" /><Relationship Type="http://schemas.openxmlformats.org/officeDocument/2006/relationships/image" Id="rId62" Target="media/rId62.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50" Target="media/rId50.png" /><Relationship Type="http://schemas.openxmlformats.org/officeDocument/2006/relationships/image" Id="rId56" Target="media/rId56.png" /><Relationship Type="http://schemas.openxmlformats.org/officeDocument/2006/relationships/hyperlink" Id="rId23" Target="http://www.gbe-bund.de" TargetMode="External" /><Relationship Type="http://schemas.openxmlformats.org/officeDocument/2006/relationships/hyperlink" Id="rId24" Target="http://www.gbe-bund.de/gbe10/express.prc_expr?p_aid=30416728&amp;p_uid=gast&amp;p_sprachkz=D&amp;p_var=0&amp;nummer=656&amp;p_indsp=&amp;p_ityp=H&amp;p_hlpnr=3&amp;p_lfd_nr=1&amp;p_sprache=D&amp;p_news=&amp;p_janein=J" TargetMode="External" /><Relationship Type="http://schemas.openxmlformats.org/officeDocument/2006/relationships/hyperlink" Id="rId22" Target="https://jakobschumacher.github.io/Update-Facharztmangel-im-oeffentlichen-Gesundheitsdienst/index.qmd.html" TargetMode="External" /></Relationships>
</file>

<file path=word/_rels/footnotes.xml.rels><?xml version="1.0" encoding="UTF-8"?><Relationships xmlns="http://schemas.openxmlformats.org/package/2006/relationships"><Relationship Type="http://schemas.openxmlformats.org/officeDocument/2006/relationships/hyperlink" Id="rId23" Target="http://www.gbe-bund.de" TargetMode="External" /><Relationship Type="http://schemas.openxmlformats.org/officeDocument/2006/relationships/hyperlink" Id="rId24" Target="http://www.gbe-bund.de/gbe10/express.prc_expr?p_aid=30416728&amp;p_uid=gast&amp;p_sprachkz=D&amp;p_var=0&amp;nummer=656&amp;p_indsp=&amp;p_ityp=H&amp;p_hlpnr=3&amp;p_lfd_nr=1&amp;p_sprache=D&amp;p_news=&amp;p_janein=J" TargetMode="External" /><Relationship Type="http://schemas.openxmlformats.org/officeDocument/2006/relationships/hyperlink" Id="rId22" Target="https://jakobschumacher.github.io/Update-Facharztmangel-im-oeffentlichen-Gesundheitsdienst/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Update Facharztmangel im ÖGD</dc:title>
  <dc:creator>Jakob Schumacher; Peter Tinnemann</dc:creator>
  <dc:language>de</dc:language>
  <cp:keywords/>
  <dcterms:created xsi:type="dcterms:W3CDTF">2025-05-16T13:18:35Z</dcterms:created>
  <dcterms:modified xsi:type="dcterms:W3CDTF">2025-05-16T13:18:35Z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lear-hidden-classes">
    <vt:lpwstr>none</vt:lpwstr>
  </property>
  <property fmtid="{D5CDD505-2E9C-101B-9397-08002B2CF9AE}" pid="8" name="date">
    <vt:lpwstr>2025-06-16</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subtitle">
    <vt:lpwstr>Haben die Entwicklungen rund um die Coronapandemie die Anzahl an Fachärzten für öffentliches Gesundheitswesen erhöht?</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Inhaltsverzeichnis</vt:lpwstr>
  </property>
  <property fmtid="{D5CDD505-2E9C-101B-9397-08002B2CF9AE}" pid="24" name="unroll-markdown-cells">
    <vt:lpwstr>True</vt:lpwstr>
  </property>
</Properties>
</file>