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svg" ContentType="image/svg+xml"/>
  <Override PartName="/word/media/rId22.svg" ContentType="image/svg+xml"/>
  <Override PartName="/word/media/rId2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Gastroenteritis-Erreger</w:t>
      </w:r>
      <w:r>
        <w:t xml:space="preserve"> </w:t>
      </w:r>
      <w:r>
        <w:t xml:space="preserve">am</w:t>
      </w:r>
      <w:r>
        <w:t xml:space="preserve"> </w:t>
      </w:r>
      <w:r>
        <w:t xml:space="preserve">Beispiel</w:t>
      </w:r>
      <w:r>
        <w:t xml:space="preserve"> </w:t>
      </w:r>
      <w:r>
        <w:t xml:space="preserve">E.Coli</w:t>
      </w:r>
    </w:p>
    <w:p>
      <w:pPr>
        <w:pStyle w:val="Author"/>
      </w:pPr>
      <w:r>
        <w:t xml:space="preserve">Jakob</w:t>
      </w:r>
      <w:r>
        <w:t xml:space="preserve"> </w:t>
      </w:r>
      <w:r>
        <w:t xml:space="preserve">Schumacher</w:t>
      </w:r>
    </w:p>
    <w:p>
      <w:pPr>
        <w:pStyle w:val="Date"/>
      </w:pPr>
      <w:r>
        <w:t xml:space="preserve">08.</w:t>
      </w:r>
      <w:r>
        <w:t xml:space="preserve"> </w:t>
      </w:r>
      <w:r>
        <w:t xml:space="preserve">April</w:t>
      </w:r>
      <w:r>
        <w:t xml:space="preserve"> </w:t>
      </w:r>
      <w:r>
        <w:t xml:space="preserve">2022</w:t>
      </w:r>
    </w:p>
    <w:bookmarkStart w:id="20" w:name="X5761d033053856ad48c421dda9a12dded1e1379"/>
    <w:p>
      <w:pPr>
        <w:pStyle w:val="Heading1"/>
      </w:pPr>
      <w:r>
        <w:t xml:space="preserve">Gastroenteritis-Erreger am Beispiel E.Coli</w:t>
      </w:r>
    </w:p>
    <w:p>
      <w:pPr>
        <w:pStyle w:val="FirstParagraph"/>
      </w:pPr>
      <w:r>
        <w:t xml:space="preserve">Jakob Schumacher</w:t>
      </w:r>
      <w:r>
        <w:t xml:space="preserve"> </w:t>
      </w:r>
      <w:r>
        <w:t xml:space="preserve">FALSE</w:t>
      </w:r>
    </w:p>
    <w:bookmarkEnd w:id="20"/>
    <w:bookmarkStart w:id="37" w:name="über-den-vortrag"/>
    <w:p>
      <w:pPr>
        <w:pStyle w:val="Heading1"/>
      </w:pPr>
      <w:r>
        <w:t xml:space="preserve">Über den Vortrag</w:t>
      </w:r>
    </w:p>
    <w:p>
      <w:pPr>
        <w:pStyle w:val="FirstParagraph"/>
      </w:pPr>
      <w:r>
        <w:t xml:space="preserve"> </w:t>
      </w:r>
      <w:r>
        <w:t xml:space="preserve">Dies ist ein Vortrag von Jakob Schumacher für den Kurs: WBKD-01 Akademie für öffentliches Gesundheitswesen . Die Zielgruppe sind Amtsärztinnen und Amtsärzte. Der Vortrag wurde am 08.04.2022 gehalten.</w:t>
      </w:r>
    </w:p>
    <w:p>
      <w:pPr>
        <w:pStyle w:val="BodyText"/>
      </w:pPr>
      <w:r>
        <w:t xml:space="preserve">Bedienungsanleitung: Der Vortrag ist eine Webseite. Die einzelnen Themenblöcke sind in Spalten organisiert. Mit den Pfeiltasten kommt man nach oben, unten, rechts und links. Mit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kann man sich eine Übersicht anzeigen lassen.</w:t>
      </w:r>
    </w:p>
    <w:p>
      <w:pPr>
        <w:pStyle w:val="BodyText"/>
      </w:pPr>
      <w:r>
        <w:t xml:space="preserve">Wie kann man an den Vortrag kommen? Er ist dauerhaft online verfügbar unter</w:t>
      </w:r>
      <w:r>
        <w:t xml:space="preserve"> </w:t>
      </w:r>
      <w:hyperlink r:id="rId21">
        <w:r>
          <w:rPr>
            <w:rStyle w:val="Hyperlink"/>
          </w:rPr>
          <w:t xml:space="preserve">https://jakobschumacher.github.io/presentations/</w:t>
        </w:r>
      </w:hyperlink>
      <w:r>
        <w:t xml:space="preserve">. Er ist als PDf oder als Word-Datei herunterladbar. Beispielsweise kann man mit dem Smartphone</w:t>
      </w:r>
      <w:r>
        <w:br/>
      </w:r>
    </w:p>
    <w:p>
      <w:pPr>
        <w:pStyle w:val="BodyText"/>
      </w:pPr>
      <w:r>
        <w:t xml:space="preserve">Online</w:t>
      </w:r>
    </w:p>
    <w:p>
      <w:pPr>
        <w:pStyle w:val="BodyText"/>
      </w:pPr>
      <w:r>
        <w:t xml:space="preserve">PDF</w:t>
      </w:r>
    </w:p>
    <w:p>
      <w:pPr>
        <w:pStyle w:val="BodyText"/>
      </w:pPr>
      <w:r>
        <w:t xml:space="preserve">Word</w:t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Online-Link" title="" id="23" name="Picture"/>
            <a:graphic>
              <a:graphicData uri="http://schemas.openxmlformats.org/drawingml/2006/picture">
                <pic:pic>
                  <pic:nvPicPr>
                    <pic:cNvPr descr="../assets/2022-04-08-WBKD-Gastroenteritis/QR-link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PDF-Link" title="" id="26" name="Picture"/>
            <a:graphic>
              <a:graphicData uri="http://schemas.openxmlformats.org/drawingml/2006/picture">
                <pic:pic>
                  <pic:nvPicPr>
                    <pic:cNvPr descr="../assets/2022-04-08-WBKD-Gastroenteritis/QR-pdf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DOC-Link" title="" id="29" name="Picture"/>
            <a:graphic>
              <a:graphicData uri="http://schemas.openxmlformats.org/drawingml/2006/picture">
                <pic:pic>
                  <pic:nvPicPr>
                    <pic:cNvPr descr="../assets/2022-04-08-WBKD-Gastroenteritis/QR-doc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Der Vortrag wurde erstellt mit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in</w:t>
      </w:r>
      <w:r>
        <w:t xml:space="preserve"> </w:t>
      </w:r>
      <w:hyperlink r:id="rId32">
        <w:r>
          <w:rPr>
            <w:rStyle w:val="Hyperlink"/>
          </w:rPr>
          <w:t xml:space="preserve">R/RStudio</w:t>
        </w:r>
      </w:hyperlink>
      <w:r>
        <w:t xml:space="preserve">. Die Präsentationswebseite läuft mit</w:t>
      </w:r>
      <w:r>
        <w:t xml:space="preserve"> </w:t>
      </w:r>
      <w:hyperlink r:id="rId33">
        <w:r>
          <w:rPr>
            <w:rStyle w:val="Hyperlink"/>
          </w:rPr>
          <w:t xml:space="preserve">Jekyll</w:t>
        </w:r>
      </w:hyperlink>
      <w:r>
        <w:t xml:space="preserve">.</w:t>
      </w:r>
    </w:p>
    <w:p>
      <w:pPr>
        <w:pStyle w:val="BodyText"/>
      </w:pPr>
      <w:r>
        <w:t xml:space="preserve">Download als PDF</w:t>
      </w:r>
    </w:p>
    <w:p>
      <w:pPr>
        <w:pStyle w:val="BodyText"/>
      </w:pPr>
    </w:p>
    <w:bookmarkStart w:id="36" w:name="über-mich"/>
    <w:p>
      <w:pPr>
        <w:pStyle w:val="Heading2"/>
      </w:pPr>
      <w:r>
        <w:t xml:space="preserve">Über mich</w:t>
      </w:r>
    </w:p>
    <w:p>
      <w:pPr>
        <w:numPr>
          <w:ilvl w:val="0"/>
          <w:numId w:val="1001"/>
        </w:numPr>
        <w:pStyle w:val="Compact"/>
      </w:pPr>
      <w:r>
        <w:t xml:space="preserve">Hygienereferent im Gesundheitsamt Reinickendorf</w:t>
      </w:r>
    </w:p>
    <w:p>
      <w:pPr>
        <w:numPr>
          <w:ilvl w:val="0"/>
          <w:numId w:val="1001"/>
        </w:numPr>
        <w:pStyle w:val="Compact"/>
      </w:pPr>
      <w:r>
        <w:t xml:space="preserve">Zuvor:</w:t>
      </w:r>
    </w:p>
    <w:p>
      <w:pPr>
        <w:numPr>
          <w:ilvl w:val="1"/>
          <w:numId w:val="1002"/>
        </w:numPr>
        <w:pStyle w:val="Compact"/>
      </w:pPr>
      <w:r>
        <w:t xml:space="preserve">Robert Koch-Institut</w:t>
      </w:r>
    </w:p>
    <w:p>
      <w:pPr>
        <w:numPr>
          <w:ilvl w:val="1"/>
          <w:numId w:val="1002"/>
        </w:numPr>
        <w:pStyle w:val="Compact"/>
      </w:pPr>
      <w:r>
        <w:t xml:space="preserve">Bundesministerium für Gesundheit</w:t>
      </w:r>
    </w:p>
    <w:p>
      <w:pPr>
        <w:numPr>
          <w:ilvl w:val="1"/>
          <w:numId w:val="1002"/>
        </w:numPr>
        <w:pStyle w:val="Compact"/>
      </w:pPr>
      <w:r>
        <w:t xml:space="preserve">Medizin (Krankenhaus, Gefängnis)</w:t>
      </w:r>
    </w:p>
    <w:p>
      <w:pPr>
        <w:numPr>
          <w:ilvl w:val="0"/>
          <w:numId w:val="1001"/>
        </w:numPr>
        <w:pStyle w:val="Compact"/>
      </w:pPr>
      <w:r>
        <w:t xml:space="preserve">Projekte:</w:t>
      </w:r>
    </w:p>
    <w:p>
      <w:pPr>
        <w:numPr>
          <w:ilvl w:val="1"/>
          <w:numId w:val="1003"/>
        </w:numPr>
        <w:pStyle w:val="Compact"/>
      </w:pPr>
      <w:hyperlink r:id="rId34">
        <w:r>
          <w:rPr>
            <w:rStyle w:val="Hyperlink"/>
          </w:rPr>
          <w:t xml:space="preserve">Infektionsschutzkompendium</w:t>
        </w:r>
      </w:hyperlink>
    </w:p>
    <w:p>
      <w:pPr>
        <w:numPr>
          <w:ilvl w:val="1"/>
          <w:numId w:val="1003"/>
        </w:numPr>
        <w:pStyle w:val="Compact"/>
      </w:pPr>
      <w:hyperlink r:id="rId35">
        <w:r>
          <w:rPr>
            <w:rStyle w:val="Hyperlink"/>
          </w:rPr>
          <w:t xml:space="preserve">Merkblätter für Infektionskrankheiten</w:t>
        </w:r>
      </w:hyperlink>
    </w:p>
    <w:bookmarkEnd w:id="36"/>
    <w:bookmarkEnd w:id="37"/>
    <w:bookmarkStart w:id="41" w:name="teil-1-rolle-der-gesundheitsämter"/>
    <w:p>
      <w:pPr>
        <w:pStyle w:val="Heading1"/>
      </w:pPr>
      <w:r>
        <w:t xml:space="preserve">Teil 1: Rolle der Gesundheitsämter</w:t>
      </w:r>
    </w:p>
    <w:bookmarkStart w:id="38" w:name="section"/>
    <w:p>
      <w:pPr>
        <w:pStyle w:val="Heading2"/>
      </w:pPr>
    </w:p>
    <w:bookmarkEnd w:id="38"/>
    <w:bookmarkStart w:id="39" w:name="vorbeugen-erkennen-verhindern-ifsg-1"/>
    <w:p>
      <w:pPr>
        <w:pStyle w:val="Heading2"/>
      </w:pPr>
      <w:r>
        <w:t xml:space="preserve">Vorbeugen, erkennen, verhindern (IfSG § 1)</w:t>
      </w:r>
    </w:p>
    <w:p>
      <w:pPr>
        <w:numPr>
          <w:ilvl w:val="0"/>
          <w:numId w:val="1004"/>
        </w:numPr>
        <w:pStyle w:val="Compact"/>
      </w:pPr>
      <w:r>
        <w:t xml:space="preserve">Gefahrenvorbeugung (IfSG § 16)</w:t>
      </w:r>
    </w:p>
    <w:p>
      <w:pPr>
        <w:numPr>
          <w:ilvl w:val="0"/>
          <w:numId w:val="1004"/>
        </w:numPr>
        <w:pStyle w:val="Compact"/>
      </w:pPr>
      <w:r>
        <w:t xml:space="preserve">Wissenschaft (IfSG § 4)</w:t>
      </w:r>
    </w:p>
    <w:p>
      <w:pPr>
        <w:numPr>
          <w:ilvl w:val="0"/>
          <w:numId w:val="1004"/>
        </w:numPr>
        <w:pStyle w:val="Compact"/>
      </w:pPr>
      <w:r>
        <w:t xml:space="preserve">Gefahrenerkennung (IfSG § 25, IHR § 5)</w:t>
      </w:r>
    </w:p>
    <w:p>
      <w:pPr>
        <w:numPr>
          <w:ilvl w:val="0"/>
          <w:numId w:val="1004"/>
        </w:numPr>
        <w:pStyle w:val="Compact"/>
      </w:pPr>
      <w:r>
        <w:t xml:space="preserve">Meldungen sammeln (IfSG § 6-11)</w:t>
      </w:r>
    </w:p>
    <w:p>
      <w:pPr>
        <w:numPr>
          <w:ilvl w:val="0"/>
          <w:numId w:val="1004"/>
        </w:numPr>
        <w:pStyle w:val="Compact"/>
      </w:pPr>
      <w:r>
        <w:t xml:space="preserve">Informationsweitergabe (IfSG § 27)</w:t>
      </w:r>
    </w:p>
    <w:p>
      <w:pPr>
        <w:numPr>
          <w:ilvl w:val="0"/>
          <w:numId w:val="1004"/>
        </w:numPr>
        <w:pStyle w:val="Compact"/>
      </w:pPr>
      <w:r>
        <w:t xml:space="preserve">Gefahrenabwehr (IfSG § 28)</w:t>
      </w:r>
    </w:p>
    <w:bookmarkEnd w:id="39"/>
    <w:bookmarkStart w:id="40" w:name="aufgaben-der-leitung"/>
    <w:p>
      <w:pPr>
        <w:pStyle w:val="Heading2"/>
      </w:pPr>
      <w:r>
        <w:t xml:space="preserve">Aufgaben der Leitung</w:t>
      </w:r>
    </w:p>
    <w:p>
      <w:pPr>
        <w:numPr>
          <w:ilvl w:val="0"/>
          <w:numId w:val="1005"/>
        </w:numPr>
        <w:pStyle w:val="Compact"/>
      </w:pPr>
      <w:r>
        <w:t xml:space="preserve">Maßnahmen hochhalten</w:t>
      </w:r>
    </w:p>
    <w:p>
      <w:pPr>
        <w:numPr>
          <w:ilvl w:val="0"/>
          <w:numId w:val="1005"/>
        </w:numPr>
        <w:pStyle w:val="Compact"/>
      </w:pPr>
      <w:r>
        <w:t xml:space="preserve">Methoden erarbeiten/trainieren</w:t>
      </w:r>
    </w:p>
    <w:p>
      <w:pPr>
        <w:numPr>
          <w:ilvl w:val="0"/>
          <w:numId w:val="1005"/>
        </w:numPr>
        <w:pStyle w:val="Compact"/>
      </w:pPr>
      <w:r>
        <w:t xml:space="preserve">Ausbruchserkennung organisieren</w:t>
      </w:r>
    </w:p>
    <w:p>
      <w:pPr>
        <w:numPr>
          <w:ilvl w:val="0"/>
          <w:numId w:val="1005"/>
        </w:numPr>
        <w:pStyle w:val="Compact"/>
      </w:pPr>
      <w:r>
        <w:t xml:space="preserve">Netzwerk pflegen</w:t>
      </w:r>
    </w:p>
    <w:p>
      <w:pPr>
        <w:numPr>
          <w:ilvl w:val="0"/>
          <w:numId w:val="1005"/>
        </w:numPr>
        <w:pStyle w:val="Compact"/>
      </w:pPr>
      <w:r>
        <w:t xml:space="preserve">Hintergrundwissen Mikrobiologie</w:t>
      </w:r>
    </w:p>
    <w:p>
      <w:pPr>
        <w:numPr>
          <w:ilvl w:val="0"/>
          <w:numId w:val="1005"/>
        </w:numPr>
        <w:pStyle w:val="Compact"/>
      </w:pPr>
      <w:r>
        <w:t xml:space="preserve">Personal aquirieren/schulen</w:t>
      </w:r>
    </w:p>
    <w:p>
      <w:pPr>
        <w:numPr>
          <w:ilvl w:val="0"/>
          <w:numId w:val="1005"/>
        </w:numPr>
        <w:pStyle w:val="Compact"/>
      </w:pPr>
      <w:r>
        <w:t xml:space="preserve">Krankheiten strategisch vorbeugen</w:t>
      </w:r>
    </w:p>
    <w:bookmarkEnd w:id="40"/>
    <w:bookmarkEnd w:id="41"/>
    <w:bookmarkStart w:id="46" w:name="teil-2-überblick"/>
    <w:p>
      <w:pPr>
        <w:pStyle w:val="Heading1"/>
      </w:pPr>
      <w:r>
        <w:t xml:space="preserve">Teil 2 Überblick</w:t>
      </w:r>
    </w:p>
    <w:bookmarkStart w:id="42" w:name="überblilck-über-gastroenteritis-erreger"/>
    <w:p>
      <w:pPr>
        <w:pStyle w:val="Heading2"/>
      </w:pPr>
      <w:r>
        <w:t xml:space="preserve">Überblilck über Gastroenteritis Erreger</w:t>
      </w:r>
    </w:p>
    <w:p>
      <w:pPr>
        <w:numPr>
          <w:ilvl w:val="0"/>
          <w:numId w:val="1006"/>
        </w:numPr>
        <w:pStyle w:val="Compact"/>
      </w:pPr>
      <w:r>
        <w:t xml:space="preserve">Norovirus</w:t>
      </w:r>
    </w:p>
    <w:p>
      <w:pPr>
        <w:numPr>
          <w:ilvl w:val="0"/>
          <w:numId w:val="1006"/>
        </w:numPr>
        <w:pStyle w:val="Compact"/>
      </w:pPr>
      <w:r>
        <w:t xml:space="preserve">Rotavirus</w:t>
      </w:r>
    </w:p>
    <w:p>
      <w:pPr>
        <w:numPr>
          <w:ilvl w:val="0"/>
          <w:numId w:val="1006"/>
        </w:numPr>
        <w:pStyle w:val="Compact"/>
      </w:pPr>
      <w:r>
        <w:t xml:space="preserve">Salmonellen</w:t>
      </w:r>
    </w:p>
    <w:p>
      <w:pPr>
        <w:numPr>
          <w:ilvl w:val="0"/>
          <w:numId w:val="1006"/>
        </w:numPr>
        <w:pStyle w:val="Compact"/>
      </w:pPr>
      <w:r>
        <w:t xml:space="preserve">Campylobacter</w:t>
      </w:r>
    </w:p>
    <w:p>
      <w:pPr>
        <w:numPr>
          <w:ilvl w:val="0"/>
          <w:numId w:val="1006"/>
        </w:numPr>
        <w:pStyle w:val="Compact"/>
      </w:pPr>
      <w:r>
        <w:t xml:space="preserve">Shigellen</w:t>
      </w:r>
    </w:p>
    <w:p>
      <w:pPr>
        <w:numPr>
          <w:ilvl w:val="0"/>
          <w:numId w:val="1006"/>
        </w:numPr>
        <w:pStyle w:val="Compact"/>
      </w:pPr>
      <w:r>
        <w:t xml:space="preserve">E.Coli</w:t>
      </w:r>
    </w:p>
    <w:p>
      <w:pPr>
        <w:numPr>
          <w:ilvl w:val="0"/>
          <w:numId w:val="1006"/>
        </w:numPr>
        <w:pStyle w:val="Compact"/>
      </w:pPr>
      <w:r>
        <w:t xml:space="preserve">Yersiniose</w:t>
      </w:r>
    </w:p>
    <w:p>
      <w:pPr>
        <w:numPr>
          <w:ilvl w:val="0"/>
          <w:numId w:val="1006"/>
        </w:numPr>
        <w:pStyle w:val="Compact"/>
      </w:pPr>
      <w:r>
        <w:t xml:space="preserve">Listeriose</w:t>
      </w:r>
    </w:p>
    <w:p>
      <w:pPr>
        <w:numPr>
          <w:ilvl w:val="0"/>
          <w:numId w:val="1006"/>
        </w:numPr>
        <w:pStyle w:val="Compact"/>
      </w:pPr>
      <w:r>
        <w:t xml:space="preserve">Giardia</w:t>
      </w:r>
    </w:p>
    <w:p>
      <w:pPr>
        <w:numPr>
          <w:ilvl w:val="0"/>
          <w:numId w:val="1006"/>
        </w:numPr>
        <w:pStyle w:val="Compact"/>
      </w:pPr>
      <w:r>
        <w:t xml:space="preserve">Kryptosporidiose</w:t>
      </w:r>
    </w:p>
    <w:bookmarkEnd w:id="42"/>
    <w:bookmarkStart w:id="43" w:name="die-wichtigsten-punkte"/>
    <w:p>
      <w:pPr>
        <w:pStyle w:val="Heading2"/>
      </w:pPr>
      <w:r>
        <w:t xml:space="preserve">Die wichtigsten Punkte</w:t>
      </w:r>
    </w:p>
    <w:p>
      <w:pPr>
        <w:numPr>
          <w:ilvl w:val="0"/>
          <w:numId w:val="1007"/>
        </w:numPr>
        <w:pStyle w:val="Compact"/>
      </w:pPr>
      <w:r>
        <w:t xml:space="preserve">Gestroenteritis-Erreger sind häufig</w:t>
      </w:r>
    </w:p>
    <w:p>
      <w:pPr>
        <w:numPr>
          <w:ilvl w:val="0"/>
          <w:numId w:val="1007"/>
        </w:numPr>
        <w:pStyle w:val="Compact"/>
      </w:pPr>
      <w:r>
        <w:t xml:space="preserve">Durchfall ist</w:t>
      </w:r>
      <w:r>
        <w:t xml:space="preserve"> </w:t>
      </w:r>
      <w:r>
        <w:t xml:space="preserve">“</w:t>
      </w:r>
      <w:r>
        <w:t xml:space="preserve">gemeinsame Endstrecke</w:t>
      </w:r>
      <w:r>
        <w:t xml:space="preserve">”</w:t>
      </w:r>
      <w:r>
        <w:t xml:space="preserve"> </w:t>
      </w:r>
      <w:r>
        <w:t xml:space="preserve">von Viren, Bakterien, Parasiten</w:t>
      </w:r>
    </w:p>
    <w:p>
      <w:pPr>
        <w:numPr>
          <w:ilvl w:val="0"/>
          <w:numId w:val="1007"/>
        </w:numPr>
        <w:pStyle w:val="Compact"/>
      </w:pPr>
      <w:r>
        <w:t xml:space="preserve">Großer Killer der Welt: 1,3 Mio (bei 2 Milliarden Infizierten)</w:t>
      </w:r>
    </w:p>
    <w:p>
      <w:pPr>
        <w:numPr>
          <w:ilvl w:val="0"/>
          <w:numId w:val="1007"/>
        </w:numPr>
        <w:pStyle w:val="Compact"/>
      </w:pPr>
      <w:r>
        <w:t xml:space="preserve">Gastroenteritis-Erreger Vorbeugung: Wassermanagement, Toiletten, Landwirtschaft</w:t>
      </w:r>
    </w:p>
    <w:p>
      <w:pPr>
        <w:numPr>
          <w:ilvl w:val="0"/>
          <w:numId w:val="1007"/>
        </w:numPr>
        <w:pStyle w:val="Compact"/>
      </w:pPr>
      <w:r>
        <w:t xml:space="preserve">In Deutschland größte Gefahr durch: EHEC/HUS</w:t>
      </w:r>
    </w:p>
    <w:p>
      <w:pPr>
        <w:numPr>
          <w:ilvl w:val="0"/>
          <w:numId w:val="1007"/>
        </w:numPr>
        <w:pStyle w:val="Compact"/>
      </w:pPr>
      <w:r>
        <w:t xml:space="preserve">Bei der Ermittlung: Ausbrüche bedenken</w:t>
      </w:r>
    </w:p>
    <w:p>
      <w:pPr>
        <w:numPr>
          <w:ilvl w:val="0"/>
          <w:numId w:val="1007"/>
        </w:numPr>
        <w:pStyle w:val="Compact"/>
      </w:pPr>
      <w:r>
        <w:t xml:space="preserve">Zusammenarbeit mit Lebensmittelaufsicht</w:t>
      </w:r>
    </w:p>
    <w:p>
      <w:pPr>
        <w:numPr>
          <w:ilvl w:val="0"/>
          <w:numId w:val="1007"/>
        </w:numPr>
        <w:pStyle w:val="Compact"/>
      </w:pPr>
      <w:r>
        <w:t xml:space="preserve">Norovirus ist ein Indikator für Hygiene</w:t>
      </w:r>
    </w:p>
    <w:bookmarkEnd w:id="43"/>
    <w:bookmarkStart w:id="44" w:name="der-darm"/>
    <w:p>
      <w:pPr>
        <w:pStyle w:val="Heading2"/>
      </w:pPr>
      <w:r>
        <w:t xml:space="preserve">Der Darm</w:t>
      </w:r>
    </w:p>
    <w:p>
      <w:pPr>
        <w:numPr>
          <w:ilvl w:val="0"/>
          <w:numId w:val="1008"/>
        </w:numPr>
        <w:pStyle w:val="Compact"/>
      </w:pPr>
      <w:r>
        <w:t xml:space="preserve">4-5 Meter lang</w:t>
      </w:r>
    </w:p>
    <w:p>
      <w:pPr>
        <w:numPr>
          <w:ilvl w:val="0"/>
          <w:numId w:val="1008"/>
        </w:numPr>
        <w:pStyle w:val="Compact"/>
      </w:pPr>
      <w:r>
        <w:t xml:space="preserve">Enthält 1-2 Kilogramm Bakterien (Mikrobiom)</w:t>
      </w:r>
    </w:p>
    <w:p>
      <w:pPr>
        <w:numPr>
          <w:ilvl w:val="0"/>
          <w:numId w:val="1008"/>
        </w:numPr>
        <w:pStyle w:val="Compact"/>
      </w:pPr>
      <w:r>
        <w:t xml:space="preserve">Wichtigste Aufgabe: Verdauung, Immunabwehr und ?</w:t>
      </w:r>
    </w:p>
    <w:p>
      <w:pPr>
        <w:numPr>
          <w:ilvl w:val="0"/>
          <w:numId w:val="1008"/>
        </w:numPr>
        <w:pStyle w:val="Compact"/>
      </w:pPr>
      <w:r>
        <w:t xml:space="preserve">Das Mikrobiom spielt eine größere Rolle als bislang gedacht</w:t>
      </w:r>
    </w:p>
    <w:bookmarkEnd w:id="44"/>
    <w:bookmarkStart w:id="45" w:name="was-muss-man-zu-einem-erreger-wissen"/>
    <w:p>
      <w:pPr>
        <w:pStyle w:val="Heading2"/>
      </w:pPr>
      <w:r>
        <w:t xml:space="preserve">Was muss man zu einem Erreger wissen</w:t>
      </w:r>
    </w:p>
    <w:p>
      <w:pPr>
        <w:numPr>
          <w:ilvl w:val="0"/>
          <w:numId w:val="1009"/>
        </w:numPr>
        <w:pStyle w:val="Compact"/>
      </w:pPr>
      <w:r>
        <w:t xml:space="preserve">Namen des Erregers und Krankheit</w:t>
      </w:r>
    </w:p>
    <w:p>
      <w:pPr>
        <w:numPr>
          <w:ilvl w:val="0"/>
          <w:numId w:val="1009"/>
        </w:numPr>
        <w:pStyle w:val="Compact"/>
      </w:pPr>
      <w:r>
        <w:t xml:space="preserve">Epidemiologie</w:t>
      </w:r>
    </w:p>
    <w:p>
      <w:pPr>
        <w:numPr>
          <w:ilvl w:val="0"/>
          <w:numId w:val="1009"/>
        </w:numPr>
        <w:pStyle w:val="Compact"/>
      </w:pPr>
      <w:r>
        <w:t xml:space="preserve">Vorkommen</w:t>
      </w:r>
    </w:p>
    <w:p>
      <w:pPr>
        <w:numPr>
          <w:ilvl w:val="0"/>
          <w:numId w:val="1009"/>
        </w:numPr>
        <w:pStyle w:val="Compact"/>
      </w:pPr>
      <w:r>
        <w:t xml:space="preserve">Umweltverhalten</w:t>
      </w:r>
    </w:p>
    <w:p>
      <w:pPr>
        <w:numPr>
          <w:ilvl w:val="0"/>
          <w:numId w:val="1009"/>
        </w:numPr>
        <w:pStyle w:val="Compact"/>
      </w:pPr>
      <w:r>
        <w:t xml:space="preserve">Übertragungswege</w:t>
      </w:r>
    </w:p>
    <w:p>
      <w:pPr>
        <w:numPr>
          <w:ilvl w:val="0"/>
          <w:numId w:val="1009"/>
        </w:numPr>
        <w:pStyle w:val="Compact"/>
      </w:pPr>
      <w:r>
        <w:t xml:space="preserve">Zeiten</w:t>
      </w:r>
    </w:p>
    <w:p>
      <w:pPr>
        <w:numPr>
          <w:ilvl w:val="0"/>
          <w:numId w:val="1009"/>
        </w:numPr>
        <w:pStyle w:val="Compact"/>
      </w:pPr>
      <w:r>
        <w:t xml:space="preserve">Labornachweise</w:t>
      </w:r>
    </w:p>
    <w:p>
      <w:pPr>
        <w:numPr>
          <w:ilvl w:val="0"/>
          <w:numId w:val="1009"/>
        </w:numPr>
        <w:pStyle w:val="Compact"/>
      </w:pPr>
      <w:r>
        <w:t xml:space="preserve">Meldepflichten</w:t>
      </w:r>
    </w:p>
    <w:p>
      <w:pPr>
        <w:numPr>
          <w:ilvl w:val="0"/>
          <w:numId w:val="1009"/>
        </w:numPr>
        <w:pStyle w:val="Compact"/>
      </w:pPr>
      <w:r>
        <w:t xml:space="preserve">Infektionsinterview-Fragen</w:t>
      </w:r>
    </w:p>
    <w:p>
      <w:pPr>
        <w:numPr>
          <w:ilvl w:val="0"/>
          <w:numId w:val="1009"/>
        </w:numPr>
        <w:pStyle w:val="Compact"/>
      </w:pPr>
      <w:r>
        <w:t xml:space="preserve">Maßnahmen</w:t>
      </w:r>
    </w:p>
    <w:bookmarkEnd w:id="45"/>
    <w:bookmarkEnd w:id="46"/>
    <w:bookmarkStart w:id="61" w:name="teil-3"/>
    <w:p>
      <w:pPr>
        <w:pStyle w:val="Heading1"/>
      </w:pPr>
      <w:r>
        <w:t xml:space="preserve">Teil 3</w:t>
      </w:r>
    </w:p>
    <w:p>
      <w:pPr>
        <w:pStyle w:val="FirstParagraph"/>
      </w:pPr>
      <w:r>
        <w:t xml:space="preserve">E.Coli und seine Krankheiten</w:t>
      </w:r>
    </w:p>
    <w:bookmarkStart w:id="47" w:name="X27671dd52ee88b22357710afbfc33dd9b863095"/>
    <w:p>
      <w:pPr>
        <w:pStyle w:val="Heading2"/>
      </w:pPr>
      <w:r>
        <w:t xml:space="preserve">1. Namen und Krankheiten des Erregers: E.Coli</w:t>
      </w:r>
    </w:p>
    <w:p>
      <w:pPr>
        <w:numPr>
          <w:ilvl w:val="0"/>
          <w:numId w:val="1010"/>
        </w:numPr>
        <w:pStyle w:val="Compact"/>
      </w:pPr>
      <w:r>
        <w:t xml:space="preserve">Coliformer, E.Coli, ETEC, EPEC, EIEC, EAEC, EHEC, MRGN</w:t>
      </w:r>
    </w:p>
    <w:p>
      <w:pPr>
        <w:numPr>
          <w:ilvl w:val="0"/>
          <w:numId w:val="1010"/>
        </w:numPr>
        <w:pStyle w:val="Compact"/>
      </w:pPr>
      <w:r>
        <w:t xml:space="preserve">Symbiont: Hilft bei Nahrungsaufspaltung, produziert Vitamine</w:t>
      </w:r>
    </w:p>
    <w:p>
      <w:pPr>
        <w:numPr>
          <w:ilvl w:val="0"/>
          <w:numId w:val="1010"/>
        </w:numPr>
        <w:pStyle w:val="Compact"/>
      </w:pPr>
      <w:r>
        <w:t xml:space="preserve">Pathovar: Gastroenteritis, Infektionen, HUS, (Indikatorkeim)</w:t>
      </w:r>
    </w:p>
    <w:p>
      <w:pPr>
        <w:numPr>
          <w:ilvl w:val="0"/>
          <w:numId w:val="1010"/>
        </w:numPr>
        <w:pStyle w:val="Compact"/>
      </w:pPr>
      <w:r>
        <w:t xml:space="preserve">E.Coli hat diverse Mechanismen/Toxine (Antibiotika, Anheftung, Eindringung)</w:t>
      </w:r>
    </w:p>
    <w:p>
      <w:pPr>
        <w:numPr>
          <w:ilvl w:val="0"/>
          <w:numId w:val="1010"/>
        </w:numPr>
        <w:pStyle w:val="Compact"/>
      </w:pPr>
      <w:r>
        <w:t xml:space="preserve">Shigatoxin 2 (nur EHEC) verursacht ein HUS</w:t>
      </w:r>
    </w:p>
    <w:bookmarkEnd w:id="47"/>
    <w:bookmarkStart w:id="48" w:name="epidemiologie"/>
    <w:p>
      <w:pPr>
        <w:pStyle w:val="Heading2"/>
      </w:pPr>
      <w:r>
        <w:t xml:space="preserve">2. Epidemiologie</w:t>
      </w:r>
    </w:p>
    <w:p>
      <w:pPr>
        <w:numPr>
          <w:ilvl w:val="0"/>
          <w:numId w:val="1011"/>
        </w:numPr>
        <w:pStyle w:val="Compact"/>
      </w:pPr>
      <w:r>
        <w:t xml:space="preserve">Massive Inzidenzen in Ländern mit hygienisch niedrigen Standards</w:t>
      </w:r>
    </w:p>
    <w:p>
      <w:pPr>
        <w:numPr>
          <w:ilvl w:val="0"/>
          <w:numId w:val="1011"/>
        </w:numPr>
        <w:pStyle w:val="Compact"/>
      </w:pPr>
      <w:r>
        <w:t xml:space="preserve">Deutschland</w:t>
      </w:r>
    </w:p>
    <w:p>
      <w:pPr>
        <w:numPr>
          <w:ilvl w:val="1"/>
          <w:numId w:val="1012"/>
        </w:numPr>
        <w:pStyle w:val="Compact"/>
      </w:pPr>
      <w:r>
        <w:t xml:space="preserve">~10.000 E.Coli-Enteritis</w:t>
      </w:r>
    </w:p>
    <w:p>
      <w:pPr>
        <w:numPr>
          <w:ilvl w:val="1"/>
          <w:numId w:val="1012"/>
        </w:numPr>
        <w:pStyle w:val="Compact"/>
      </w:pPr>
      <w:r>
        <w:t xml:space="preserve">~1000 Ehec</w:t>
      </w:r>
    </w:p>
    <w:p>
      <w:pPr>
        <w:numPr>
          <w:ilvl w:val="1"/>
          <w:numId w:val="1012"/>
        </w:numPr>
        <w:pStyle w:val="Compact"/>
      </w:pPr>
      <w:r>
        <w:t xml:space="preserve">~100 HUS</w:t>
      </w:r>
    </w:p>
    <w:p>
      <w:pPr>
        <w:numPr>
          <w:ilvl w:val="0"/>
          <w:numId w:val="1011"/>
        </w:numPr>
        <w:pStyle w:val="Compact"/>
      </w:pPr>
      <w:r>
        <w:t xml:space="preserve">Kinder und Reiserückkehrer</w:t>
      </w:r>
    </w:p>
    <w:bookmarkEnd w:id="48"/>
    <w:bookmarkStart w:id="49" w:name="vorkommen"/>
    <w:p>
      <w:pPr>
        <w:pStyle w:val="Heading2"/>
      </w:pPr>
      <w:r>
        <w:t xml:space="preserve">3. Vorkommen</w:t>
      </w:r>
    </w:p>
    <w:p>
      <w:pPr>
        <w:numPr>
          <w:ilvl w:val="0"/>
          <w:numId w:val="1013"/>
        </w:numPr>
        <w:pStyle w:val="Compact"/>
      </w:pPr>
      <w:r>
        <w:t xml:space="preserve">E.Coli lebt im Enddarm von vielen Warmblütern</w:t>
      </w:r>
    </w:p>
    <w:p>
      <w:pPr>
        <w:numPr>
          <w:ilvl w:val="0"/>
          <w:numId w:val="1013"/>
        </w:numPr>
        <w:pStyle w:val="Compact"/>
      </w:pPr>
      <w:r>
        <w:t xml:space="preserve">Weltweit vertreten</w:t>
      </w:r>
    </w:p>
    <w:p>
      <w:pPr>
        <w:numPr>
          <w:ilvl w:val="0"/>
          <w:numId w:val="1013"/>
        </w:numPr>
        <w:pStyle w:val="Compact"/>
      </w:pPr>
      <w:r>
        <w:t xml:space="preserve">EHEC vor allem in Wiederkäuern: Rinder, Schafe, Ziegen</w:t>
      </w:r>
    </w:p>
    <w:bookmarkEnd w:id="49"/>
    <w:bookmarkStart w:id="50" w:name="umweltverhalten"/>
    <w:p>
      <w:pPr>
        <w:pStyle w:val="Heading2"/>
      </w:pPr>
      <w:r>
        <w:t xml:space="preserve">4. Umweltverhalten</w:t>
      </w:r>
    </w:p>
    <w:p>
      <w:pPr>
        <w:numPr>
          <w:ilvl w:val="0"/>
          <w:numId w:val="1014"/>
        </w:numPr>
        <w:pStyle w:val="Compact"/>
      </w:pPr>
      <w:r>
        <w:t xml:space="preserve">E.Coli lebt im Darm von Tieren</w:t>
      </w:r>
    </w:p>
    <w:p>
      <w:pPr>
        <w:numPr>
          <w:ilvl w:val="0"/>
          <w:numId w:val="1014"/>
        </w:numPr>
        <w:pStyle w:val="Compact"/>
      </w:pPr>
      <w:r>
        <w:t xml:space="preserve">Von dort auf das Fell und die Umgebung</w:t>
      </w:r>
    </w:p>
    <w:p>
      <w:pPr>
        <w:numPr>
          <w:ilvl w:val="0"/>
          <w:numId w:val="1014"/>
        </w:numPr>
        <w:pStyle w:val="Compact"/>
      </w:pPr>
      <w:r>
        <w:t xml:space="preserve">Vom Fell beim Schlachten aufs Fleisch</w:t>
      </w:r>
    </w:p>
    <w:p>
      <w:pPr>
        <w:numPr>
          <w:ilvl w:val="0"/>
          <w:numId w:val="1014"/>
        </w:numPr>
        <w:pStyle w:val="Compact"/>
      </w:pPr>
      <w:r>
        <w:t xml:space="preserve">Vom Fell auf die Hand</w:t>
      </w:r>
    </w:p>
    <w:p>
      <w:pPr>
        <w:numPr>
          <w:ilvl w:val="0"/>
          <w:numId w:val="1014"/>
        </w:numPr>
        <w:pStyle w:val="Compact"/>
      </w:pPr>
      <w:r>
        <w:t xml:space="preserve">Vom Darm auf die Felder</w:t>
      </w:r>
    </w:p>
    <w:p>
      <w:pPr>
        <w:numPr>
          <w:ilvl w:val="0"/>
          <w:numId w:val="1014"/>
        </w:numPr>
        <w:pStyle w:val="Compact"/>
      </w:pPr>
      <w:r>
        <w:t xml:space="preserve">Vom Darm ins Wasser</w:t>
      </w:r>
    </w:p>
    <w:p>
      <w:pPr>
        <w:numPr>
          <w:ilvl w:val="0"/>
          <w:numId w:val="1014"/>
        </w:numPr>
        <w:pStyle w:val="Compact"/>
      </w:pPr>
      <w:r>
        <w:t xml:space="preserve">Vom Wasser aufs Feld</w:t>
      </w:r>
    </w:p>
    <w:bookmarkEnd w:id="50"/>
    <w:bookmarkStart w:id="51" w:name="wichtigste-übertragung-auf-menschen"/>
    <w:p>
      <w:pPr>
        <w:pStyle w:val="Heading2"/>
      </w:pPr>
      <w:r>
        <w:t xml:space="preserve">5. Wichtigste Übertragung auf Menschen</w:t>
      </w:r>
    </w:p>
    <w:p>
      <w:pPr>
        <w:numPr>
          <w:ilvl w:val="0"/>
          <w:numId w:val="1015"/>
        </w:numPr>
        <w:pStyle w:val="Compact"/>
      </w:pPr>
      <w:r>
        <w:t xml:space="preserve">Kontaktinfektion (Schmierinfektion, Fäkal-Oral, Händeinfektion)</w:t>
      </w:r>
    </w:p>
    <w:p>
      <w:pPr>
        <w:numPr>
          <w:ilvl w:val="0"/>
          <w:numId w:val="1015"/>
        </w:numPr>
        <w:pStyle w:val="Compact"/>
      </w:pPr>
      <w:r>
        <w:t xml:space="preserve">Lebensmittel</w:t>
      </w:r>
    </w:p>
    <w:p>
      <w:pPr>
        <w:numPr>
          <w:ilvl w:val="0"/>
          <w:numId w:val="1015"/>
        </w:numPr>
        <w:pStyle w:val="Compact"/>
      </w:pPr>
      <w:r>
        <w:t xml:space="preserve">Trinkwasser</w:t>
      </w:r>
    </w:p>
    <w:bookmarkEnd w:id="51"/>
    <w:bookmarkStart w:id="52" w:name="zeiten"/>
    <w:p>
      <w:pPr>
        <w:pStyle w:val="Heading2"/>
      </w:pPr>
      <w:r>
        <w:t xml:space="preserve">6. Zeiten</w:t>
      </w:r>
    </w:p>
    <w:p>
      <w:pPr>
        <w:numPr>
          <w:ilvl w:val="0"/>
          <w:numId w:val="1016"/>
        </w:numPr>
        <w:pStyle w:val="Compact"/>
      </w:pPr>
      <w:r>
        <w:t xml:space="preserve">Inkubationszeit: 2-10 Tage</w:t>
      </w:r>
    </w:p>
    <w:p>
      <w:pPr>
        <w:numPr>
          <w:ilvl w:val="0"/>
          <w:numId w:val="1016"/>
        </w:numPr>
        <w:pStyle w:val="Compact"/>
      </w:pPr>
      <w:r>
        <w:t xml:space="preserve">Ansteckungsfähige Zeit: Solange Symptome bestehen. Aber Dauerausscheidung möglich</w:t>
      </w:r>
    </w:p>
    <w:bookmarkEnd w:id="52"/>
    <w:bookmarkStart w:id="53" w:name="labornachweise"/>
    <w:p>
      <w:pPr>
        <w:pStyle w:val="Heading2"/>
      </w:pPr>
      <w:r>
        <w:t xml:space="preserve">7. Labornachweise</w:t>
      </w:r>
    </w:p>
    <w:p>
      <w:pPr>
        <w:numPr>
          <w:ilvl w:val="0"/>
          <w:numId w:val="1017"/>
        </w:numPr>
        <w:pStyle w:val="Compact"/>
      </w:pPr>
      <w:r>
        <w:t xml:space="preserve">Kultur (Goldstandard)</w:t>
      </w:r>
    </w:p>
    <w:p>
      <w:pPr>
        <w:numPr>
          <w:ilvl w:val="0"/>
          <w:numId w:val="1017"/>
        </w:numPr>
        <w:pStyle w:val="Compact"/>
      </w:pPr>
      <w:r>
        <w:t xml:space="preserve">PCR (Weißt die Gene nach)</w:t>
      </w:r>
    </w:p>
    <w:p>
      <w:pPr>
        <w:numPr>
          <w:ilvl w:val="0"/>
          <w:numId w:val="1017"/>
        </w:numPr>
        <w:pStyle w:val="Compact"/>
      </w:pPr>
      <w:r>
        <w:t xml:space="preserve">ELISA (Weißt die Toxine nach)</w:t>
      </w:r>
    </w:p>
    <w:p>
      <w:pPr>
        <w:numPr>
          <w:ilvl w:val="0"/>
          <w:numId w:val="1017"/>
        </w:numPr>
        <w:pStyle w:val="Compact"/>
      </w:pPr>
      <w:r>
        <w:t xml:space="preserve">Genomsequenzierung</w:t>
      </w:r>
    </w:p>
    <w:bookmarkEnd w:id="53"/>
    <w:bookmarkStart w:id="56" w:name="e.coli-erscheint-als-folgende-meldung"/>
    <w:p>
      <w:pPr>
        <w:pStyle w:val="Heading2"/>
      </w:pPr>
      <w:r>
        <w:t xml:space="preserve">8. E.Coli erscheint als folgende Meldung</w:t>
      </w:r>
    </w:p>
    <w:p>
      <w:pPr>
        <w:numPr>
          <w:ilvl w:val="0"/>
          <w:numId w:val="1018"/>
        </w:numPr>
        <w:pStyle w:val="Compact"/>
      </w:pPr>
      <w:r>
        <w:t xml:space="preserve">HUS (Arzt)</w:t>
      </w:r>
    </w:p>
    <w:p>
      <w:pPr>
        <w:numPr>
          <w:ilvl w:val="0"/>
          <w:numId w:val="1018"/>
        </w:numPr>
        <w:pStyle w:val="Compact"/>
      </w:pPr>
      <w:r>
        <w:t xml:space="preserve">EHEC (Labor)</w:t>
      </w:r>
    </w:p>
    <w:p>
      <w:pPr>
        <w:numPr>
          <w:ilvl w:val="0"/>
          <w:numId w:val="1018"/>
        </w:numPr>
        <w:pStyle w:val="Compact"/>
      </w:pPr>
      <w:r>
        <w:t xml:space="preserve">E.Coli-Enteritis (Labor,</w:t>
      </w:r>
      <w:r>
        <w:t xml:space="preserve"> </w:t>
      </w:r>
      <w:hyperlink r:id="rId54">
        <w:r>
          <w:rPr>
            <w:rStyle w:val="Hyperlink"/>
          </w:rPr>
          <w:t xml:space="preserve">§34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§36</w:t>
        </w:r>
      </w:hyperlink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Wasserkeim (TrinkWV)</w:t>
      </w:r>
    </w:p>
    <w:p>
      <w:pPr>
        <w:numPr>
          <w:ilvl w:val="0"/>
          <w:numId w:val="1018"/>
        </w:numPr>
        <w:pStyle w:val="Compact"/>
      </w:pPr>
      <w:r>
        <w:t xml:space="preserve">MRGN (Labor)</w:t>
      </w:r>
    </w:p>
    <w:p>
      <w:pPr>
        <w:numPr>
          <w:ilvl w:val="0"/>
          <w:numId w:val="1018"/>
        </w:numPr>
        <w:pStyle w:val="Compact"/>
      </w:pPr>
      <w:r>
        <w:t xml:space="preserve">Wundinfektionskeim (Fehlmeldung)</w:t>
      </w:r>
    </w:p>
    <w:bookmarkEnd w:id="56"/>
    <w:bookmarkStart w:id="57" w:name="maßnahmen-ehec-i"/>
    <w:p>
      <w:pPr>
        <w:pStyle w:val="Heading2"/>
      </w:pPr>
      <w:r>
        <w:t xml:space="preserve">9. Maßnahmen EHEC I</w:t>
      </w:r>
    </w:p>
    <w:p>
      <w:pPr>
        <w:numPr>
          <w:ilvl w:val="0"/>
          <w:numId w:val="1019"/>
        </w:numPr>
        <w:pStyle w:val="Compact"/>
      </w:pPr>
      <w:r>
        <w:t xml:space="preserve">Informationsbeschaffung, Übermittlung, Informationsweitergabe (Lebensmittelaufsicht)</w:t>
      </w:r>
    </w:p>
    <w:p>
      <w:pPr>
        <w:numPr>
          <w:ilvl w:val="0"/>
          <w:numId w:val="1019"/>
        </w:numPr>
        <w:pStyle w:val="Compact"/>
      </w:pPr>
      <w:r>
        <w:t xml:space="preserve">Ausbruchsuntersuchung</w:t>
      </w:r>
    </w:p>
    <w:p>
      <w:pPr>
        <w:numPr>
          <w:ilvl w:val="0"/>
          <w:numId w:val="1019"/>
        </w:numPr>
        <w:pStyle w:val="Compact"/>
      </w:pPr>
      <w:r>
        <w:t xml:space="preserve">Aufklärung</w:t>
      </w:r>
    </w:p>
    <w:p>
      <w:pPr>
        <w:numPr>
          <w:ilvl w:val="1"/>
          <w:numId w:val="1020"/>
        </w:numPr>
        <w:pStyle w:val="Compact"/>
      </w:pPr>
      <w:r>
        <w:t xml:space="preserve">Erreger</w:t>
      </w:r>
    </w:p>
    <w:p>
      <w:pPr>
        <w:numPr>
          <w:ilvl w:val="1"/>
          <w:numId w:val="1020"/>
        </w:numPr>
        <w:pStyle w:val="Compact"/>
      </w:pPr>
      <w:r>
        <w:t xml:space="preserve">Küchenhygiene</w:t>
      </w:r>
    </w:p>
    <w:p>
      <w:pPr>
        <w:numPr>
          <w:ilvl w:val="1"/>
          <w:numId w:val="1020"/>
        </w:numPr>
        <w:pStyle w:val="Compact"/>
      </w:pPr>
      <w:r>
        <w:t xml:space="preserve">Toilettenhygiene.</w:t>
      </w:r>
    </w:p>
    <w:p>
      <w:pPr>
        <w:numPr>
          <w:ilvl w:val="1"/>
          <w:numId w:val="1020"/>
        </w:numPr>
        <w:pStyle w:val="Compact"/>
      </w:pPr>
      <w:r>
        <w:t xml:space="preserve">Händehygiene</w:t>
      </w:r>
    </w:p>
    <w:p>
      <w:pPr>
        <w:numPr>
          <w:ilvl w:val="1"/>
          <w:numId w:val="1020"/>
        </w:numPr>
        <w:pStyle w:val="Compact"/>
      </w:pPr>
      <w:r>
        <w:t xml:space="preserve">Wäschehygiene</w:t>
      </w:r>
    </w:p>
    <w:p>
      <w:pPr>
        <w:numPr>
          <w:ilvl w:val="1"/>
          <w:numId w:val="1020"/>
        </w:numPr>
        <w:pStyle w:val="Compact"/>
      </w:pPr>
      <w:r>
        <w:t xml:space="preserve">Lebensmittelhygiene auf Reisen</w:t>
      </w:r>
    </w:p>
    <w:p>
      <w:pPr>
        <w:numPr>
          <w:ilvl w:val="1"/>
          <w:numId w:val="1020"/>
        </w:numPr>
        <w:pStyle w:val="Compact"/>
      </w:pPr>
      <w:r>
        <w:t xml:space="preserve">Streichelzoo</w:t>
      </w:r>
    </w:p>
    <w:bookmarkEnd w:id="57"/>
    <w:bookmarkStart w:id="58" w:name="maßnahmen-ehec-ii"/>
    <w:p>
      <w:pPr>
        <w:pStyle w:val="Heading2"/>
      </w:pPr>
      <w:r>
        <w:t xml:space="preserve">9. Maßnahmen EHEC II</w:t>
      </w:r>
    </w:p>
    <w:p>
      <w:pPr>
        <w:numPr>
          <w:ilvl w:val="0"/>
          <w:numId w:val="1021"/>
        </w:numPr>
        <w:pStyle w:val="Compact"/>
      </w:pPr>
      <w:r>
        <w:t xml:space="preserve">Isolierung der erkrankten Person in einer Einrichtung</w:t>
      </w:r>
    </w:p>
    <w:p>
      <w:pPr>
        <w:numPr>
          <w:ilvl w:val="0"/>
          <w:numId w:val="1021"/>
        </w:numPr>
        <w:pStyle w:val="Compact"/>
      </w:pPr>
      <w:r>
        <w:t xml:space="preserve">Tätigkeitsverbot nach § 34</w:t>
      </w:r>
    </w:p>
    <w:p>
      <w:pPr>
        <w:numPr>
          <w:ilvl w:val="0"/>
          <w:numId w:val="1021"/>
        </w:numPr>
        <w:pStyle w:val="Compact"/>
      </w:pPr>
      <w:r>
        <w:t xml:space="preserve">Tätigkeitsverbot nach § 42</w:t>
      </w:r>
    </w:p>
    <w:bookmarkEnd w:id="58"/>
    <w:bookmarkStart w:id="59" w:name="infektionsinterview-fragen-i"/>
    <w:p>
      <w:pPr>
        <w:pStyle w:val="Heading2"/>
      </w:pPr>
      <w:r>
        <w:t xml:space="preserve">10. Infektionsinterview-Fragen I</w:t>
      </w:r>
    </w:p>
    <w:p>
      <w:pPr>
        <w:numPr>
          <w:ilvl w:val="0"/>
          <w:numId w:val="1022"/>
        </w:numPr>
        <w:pStyle w:val="Compact"/>
      </w:pPr>
      <w:r>
        <w:t xml:space="preserve">Wie geht es Ihnen? (!)</w:t>
      </w:r>
    </w:p>
    <w:p>
      <w:pPr>
        <w:numPr>
          <w:ilvl w:val="0"/>
          <w:numId w:val="1022"/>
        </w:numPr>
        <w:pStyle w:val="Compact"/>
      </w:pPr>
      <w:r>
        <w:t xml:space="preserve">Welche Krankheitszeichen sind bei Ihnen aufgetreten?</w:t>
      </w:r>
    </w:p>
    <w:p>
      <w:pPr>
        <w:numPr>
          <w:ilvl w:val="0"/>
          <w:numId w:val="1022"/>
        </w:numPr>
        <w:pStyle w:val="Compact"/>
      </w:pPr>
      <w:r>
        <w:t xml:space="preserve">Wann hat die Erkrankung genau begonnen?</w:t>
      </w:r>
    </w:p>
    <w:p>
      <w:pPr>
        <w:numPr>
          <w:ilvl w:val="0"/>
          <w:numId w:val="1022"/>
        </w:numPr>
        <w:pStyle w:val="Compact"/>
      </w:pPr>
      <w:r>
        <w:t xml:space="preserve">Sind in Ihrem Umfeld weitere Personen erkrankt?</w:t>
      </w:r>
    </w:p>
    <w:p>
      <w:pPr>
        <w:numPr>
          <w:ilvl w:val="0"/>
          <w:numId w:val="1022"/>
        </w:numPr>
        <w:pStyle w:val="Compact"/>
      </w:pPr>
      <w:r>
        <w:t xml:space="preserve">Haben Sie eine Verbindung zu einer Kita oder ähnlichen Einrichtung?</w:t>
      </w:r>
    </w:p>
    <w:p>
      <w:pPr>
        <w:numPr>
          <w:ilvl w:val="0"/>
          <w:numId w:val="1022"/>
        </w:numPr>
        <w:pStyle w:val="Compact"/>
      </w:pPr>
      <w:r>
        <w:t xml:space="preserve">Haben Sie eine Verbindung zu einer Einrichtung, in der sehr viele Menschen untergebracht sind?</w:t>
      </w:r>
    </w:p>
    <w:bookmarkEnd w:id="59"/>
    <w:bookmarkStart w:id="60" w:name="infektionsinterview-fragen-ii"/>
    <w:p>
      <w:pPr>
        <w:pStyle w:val="Heading2"/>
      </w:pPr>
      <w:r>
        <w:t xml:space="preserve">10. Infektionsinterview-Fragen II</w:t>
      </w:r>
    </w:p>
    <w:p>
      <w:pPr>
        <w:numPr>
          <w:ilvl w:val="0"/>
          <w:numId w:val="1023"/>
        </w:numPr>
        <w:pStyle w:val="Compact"/>
      </w:pPr>
      <w:r>
        <w:t xml:space="preserve">Wohnen Sie mit jemand zusammen, der in eine Kita oder Schule geht oder dort arbeitet?</w:t>
      </w:r>
    </w:p>
    <w:p>
      <w:pPr>
        <w:numPr>
          <w:ilvl w:val="0"/>
          <w:numId w:val="1023"/>
        </w:numPr>
        <w:pStyle w:val="Compact"/>
      </w:pPr>
      <w:r>
        <w:t xml:space="preserve">Haben Sie beruflich mit Lebensmitteln zu tun?</w:t>
      </w:r>
    </w:p>
    <w:p>
      <w:pPr>
        <w:numPr>
          <w:ilvl w:val="0"/>
          <w:numId w:val="1023"/>
        </w:numPr>
        <w:pStyle w:val="Compact"/>
      </w:pPr>
      <w:r>
        <w:t xml:space="preserve">Waren Sie vor der Erkrankung im Ausland?</w:t>
      </w:r>
    </w:p>
    <w:p>
      <w:pPr>
        <w:numPr>
          <w:ilvl w:val="0"/>
          <w:numId w:val="1023"/>
        </w:numPr>
        <w:pStyle w:val="Compact"/>
      </w:pPr>
      <w:r>
        <w:t xml:space="preserve">Waren sie vor Erkrankungsbeginn im Kontakt mit Wiederkäuern?</w:t>
      </w:r>
    </w:p>
    <w:bookmarkEnd w:id="60"/>
    <w:bookmarkEnd w:id="61"/>
    <w:bookmarkStart w:id="62" w:name="teil-4-gruppenarbeit"/>
    <w:p>
      <w:pPr>
        <w:pStyle w:val="Heading1"/>
      </w:pPr>
      <w:r>
        <w:t xml:space="preserve">Teil 4: Gruppenarbeit</w:t>
      </w:r>
    </w:p>
    <w:bookmarkEnd w:id="62"/>
    <w:bookmarkStart w:id="63" w:name="teil-5"/>
    <w:p>
      <w:pPr>
        <w:pStyle w:val="Heading1"/>
      </w:pPr>
      <w:r>
        <w:t xml:space="preserve">Teil 5</w:t>
      </w:r>
    </w:p>
    <w:bookmarkEnd w:id="63"/>
    <w:bookmarkStart w:id="64" w:name="wichtige-links"/>
    <w:p>
      <w:pPr>
        <w:pStyle w:val="Heading1"/>
      </w:pPr>
      <w:r>
        <w:t xml:space="preserve">Wichtige Links</w:t>
      </w:r>
    </w:p>
    <w:p>
      <w:pPr>
        <w:numPr>
          <w:ilvl w:val="0"/>
          <w:numId w:val="1024"/>
        </w:numPr>
        <w:pStyle w:val="Compact"/>
      </w:pPr>
      <w:r>
        <w:t xml:space="preserve">Infektionsschutzkompendium</w:t>
      </w:r>
    </w:p>
    <w:p>
      <w:pPr>
        <w:numPr>
          <w:ilvl w:val="0"/>
          <w:numId w:val="1024"/>
        </w:numPr>
        <w:pStyle w:val="Compact"/>
      </w:pPr>
      <w:r>
        <w:t xml:space="preserve">RKI-Ratgeber</w:t>
      </w:r>
    </w:p>
    <w:p>
      <w:pPr>
        <w:numPr>
          <w:ilvl w:val="0"/>
          <w:numId w:val="1024"/>
        </w:numPr>
        <w:pStyle w:val="Compact"/>
      </w:pPr>
      <w:r>
        <w:t xml:space="preserve">Lebensmittelhygiene BFR</w:t>
      </w:r>
    </w:p>
    <w:p>
      <w:pPr>
        <w:numPr>
          <w:ilvl w:val="0"/>
          <w:numId w:val="1024"/>
        </w:numPr>
        <w:pStyle w:val="Compact"/>
      </w:pPr>
      <w:r>
        <w:t xml:space="preserve">Reisewarnungen des Auswärtigen Amtes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svg" /><Relationship Type="http://schemas.openxmlformats.org/officeDocument/2006/relationships/image" Id="rId22" Target="media/rId22.svg" /><Relationship Type="http://schemas.openxmlformats.org/officeDocument/2006/relationships/image" Id="rId25" Target="media/rId25.svg" /><Relationship Type="http://schemas.openxmlformats.org/officeDocument/2006/relationships/hyperlink" Id="rId35" Target="http://merkblaetter-fuer-infektionskrankheiten.de/" TargetMode="External" /><Relationship Type="http://schemas.openxmlformats.org/officeDocument/2006/relationships/hyperlink" Id="rId34" Target="https://jakobschumacher.github.io/infektionsschutzkompendium/" TargetMode="External" /><Relationship Type="http://schemas.openxmlformats.org/officeDocument/2006/relationships/hyperlink" Id="rId21" Target="https://jakobschumacher.github.io/presentations/" TargetMode="External" /><Relationship Type="http://schemas.openxmlformats.org/officeDocument/2006/relationships/hyperlink" Id="rId33" Target="https://jekyllrb.com/" TargetMode="External" /><Relationship Type="http://schemas.openxmlformats.org/officeDocument/2006/relationships/hyperlink" Id="rId31" Target="https://revealjs.com/" TargetMode="External" /><Relationship Type="http://schemas.openxmlformats.org/officeDocument/2006/relationships/hyperlink" Id="rId54" Target="https://www.gesetze-im-internet.de/ifsg/__34.html" TargetMode="External" /><Relationship Type="http://schemas.openxmlformats.org/officeDocument/2006/relationships/hyperlink" Id="rId55" Target="https://www.gesetze-im-internet.de/ifsg/__36.html" TargetMode="External" /><Relationship Type="http://schemas.openxmlformats.org/officeDocument/2006/relationships/hyperlink" Id="rId32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merkblaetter-fuer-infektionskrankheiten.de/" TargetMode="External" /><Relationship Type="http://schemas.openxmlformats.org/officeDocument/2006/relationships/hyperlink" Id="rId34" Target="https://jakobschumacher.github.io/infektionsschutzkompendium/" TargetMode="External" /><Relationship Type="http://schemas.openxmlformats.org/officeDocument/2006/relationships/hyperlink" Id="rId21" Target="https://jakobschumacher.github.io/presentations/" TargetMode="External" /><Relationship Type="http://schemas.openxmlformats.org/officeDocument/2006/relationships/hyperlink" Id="rId33" Target="https://jekyllrb.com/" TargetMode="External" /><Relationship Type="http://schemas.openxmlformats.org/officeDocument/2006/relationships/hyperlink" Id="rId31" Target="https://revealjs.com/" TargetMode="External" /><Relationship Type="http://schemas.openxmlformats.org/officeDocument/2006/relationships/hyperlink" Id="rId54" Target="https://www.gesetze-im-internet.de/ifsg/__34.html" TargetMode="External" /><Relationship Type="http://schemas.openxmlformats.org/officeDocument/2006/relationships/hyperlink" Id="rId55" Target="https://www.gesetze-im-internet.de/ifsg/__36.html" TargetMode="External" /><Relationship Type="http://schemas.openxmlformats.org/officeDocument/2006/relationships/hyperlink" Id="rId32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Gastroenteritis-Erreger am Beispiel E.Coli</dc:title>
  <dc:creator>Jakob Schumacher</dc:creator>
  <cp:keywords/>
  <dcterms:created xsi:type="dcterms:W3CDTF">2022-04-01T07:31:41Z</dcterms:created>
  <dcterms:modified xsi:type="dcterms:W3CDTF">2022-04-01T07:31:41Z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08. April 2022</vt:lpwstr>
  </property>
  <property fmtid="{D5CDD505-2E9C-101B-9397-08002B2CF9AE}" pid="3" name="output">
    <vt:lpwstr/>
  </property>
  <property fmtid="{D5CDD505-2E9C-101B-9397-08002B2CF9AE}" pid="4" name="params">
    <vt:lpwstr/>
  </property>
</Properties>
</file>