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2</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4</w:t>
      </w:r>
    </w:p>
    <w:p>
      <w:pPr>
        <w:tabs>
          <w:tab w:val="right" w:pos="9026" w:leader="dot"/>
        </w:tabs>
        <w:spacing w:after="40"/>
        <w:ind w:left="0"/>
      </w:pPr>
      <w:r>
        <w:rPr>
          <w:rFonts w:ascii="Calibri" w:cs="Calibri" w:eastAsia="Calibri" w:hAnsi="Calibri"/>
          <w:b/>
          <w:bCs/>
          <w:sz w:val="22"/>
          <w:szCs w:val="22"/>
        </w:rPr>
        <w:t xml:space="preserve">3 Vorgehen bei der Umsetzung	5</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6</w:t>
      </w:r>
    </w:p>
    <w:p>
      <w:pPr>
        <w:tabs>
          <w:tab w:val="right" w:pos="9026" w:leader="dot"/>
        </w:tabs>
        <w:spacing w:after="40"/>
        <w:ind w:left="400"/>
      </w:pPr>
      <w:r>
        <w:rPr>
          <w:rFonts w:ascii="Calibri" w:cs="Calibri" w:eastAsia="Calibri" w:hAnsi="Calibri"/>
          <w:b w:val="false"/>
          <w:bCs w:val="false"/>
          <w:sz w:val="20"/>
          <w:szCs w:val="20"/>
        </w:rPr>
        <w:t xml:space="preserve">3.3 Qualitätssicherung	6</w:t>
      </w:r>
    </w:p>
    <w:p>
      <w:pPr>
        <w:tabs>
          <w:tab w:val="right" w:pos="9026" w:leader="dot"/>
        </w:tabs>
        <w:spacing w:after="40"/>
        <w:ind w:left="0"/>
      </w:pPr>
      <w:r>
        <w:rPr>
          <w:rFonts w:ascii="Calibri" w:cs="Calibri" w:eastAsia="Calibri" w:hAnsi="Calibri"/>
          <w:b/>
          <w:bCs/>
          <w:sz w:val="22"/>
          <w:szCs w:val="22"/>
        </w:rPr>
        <w:t xml:space="preserve">4 Projektmanagement	7</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7</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7</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8</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8</w:t>
      </w:r>
    </w:p>
    <w:p>
      <w:pPr>
        <w:tabs>
          <w:tab w:val="right" w:pos="9026" w:leader="dot"/>
        </w:tabs>
        <w:spacing w:after="40"/>
        <w:ind w:left="0"/>
      </w:pPr>
      <w:r>
        <w:rPr>
          <w:rFonts w:ascii="Calibri" w:cs="Calibri" w:eastAsia="Calibri" w:hAnsi="Calibri"/>
          <w:b/>
          <w:bCs/>
          <w:sz w:val="22"/>
          <w:szCs w:val="22"/>
        </w:rPr>
        <w:t xml:space="preserve">5 Überblick über die erstellten Artefakte	9</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9</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12</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12</w:t>
      </w:r>
    </w:p>
    <w:p>
      <w:pPr>
        <w:tabs>
          <w:tab w:val="right" w:pos="9026" w:leader="dot"/>
        </w:tabs>
        <w:spacing w:after="40"/>
        <w:ind w:left="800"/>
      </w:pPr>
      <w:r>
        <w:rPr>
          <w:rFonts w:ascii="Calibri" w:cs="Calibri" w:eastAsia="Calibri" w:hAnsi="Calibri"/>
          <w:b w:val="false"/>
          <w:bCs w:val="false"/>
          <w:sz w:val="20"/>
          <w:szCs w:val="20"/>
        </w:rPr>
        <w:t xml:space="preserve">5.3.1 Use-Case-Diagramm	13</w:t>
      </w:r>
    </w:p>
    <w:p>
      <w:pPr>
        <w:tabs>
          <w:tab w:val="right" w:pos="9026" w:leader="dot"/>
        </w:tabs>
        <w:spacing w:after="40"/>
        <w:ind w:left="800"/>
      </w:pPr>
      <w:r>
        <w:rPr>
          <w:rFonts w:ascii="Calibri" w:cs="Calibri" w:eastAsia="Calibri" w:hAnsi="Calibri"/>
          <w:b w:val="false"/>
          <w:bCs w:val="false"/>
          <w:sz w:val="20"/>
          <w:szCs w:val="20"/>
        </w:rPr>
        <w:t xml:space="preserve">5.3.2 Klassendiagramm	14</w:t>
      </w:r>
    </w:p>
    <w:p>
      <w:pPr>
        <w:tabs>
          <w:tab w:val="right" w:pos="9026" w:leader="dot"/>
        </w:tabs>
        <w:spacing w:after="40"/>
        <w:ind w:left="800"/>
      </w:pPr>
      <w:r>
        <w:rPr>
          <w:rFonts w:ascii="Calibri" w:cs="Calibri" w:eastAsia="Calibri" w:hAnsi="Calibri"/>
          <w:b w:val="false"/>
          <w:bCs w:val="false"/>
          <w:sz w:val="20"/>
          <w:szCs w:val="20"/>
        </w:rPr>
        <w:t xml:space="preserve">5.3.3 Sequenzdiagramme	14</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20</w:t>
      </w:r>
    </w:p>
    <w:p>
      <w:pPr>
        <w:tabs>
          <w:tab w:val="right" w:pos="9026" w:leader="dot"/>
        </w:tabs>
        <w:spacing w:after="40"/>
        <w:ind w:left="0"/>
      </w:pPr>
      <w:r>
        <w:rPr>
          <w:rFonts w:ascii="Calibri" w:cs="Calibri" w:eastAsia="Calibri" w:hAnsi="Calibri"/>
          <w:b/>
          <w:bCs/>
          <w:sz w:val="22"/>
          <w:szCs w:val="22"/>
        </w:rPr>
        <w:t xml:space="preserve">6 Probleme und Herausforderungen	21</w:t>
      </w:r>
    </w:p>
    <w:p>
      <w:pPr>
        <w:tabs>
          <w:tab w:val="right" w:pos="9026" w:leader="dot"/>
        </w:tabs>
        <w:spacing w:after="40"/>
        <w:ind w:left="0"/>
      </w:pPr>
      <w:r>
        <w:rPr>
          <w:rFonts w:ascii="Calibri" w:cs="Calibri" w:eastAsia="Calibri" w:hAnsi="Calibri"/>
          <w:b/>
          <w:bCs/>
          <w:sz w:val="22"/>
          <w:szCs w:val="22"/>
        </w:rPr>
        <w:t xml:space="preserve">7 Feedback	22</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22</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23</w:t>
      </w:r>
    </w:p>
    <w:p>
      <w:pPr>
        <w:tabs>
          <w:tab w:val="right" w:pos="9026" w:leader="dot"/>
        </w:tabs>
        <w:spacing w:after="40"/>
        <w:ind w:left="0"/>
      </w:pPr>
      <w:r>
        <w:rPr>
          <w:rFonts w:ascii="Calibri" w:cs="Calibri" w:eastAsia="Calibri" w:hAnsi="Calibri"/>
          <w:b/>
          <w:bCs/>
          <w:sz w:val="22"/>
          <w:szCs w:val="22"/>
        </w:rPr>
        <w:t xml:space="preserve">Anhang A: Abgabestruktur	23</w:t>
      </w:r>
    </w:p>
    <w:p>
      <w:pPr>
        <w:tabs>
          <w:tab w:val="right" w:pos="9026" w:leader="dot"/>
        </w:tabs>
        <w:spacing w:after="40"/>
        <w:ind w:left="0"/>
      </w:pPr>
      <w:r>
        <w:rPr>
          <w:rFonts w:ascii="Calibri" w:cs="Calibri" w:eastAsia="Calibri" w:hAnsi="Calibri"/>
          <w:b/>
          <w:bCs/>
          <w:sz w:val="22"/>
          <w:szCs w:val="22"/>
        </w:rPr>
        <w:t xml:space="preserve">Anhang B: Die zehn BPMN-Kollaborationsdiagramme	24</w:t>
      </w:r>
    </w:p>
    <w:p>
      <w:pPr>
        <w:tabs>
          <w:tab w:val="right" w:pos="9026" w:leader="dot"/>
        </w:tabs>
        <w:spacing w:after="40"/>
        <w:ind w:left="0"/>
      </w:pPr>
      <w:r>
        <w:rPr>
          <w:rFonts w:ascii="Calibri" w:cs="Calibri" w:eastAsia="Calibri" w:hAnsi="Calibri"/>
          <w:b/>
          <w:bCs/>
          <w:sz w:val="22"/>
          <w:szCs w:val="22"/>
        </w:rPr>
        <w:t xml:space="preserve">Anhang C: Das vollständige Klassendiagramm	34</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plant und koordiniert,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BPMN-Dateien im Git-Repository,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86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die Statuswechsel, an denen sie beteiligt sind. Abbildung 2 zeigt den Zustandsautomaten als UML-Zustandsdiagramm.</w:t>
      </w:r>
    </w:p>
    <w:p>
      <w:pPr>
        <w:keepNext/>
        <w:spacing w:after="0" w:before="120"/>
        <w:jc w:val="center"/>
      </w:pPr>
      <w:r>
        <w:drawing>
          <wp:inline distT="0" distB="0" distL="0" distR="0">
            <wp:extent cx="4095750" cy="5438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438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Fehlerdiagnose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Prüfung mit dem Linter des Camunda Modelers.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zu den interaktionsreichsten Use Cases, Zustandsdiagramm des Reparaturauftrags. Umsetzung in Visual Paradigm mit Teamwork-Server.</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der Camunda-Linter (dieselben Regeln wie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bei den UML-Modellen zusätzlich Commit auf dem VP-Teamwork-Server, Einhaltung der Namens- und Modellierungskonventionen und Abnahme über die QA-Checkliste des Qualitätsmanagers. Die BPMN-Dateien prüfen wir zusätzlich automatisiert mit zwei Werkzeugen: dem Regelsatz des Camunda Modelers (@camunda/linting, Camunda 8.7, dieselben Regeln wie das Problems-Panel)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 ein eigenes Skript prüft zusätzlich, dass kein Fluss durch ein fremdes Element läuft. Die Diagramme wurden mit einem Generator erzeugt und werden vor der Abgabe im Camunda Modeler geöffnet, geprüft und gespeichert.</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wie in der Aufgabenstellung vorgesehen, eine Projektleitung, die Planung und Termine koordiniert.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Abstimmungen laufen über eine WhatsApp-Gruppe, Dateien teilen wir ausschließlich über das GitHub-Repository.</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BPMN-Modelle liegen ausschließlich im Git-Repository, die UML-Modelle zusätzlich auf dem VP-Teamwork-Server; im Git liegen außerdem Exporte und lokale Sicherungen (PlantUML, XMI, nach Fertigstellung auch die VPP-Datei),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als XML-Export in BPMN-WWI25B4-Gruppe1.zip, dort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(77 %)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9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(38 %)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17</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(65 %)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Werkstatt-Prozesse 130 Aktivitäten, im Durchschnitt also 13,0 je Diagramm; die Abläufe im Pool Kunde kommen mit weiteren 26 Aktivitäten hinzu und sind in Tabelle 1 nicht mitgezählt. Dazu kommen 39 Nachrichtenflüsse zwischen den Pools und 59 Datenobjekte und Datenspeicher. Jeder Prozess hat auf Prozessebene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oder per Umlagerung angefordert, Fehlteile für die Bestellung markiert. Danach werden die Reservierungen bestätigt; ein unterschrittener Meldebestand erzeugt einen Nachbestellvorschlag. Der Kunde erhält den voraussichtlichen Reparaturbeginn; Fehlteile und Nachbestellvorschläge werden über Prozess 06 bestellt.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Fehlteile und Nachbestellvorschläge werden gebündelt und beim Lieferanten bestellt, bei Überschreitung der Freigabegrenze nach Freigabe durch die Werkstattleitung. Kann der Lieferant nicht liefern, wird die Bestellung storniert und ein alternativer Lieferant gesucht. Nach Auftragsbestätigung wird der Liefertermin am Auftrag hinterlegt (Status „Teile bestellt") und der Kunde bei Verzögerung informiert. Der Wareneingang wird geprüft und gebucht, mangelhafte Lieferungen gehen in die Retoure (Prozess 10). Kommt Ersatz, werden die Teile dem Auftrag zugeordnet; bei Gutschrift wird neu bestellt, solange das Teil noch benötigt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ohne Antwort innerhalb von drei Tagen gilt er als abgelehnt. Nach Endkontrolle und Prüfprotokoll wird der Auftrag auf „fertig" gesetzt, bei Mängeln folgt Nacharbeit. Auch die Nacharbeit aus einer Reklamation (Prozess 09) läuft über diesen Prozess.</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Sobald ein Gerät abholbereit ist, erstellt RepairFlow die Rechnung aus KVA und Arbeitszeiten, bei abgelehnten Aufträgen über die Diagnosepauschale (kostenfreie Nacharbeit ohne Rechnung) und benachrichtigt den Kunden. Wird das Gerät nicht abgeholt, erinnert das System alle 14 Tage, nach der dritten Erinnerung mit Lagergebühr. Bei der Abholung teilt der Kunde die Zahlungsart mit, zahlt bar oder per Karte oder erhält die Rechnung mit Zahlungsziel; danach wird das Gerät übergeben und der Auftrag auf „abgeholt" gesetzt. Offene Rechnungen werden nach 14 Tagen gemahnt, eingegangene Zahlungen verbucht und an die Buchhaltung übergeben.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fünf Tage aus, eskaliert die Werkstattleitung. Nach weiteren fünf Tagen ohne Freigabe wird das Teil abgeschrieben. Nach der Freigabe wird das Teil versendet, der Bestand korrigiert und je nach Rückmeldung eine Ersatzlieferung gebucht oder eine Gutschrift verbucht; ob danach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130 Aktivitäten sind 79 automatisierte, regelbasierte, sendende oder empfangende Aktivitäten, also 61 Prozent, die RepairFlow ohne manuelle Arbeit ausführt. Weitere 32 Benutzer-Aktivitäten laufen in der Oberfläche der Plattform. Nur 9 Aktivitäten sind manuell und liegen außerhalb der Systemgrenze; die übrigen 10 sind Aufruf-Aktivitäten und ein Mehrfach-Teilprozess.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Klassendiagramm, je Use Case ein Interaktionsdiagramm, Zustandsdiagramm je Klasse mit Lebenszyklus. Alle Diagramme werden aus der XMI-Datei in das Visual-Paradigm-Projekt UML-WWI25B4-Gruppe1.vpp übernommen, die Sequenzdiagramme dort als Unterdiagramme der zugehörigen Use Cases.</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857750" cy="5334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5334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keine extend-Beziehung behauptet; „Nachbestellvorschlag erzeugen" erweitert die Disposition bei unterschrittenem Meldebestand. „Lieferantenbestellung auslösen" erweitert sie bei Fehlteilen oder Nachbestellvorschlag.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bleibt der Lebenszyklus jedes Auftrags linear,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 xml:space="preserve">SD1 folgt Prozess 01: RepairFlow legt die Voranmeldung an und prüft die Medienqualität. Nicht auswertbare Aufnahmen können nachgereicht werden; sieben Tage ohne neue Aufnahme beenden den Ablauf. Erst danach wertet der KI-Dienst die Medien aus. Vorab-KVA, Verfügbarkeit und Filialauslastung führen zum Terminvorschlag. Bestätigung, Terminablehnung und sieben Tage ohne Entscheidung sind getrennte Pfade; verfügbare Teile werden erst nach Bestätigung vorreserviert.</w:t>
      </w:r>
    </w:p>
    <w:p>
      <w:pPr>
        <w:keepNext/>
        <w:spacing w:after="0" w:before="120"/>
        <w:jc w:val="center"/>
      </w:pPr>
      <w:r>
        <w:drawing>
          <wp:inline distT="0" distB="0" distL="0" distR="0">
            <wp:extent cx="3000375" cy="457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 xml:space="preserve">SD2 übernimmt Positionen und Ersatzteilpreise aus UC06, die Prüfung durch Service / Annahme und den Status „KVA offen". Alle drei Tage ohne Antwort wird ein Fristablauf protokolliert; vor dem dritten Ablauf wird der KVA mit Erinnerung erneut gesendet. Freigabe startet Prozess 05. Eine echte Kundenablehnung und der dritte Fristablauf sind getrennte Pfade zur Abholung über Prozess 08; der Timeout wird nicht als Kundenbotschaft dargestellt.</w:t>
      </w:r>
    </w:p>
    <w:p>
      <w:pPr>
        <w:keepNext/>
        <w:spacing w:after="0" w:before="120"/>
        <w:jc w:val="center"/>
      </w:pPr>
      <w:r>
        <w:drawing>
          <wp:inline distT="0" distB="0" distL="0" distR="0">
            <wp:extent cx="4733925"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3392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 xml:space="preserve">SD3 zeigt den parallelen Mehrfach-Teilprozess je Ersatzteil: eigene Filiale, andere Filialen mit Umlagerung oder Fehlteil markieren. Danach folgen die Bestätigung aller Reservierungen und die Meldebestandsprüfung mit optionalem Nachbestellvorschlag (UC12). Der Techniker ermittelt den Reparaturbeginn und informiert den Kunden. Erst dann startet bei Fehlteilen oder Nachbestellvorschlag UC10; der Status „Teile bestellt" folgt erst nach bestätigter Bestellung in SD6.</w:t>
      </w:r>
    </w:p>
    <w:p>
      <w:pPr>
        <w:keepNext/>
        <w:spacing w:after="0" w:before="120"/>
        <w:jc w:val="center"/>
      </w:pPr>
      <w:r>
        <w:drawing>
          <wp:inline distT="0" distB="0" distL="0" distR="0">
            <wp:extent cx="3238500" cy="4191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r>
        <w:rPr>
          <w:rFonts w:ascii="Calibri" w:cs="Calibri" w:eastAsia="Calibri" w:hAnsi="Calibri"/>
          <w:sz w:val="22"/>
          <w:szCs w:val="22"/>
        </w:rPr>
        <w:t xml:space="preserve">SD4 knüpft die Fertigmeldung an abgeschlossene Reparaturschritte und bestandene Endkontrolle. UC13 umfasst die Schritte und Arbeitszeiten sowie den optionalen Nachtrags-KVA: Freigabe führt zu weiteren Schritten, Ablehnung oder drei Tage ohne Antwort zur Endkontrolle. Fehler in der Endkontrolle führen zur Nacharbeit und erneuter Prüfung. UC14 setzt erst dann den Status „fertig". Abholbenachrichtigung und Rechnung gehören zu UC15 in Prozess 08.</w:t>
      </w:r>
    </w:p>
    <w:p>
      <w:pPr>
        <w:keepNext/>
        <w:spacing w:after="0" w:before="120"/>
        <w:jc w:val="center"/>
      </w:pPr>
      <w:r>
        <w:drawing>
          <wp:inline distT="0" distB="0" distL="0" distR="0">
            <wp:extent cx="3933825" cy="4572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 xml:space="preserve">SD5 zeigt Geräteannahme, Mangelprüfung durch den Techniker und Gewährleistungsbewertung am Ursprungsauftrag. Die Werkstattleitung gibt kostenfreie Nacharbeit frei; sonst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4095750" cy="4572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 xml:space="preserve">SD6 bündelt den Bestellbedarf aus Prozess 05, wählt einen Lieferanten und legt eine Bestellung mit Positionen an. Oberhalb der Freigabegrenze ist die Freigabe durch die Werkstattleitung erforderlich. Nur eine bestätigte und lieferbare Bestellung setzt bei auftragsbezogenen Fehlteilen den Status „Teile bestellt"; Verzögerungen werden dem Kunden mitgeteilt. Nicht lieferbare Bestellungen werden storniert, ein alternativer Lieferant wird gesucht. UC11 verfeinert Lieferung und Wareneingang, bei Mängeln mit UC19 Retoure. Ohne Ersatz wird nur erneut bestellt, solange das Teil noch benötigt wird. Eine Zusammenführung mit offenen Bestellungen wird nicht behauptet, weil Prozess 06 diesen Pfad nicht enthält.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der Pool Kunde und die Lanes Service / Annahme, Techniker, Ersatzteil-Disposition und Werkstattleitung den Akteuren Kunde, Servicemitarbeiter, Techniker, Disponent und Werkstattleiter und den gleichnamigen Klassen (Kunde beziehungsweise Unterklassen von Mitarbeiter). Drittens folgen Sequenzdiagramme, Datenobjekt-Zustände und Zustandsdiagramm demselben Zustandsautomaten, sodass jeder Statuswechsel als Aktivität „Auftragsstatus auf … setzen" in den Prozessen, als Aufruf von wechsleStatus() in den Sequenzdiagrammen und als Übergang im Zustandsdiagramm wiederzufinden ist (den Status „abgelehnt" setzen Prozess 03 und 04, „angenommen" Prozess 02 und 09, weil beide Prozesse denselben Übergang auslösen).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seitdem laufen alle Rückgaben über Prozess 08 und jede Warteschleife hat einen Timer.</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aus uml/modell.xmi importiert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4098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4098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952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952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2600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600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505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050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7051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705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0f9df417d37dec2d797149a62cc268a0a6db1b7.png"/><Relationship Id="rId13" Type="http://schemas.openxmlformats.org/officeDocument/2006/relationships/image" Target="media/9f75f3e48908ef2d8b18a02ca9bd7b35912beb54.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45cbb6140da9c7a14ade8245bd858c383c32870b.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ff3b80d1ba13e51e5f2ffb8228bd61a74c25f12d.png"/><Relationship Id="rId20" Type="http://schemas.openxmlformats.org/officeDocument/2006/relationships/image" Target="media/86b6c83b1409475cb8a663efe9e35a0713c341ad.png"/><Relationship Id="rId21" Type="http://schemas.openxmlformats.org/officeDocument/2006/relationships/image" Target="media/a138c8262cca5aec886abd06361d4692c7836926.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1216fdca715eb664890f1736b62dfb11ac7fa986.png"/><Relationship Id="rId25" Type="http://schemas.openxmlformats.org/officeDocument/2006/relationships/image" Target="media/59b1378e8a5be10daaae44e25092d1cd134ca23c.png"/><Relationship Id="rId26" Type="http://schemas.openxmlformats.org/officeDocument/2006/relationships/image" Target="media/de39026c6bd813cee621afd7be1e52c850522e65.png"/><Relationship Id="rId27" Type="http://schemas.openxmlformats.org/officeDocument/2006/relationships/image" Target="media/2a08f7f2c3ca018b8be9a12c08468fd398680065.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2026-10-05T09:15:34.546Z</dcterms:created>
  <dcterms:modified xsi:type="dcterms:W3CDTF">2026-10-05T09:15:34.546Z</dcterms:modified>
</cp:coreProperties>
</file>

<file path=docProps/custom.xml><?xml version="1.0" encoding="utf-8"?>
<Properties xmlns="http://schemas.openxmlformats.org/officeDocument/2006/custom-properties" xmlns:vt="http://schemas.openxmlformats.org/officeDocument/2006/docPropsVTypes"/>
</file>