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Sprechtext Abschlusspräsentation RepairFlow (ca. 18 Minuten)</w:t>
      </w:r>
    </w:p>
    <w:p>
      <w:r>
        <w:t>Gruppe 1, WWI25B4 · 27.10.2026, 09:00 Uhr, Raum B458 · Zeitangaben sind Richtwerte für die Generalprobe. Der Text ist ein Vorschlag: Jede Person formuliert ihren Teil so um, dass er zu ihr passt.</w:t>
      </w:r>
    </w:p>
    <w:p>
      <w:r>
        <w:rPr>
          <w:b/>
        </w:rPr>
        <w:t xml:space="preserve">Redezeit je Person: </w:t>
      </w:r>
      <w:r>
        <w:t>Nina 2:50, David 3:20, Adrian 3:10, Maximilian 3:20, Kilian 3:10, Jakob 2:20 · gesamt 18:10.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 wir haben Zeit dafür eingeplant.</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(50 s)</w:t>
      </w:r>
    </w:p>
    <w:p>
      <w:r>
        <w:rPr>
          <w:b/>
        </w:rPr>
        <w:t xml:space="preserve">Adrian: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Die physische Reparatur, die Lieferantensysteme und die Buchhaltung bleiben außerhalb.</w:t>
      </w:r>
    </w:p>
    <w:p>
      <w:pPr>
        <w:spacing w:before="200"/>
      </w:pPr>
      <w:r>
        <w:rPr>
          <w:b/>
        </w:rPr>
        <w:t>Folie 5 – Drei Nutzenversprechen</w:t>
      </w:r>
      <w:r>
        <w:rPr>
          <w:i/>
        </w:rPr>
        <w:t xml:space="preserve">  (60 s)</w:t>
      </w:r>
    </w:p>
    <w:p>
      <w:r>
        <w:rPr>
          <w:b/>
        </w:rPr>
        <w:t xml:space="preserve">Adrian: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pPr>
        <w:spacing w:before="200"/>
      </w:pPr>
      <w:r>
        <w:rPr>
          <w:b/>
        </w:rPr>
        <w:t>Folie 6 – Die Auftragsreise mit RepairFlow</w:t>
      </w:r>
      <w:r>
        <w:rPr>
          <w:i/>
        </w:rPr>
        <w:t xml:space="preserve">  (55 s)</w:t>
      </w:r>
    </w:p>
    <w:p>
      <w:r>
        <w:rPr>
          <w:b/>
        </w:rPr>
        <w:t xml:space="preserve">David: </w:t>
      </w:r>
      <w:r>
        <w:t>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w:t>
      </w:r>
    </w:p>
    <w:p>
      <w:pPr>
        <w:spacing w:before="200"/>
      </w:pPr>
      <w:r>
        <w:rPr>
          <w:b/>
        </w:rPr>
        <w:t>Folie 7 – KI-Sofortdiagnose: KVA in 60 Sekunden</w:t>
      </w:r>
      <w:r>
        <w:rPr>
          <w:i/>
        </w:rPr>
        <w:t xml:space="preserve">  (80 s)</w:t>
      </w:r>
    </w:p>
    <w:p>
      <w:r>
        <w:rPr>
          <w:b/>
        </w:rPr>
        <w:t xml:space="preserve">Adrian: </w:t>
      </w:r>
      <w:r>
        <w:t>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pPr>
        <w:spacing w:before="200"/>
      </w:pPr>
      <w:r>
        <w:rPr>
          <w:b/>
        </w:rPr>
        <w:t>Folie 8 – Was wir gebaut haben: Ergebnisse in Zahlen</w:t>
      </w:r>
      <w:r>
        <w:rPr>
          <w:i/>
        </w:rPr>
        <w:t xml:space="preserve">  (50 s)</w:t>
      </w:r>
    </w:p>
    <w:p>
      <w:r>
        <w:rPr>
          <w:b/>
        </w:rPr>
        <w:t xml:space="preserve">Maximilian: </w:t>
      </w:r>
      <w:r>
        <w:t>Damit zur zweiten Hälfte: Was steckt hinter dieser Geschichte? Wir haben drei Modelle erstellt, die zusammenpassen. Zehn BPMN-Kollaborationsdiagramme mit 133 Aktivitäten im Werkstatt-Pool, dazu die Abläufe des Kunden mit 26 weiteren Aktivitäten. Ein Use-Case-Diagramm mit 19 Use Cases und 17 Akteuren. Ein vollständiges Klassendiagramm mit 27 Klassen und 36 Assoziationen. Sechs Sequenzdiagramme, gefordert waren fünf. Alle Modelle liegen im Camunda Modeler und in Visual Paradigm und werden mit der Dokumentation abgegeben. Ich beginne mit den Geschäftsprozessen.</w:t>
      </w:r>
    </w:p>
    <w:p>
      <w:pPr>
        <w:spacing w:before="200"/>
      </w:pPr>
      <w:r>
        <w:rPr>
          <w:b/>
        </w:rPr>
        <w:t>Folie 9 – Zehn Prozesse, 61 Prozent automatisiert</w:t>
      </w:r>
      <w:r>
        <w:rPr>
          <w:i/>
        </w:rPr>
        <w:t xml:space="preserve">  (70 s)</w:t>
      </w:r>
    </w:p>
    <w:p>
      <w:r>
        <w:rPr>
          <w:b/>
        </w:rPr>
        <w:t xml:space="preserve">Maximilian: </w:t>
      </w:r>
      <w:r>
        <w:t>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pPr>
        <w:spacing w:before="200"/>
      </w:pPr>
      <w:r>
        <w:rPr>
          <w:b/>
        </w:rPr>
        <w:t>Folie 10 – Drei Prozess-Highlights</w:t>
      </w:r>
      <w:r>
        <w:rPr>
          <w:i/>
        </w:rPr>
        <w:t xml:space="preserve">  (80 s)</w:t>
      </w:r>
    </w:p>
    <w:p>
      <w:r>
        <w:rPr>
          <w:b/>
        </w:rPr>
        <w:t xml:space="preserve">Maximilian: </w:t>
      </w:r>
      <w:r>
        <w:t>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pPr>
        <w:spacing w:before="200"/>
      </w:pPr>
      <w:r>
        <w:rPr>
          <w:b/>
        </w:rPr>
        <w:t>Folie 11 – Wer macht was im System: Rollen und Use Cases</w:t>
      </w:r>
      <w:r>
        <w:rPr>
          <w:i/>
        </w:rPr>
        <w:t xml:space="preserve">  (70 s)</w:t>
      </w:r>
    </w:p>
    <w:p>
      <w:r>
        <w:rPr>
          <w:b/>
        </w:rPr>
        <w:t xml:space="preserve">David: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der KI-Diagnosedienst als externes System. Der Lieferant ist bewusst kein Akteur: Er hat keinen Zugang zu RepairFlow und bleibt eine Black Box, mit der nur Nachrichten ausgetauscht werden.</w:t>
      </w:r>
    </w:p>
    <w:p>
      <w:pPr>
        <w:spacing w:before="200"/>
      </w:pPr>
      <w:r>
        <w:rPr>
          <w:b/>
        </w:rPr>
        <w:t>Folie 12 – Das Datenmodell: fünf Entwurfsentscheidungen</w:t>
      </w:r>
      <w:r>
        <w:rPr>
          <w:i/>
        </w:rPr>
        <w:t xml:space="preserve">  (100 s)</w:t>
      </w:r>
    </w:p>
    <w:p>
      <w:r>
        <w:rPr>
          <w:b/>
        </w:rPr>
        <w:t xml:space="preserve">Kilian: </w:t>
      </w:r>
      <w:r>
        <w:t>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 Ein Beispiel ist SD4, die Fertigmeldung: Besteht der Auftrag auch nach der zweiten Nacharbeit die Endkontrolle nicht, ruft der Endkontrolleur wechsleStatus mit dem Wert ABGELEHNT auf, also genau die Operation, die der Reparaturauftrag im Klassendiagramm anbietet. Gezeichnet ist alles in Visual Paradigm, die Sequenzdiagramme hängen als Unterdiagramme an ihren Use Cases.</w:t>
      </w:r>
    </w:p>
    <w:p>
      <w:pPr>
        <w:spacing w:before="200"/>
      </w:pPr>
      <w:r>
        <w:rPr>
          <w:b/>
        </w:rPr>
        <w:t>Folie 13 – Vorgehen und Projektmanagement</w:t>
      </w:r>
      <w:r>
        <w:rPr>
          <w:i/>
        </w:rPr>
        <w:t xml:space="preserve">  (90 s)</w:t>
      </w:r>
    </w:p>
    <w:p>
      <w:r>
        <w:rPr>
          <w:b/>
        </w:rPr>
        <w:t xml:space="preserve">Kilian: </w:t>
      </w:r>
      <w:r>
        <w:t>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inzwischen über 35 gemergte Pull Requests. Das Trello-Board hat eine Liste je Termin und eine Karte je Person und Aufgabe. Jedes Diagramm wurde im Zweierteam geprüft. Als Scrum Master war mir wichtig, dass Entscheidungen nicht im Gruppenchat verloren gehen: Alles, was mehrere betrifft, steht im Entscheidungslog, inzwischen 30 Einträge mit Begründung und Datum. Das hat uns bei jeder Korrektur geholfen, weil wir nachvollziehen konnten, warum ein Modell so aussieht. Die Meilensteine: Am 02.09. standen alle Diagramme im Entwurf, am 05.10. die Korrekturen aus zwei Gesamtprüfungen, am 15.10. haben wir die Rollenstruktur umgesetzt, am 22.10. war die Generalprobe. Die Abgabe folgt am 13.11.</w:t>
      </w:r>
    </w:p>
    <w:p>
      <w:pPr>
        <w:spacing w:before="200"/>
      </w:pPr>
      <w:r>
        <w:rPr>
          <w:b/>
        </w:rPr>
        <w:t>Folie 14 – Qualität: Konventionen, Linter, Konsistenz</w:t>
      </w:r>
      <w:r>
        <w:rPr>
          <w:i/>
        </w:rPr>
        <w:t xml:space="preserve">  (70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Prüfrunden: Eine Gesamtprüfung am 26.09., eine zweite Prüfrunde am 05.10. und der QA-Abgleich am 08.10.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(70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pPr>
        <w:spacing w:before="200"/>
      </w:pPr>
      <w:r>
        <w:rPr>
          <w:b/>
        </w:rPr>
        <w:t>Folie 16 – Geschäftsmodell und Ausblick</w:t>
      </w:r>
      <w:r>
        <w:rPr>
          <w:i/>
        </w:rPr>
        <w:t xml:space="preserve">  (70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17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18 – Anhang: Beiträge der Vortragenden</w:t>
      </w:r>
    </w:p>
    <w:p>
      <w:r>
        <w:t>Wird nicht vorgetragen. Pflichtangabe für den PDF-Export laut Ablauf.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