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 Erst danach erhält der Kunde bei der ersten Disposition den voraussichtlichen Reparaturbeginn, sofern alle Teile beschaffbar sind.</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Quote ist ein ungewichteter Anteil der Aktivitäten im Modell: Wie oft eine Aktivität ausgeführt wird und wie lange sie dauert, fließt nicht ein, und eine tatsächliche Zeitersparnis haben wir nicht gemessen.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Fehlteile führen zu UC10; danach Reparaturbeginn nur bei der ersten Disposition und wenn alle Teile beschaffbar sind</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4005573"/>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4005573"/>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