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900"/>
      </w:pP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 xml:space="preserve">1 Mitglieder der Gruppe und Rollen	2</w:t>
      </w:r>
    </w:p>
    <w:p>
      <w:pPr>
        <w:tabs>
          <w:tab w:val="right" w:pos="9026" w:leader="dot"/>
        </w:tabs>
        <w:spacing w:after="40"/>
        <w:ind w:left="0"/>
      </w:pPr>
      <w:r>
        <w:rPr>
          <w:rFonts w:ascii="Calibri" w:cs="Calibri" w:eastAsia="Calibri" w:hAnsi="Calibri"/>
          <w:b/>
          <w:bCs/>
          <w:sz w:val="22"/>
          <w:szCs w:val="22"/>
        </w:rPr>
        <w:t xml:space="preserve">2 Das Projekt RepairFlow	2</w:t>
      </w:r>
    </w:p>
    <w:p>
      <w:pPr>
        <w:tabs>
          <w:tab w:val="right" w:pos="9026" w:leader="dot"/>
        </w:tabs>
        <w:spacing w:after="40"/>
        <w:ind w:left="400"/>
      </w:pPr>
      <w:r>
        <w:rPr>
          <w:rFonts w:ascii="Calibri" w:cs="Calibri" w:eastAsia="Calibri" w:hAnsi="Calibri"/>
          <w:b w:val="false"/>
          <w:bCs w:val="false"/>
          <w:sz w:val="20"/>
          <w:szCs w:val="20"/>
        </w:rPr>
        <w:t xml:space="preserve">2.1 Ausgangslage und Problem	2</w:t>
      </w:r>
    </w:p>
    <w:p>
      <w:pPr>
        <w:tabs>
          <w:tab w:val="right" w:pos="9026" w:leader="dot"/>
        </w:tabs>
        <w:spacing w:after="40"/>
        <w:ind w:left="400"/>
      </w:pPr>
      <w:r>
        <w:rPr>
          <w:rFonts w:ascii="Calibri" w:cs="Calibri" w:eastAsia="Calibri" w:hAnsi="Calibri"/>
          <w:b w:val="false"/>
          <w:bCs w:val="false"/>
          <w:sz w:val="20"/>
          <w:szCs w:val="20"/>
        </w:rPr>
        <w:t xml:space="preserve">2.2 Das Startup RepairFlow	3</w:t>
      </w:r>
    </w:p>
    <w:p>
      <w:pPr>
        <w:tabs>
          <w:tab w:val="right" w:pos="9026" w:leader="dot"/>
        </w:tabs>
        <w:spacing w:after="40"/>
        <w:ind w:left="400"/>
      </w:pPr>
      <w:r>
        <w:rPr>
          <w:rFonts w:ascii="Calibri" w:cs="Calibri" w:eastAsia="Calibri" w:hAnsi="Calibri"/>
          <w:b w:val="false"/>
          <w:bCs w:val="false"/>
          <w:sz w:val="20"/>
          <w:szCs w:val="20"/>
        </w:rPr>
        <w:t xml:space="preserve">2.3 Markt und Wettbewerb	3</w:t>
      </w:r>
    </w:p>
    <w:p>
      <w:pPr>
        <w:tabs>
          <w:tab w:val="right" w:pos="9026" w:leader="dot"/>
        </w:tabs>
        <w:spacing w:after="40"/>
        <w:ind w:left="400"/>
      </w:pPr>
      <w:r>
        <w:rPr>
          <w:rFonts w:ascii="Calibri" w:cs="Calibri" w:eastAsia="Calibri" w:hAnsi="Calibri"/>
          <w:b w:val="false"/>
          <w:bCs w:val="false"/>
          <w:sz w:val="20"/>
          <w:szCs w:val="20"/>
        </w:rPr>
        <w:t xml:space="preserve">2.4 Systemkontext und Systemgrenze	3</w:t>
      </w:r>
    </w:p>
    <w:p>
      <w:pPr>
        <w:tabs>
          <w:tab w:val="right" w:pos="9026" w:leader="dot"/>
        </w:tabs>
        <w:spacing w:after="40"/>
        <w:ind w:left="400"/>
      </w:pPr>
      <w:r>
        <w:rPr>
          <w:rFonts w:ascii="Calibri" w:cs="Calibri" w:eastAsia="Calibri" w:hAnsi="Calibri"/>
          <w:b w:val="false"/>
          <w:bCs w:val="false"/>
          <w:sz w:val="20"/>
          <w:szCs w:val="20"/>
        </w:rPr>
        <w:t xml:space="preserve">2.5 Der Reparaturauftrag als Zustandsautomat	4</w:t>
      </w:r>
    </w:p>
    <w:p>
      <w:pPr>
        <w:tabs>
          <w:tab w:val="right" w:pos="9026" w:leader="dot"/>
        </w:tabs>
        <w:spacing w:after="40"/>
        <w:ind w:left="400"/>
      </w:pPr>
      <w:r>
        <w:rPr>
          <w:rFonts w:ascii="Calibri" w:cs="Calibri" w:eastAsia="Calibri" w:hAnsi="Calibri"/>
          <w:b w:val="false"/>
          <w:bCs w:val="false"/>
          <w:sz w:val="20"/>
          <w:szCs w:val="20"/>
        </w:rPr>
        <w:t xml:space="preserve">2.6 Alleinstellungsmerkmal: die KI-Sofortdiagnose	5</w:t>
      </w:r>
    </w:p>
    <w:p>
      <w:pPr>
        <w:tabs>
          <w:tab w:val="right" w:pos="9026" w:leader="dot"/>
        </w:tabs>
        <w:spacing w:after="40"/>
        <w:ind w:left="0"/>
      </w:pPr>
      <w:r>
        <w:rPr>
          <w:rFonts w:ascii="Calibri" w:cs="Calibri" w:eastAsia="Calibri" w:hAnsi="Calibri"/>
          <w:b/>
          <w:bCs/>
          <w:sz w:val="22"/>
          <w:szCs w:val="22"/>
        </w:rPr>
        <w:t xml:space="preserve">3 Vorgehen bei der Umsetzung	6</w:t>
      </w:r>
    </w:p>
    <w:p>
      <w:pPr>
        <w:tabs>
          <w:tab w:val="right" w:pos="9026" w:leader="dot"/>
        </w:tabs>
        <w:spacing w:after="40"/>
        <w:ind w:left="400"/>
      </w:pPr>
      <w:r>
        <w:rPr>
          <w:rFonts w:ascii="Calibri" w:cs="Calibri" w:eastAsia="Calibri" w:hAnsi="Calibri"/>
          <w:b w:val="false"/>
          <w:bCs w:val="false"/>
          <w:sz w:val="20"/>
          <w:szCs w:val="20"/>
        </w:rPr>
        <w:t xml:space="preserve">3.1 Werkzeuge	6</w:t>
      </w:r>
    </w:p>
    <w:p>
      <w:pPr>
        <w:tabs>
          <w:tab w:val="right" w:pos="9026" w:leader="dot"/>
        </w:tabs>
        <w:spacing w:after="40"/>
        <w:ind w:left="400"/>
      </w:pPr>
      <w:r>
        <w:rPr>
          <w:rFonts w:ascii="Calibri" w:cs="Calibri" w:eastAsia="Calibri" w:hAnsi="Calibri"/>
          <w:b w:val="false"/>
          <w:bCs w:val="false"/>
          <w:sz w:val="20"/>
          <w:szCs w:val="20"/>
        </w:rPr>
        <w:t xml:space="preserve">3.2 Konventionen	7</w:t>
      </w:r>
    </w:p>
    <w:p>
      <w:pPr>
        <w:tabs>
          <w:tab w:val="right" w:pos="9026" w:leader="dot"/>
        </w:tabs>
        <w:spacing w:after="40"/>
        <w:ind w:left="400"/>
      </w:pPr>
      <w:r>
        <w:rPr>
          <w:rFonts w:ascii="Calibri" w:cs="Calibri" w:eastAsia="Calibri" w:hAnsi="Calibri"/>
          <w:b w:val="false"/>
          <w:bCs w:val="false"/>
          <w:sz w:val="20"/>
          <w:szCs w:val="20"/>
        </w:rPr>
        <w:t xml:space="preserve">3.3 Qualitätssicherung	7</w:t>
      </w:r>
    </w:p>
    <w:p>
      <w:pPr>
        <w:tabs>
          <w:tab w:val="right" w:pos="9026" w:leader="dot"/>
        </w:tabs>
        <w:spacing w:after="40"/>
        <w:ind w:left="0"/>
      </w:pPr>
      <w:r>
        <w:rPr>
          <w:rFonts w:ascii="Calibri" w:cs="Calibri" w:eastAsia="Calibri" w:hAnsi="Calibri"/>
          <w:b/>
          <w:bCs/>
          <w:sz w:val="22"/>
          <w:szCs w:val="22"/>
        </w:rPr>
        <w:t xml:space="preserve">4 Projektmanagement	8</w:t>
      </w:r>
    </w:p>
    <w:p>
      <w:pPr>
        <w:tabs>
          <w:tab w:val="right" w:pos="9026" w:leader="dot"/>
        </w:tabs>
        <w:spacing w:after="40"/>
        <w:ind w:left="400"/>
      </w:pPr>
      <w:r>
        <w:rPr>
          <w:rFonts w:ascii="Calibri" w:cs="Calibri" w:eastAsia="Calibri" w:hAnsi="Calibri"/>
          <w:b w:val="false"/>
          <w:bCs w:val="false"/>
          <w:sz w:val="20"/>
          <w:szCs w:val="20"/>
        </w:rPr>
        <w:t xml:space="preserve">4.1 Vorgehensmodell und Arbeitsweise	8</w:t>
      </w:r>
    </w:p>
    <w:p>
      <w:pPr>
        <w:tabs>
          <w:tab w:val="right" w:pos="9026" w:leader="dot"/>
        </w:tabs>
        <w:spacing w:after="40"/>
        <w:ind w:left="400"/>
      </w:pPr>
      <w:r>
        <w:rPr>
          <w:rFonts w:ascii="Calibri" w:cs="Calibri" w:eastAsia="Calibri" w:hAnsi="Calibri"/>
          <w:b w:val="false"/>
          <w:bCs w:val="false"/>
          <w:sz w:val="20"/>
          <w:szCs w:val="20"/>
        </w:rPr>
        <w:t xml:space="preserve">4.2 Sprintplan und Meilensteine	8</w:t>
      </w:r>
    </w:p>
    <w:p>
      <w:pPr>
        <w:tabs>
          <w:tab w:val="right" w:pos="9026" w:leader="dot"/>
        </w:tabs>
        <w:spacing w:after="40"/>
        <w:ind w:left="400"/>
      </w:pPr>
      <w:r>
        <w:rPr>
          <w:rFonts w:ascii="Calibri" w:cs="Calibri" w:eastAsia="Calibri" w:hAnsi="Calibri"/>
          <w:b w:val="false"/>
          <w:bCs w:val="false"/>
          <w:sz w:val="20"/>
          <w:szCs w:val="20"/>
        </w:rPr>
        <w:t xml:space="preserve">4.3 Aufgabensteuerung mit Trello	8</w:t>
      </w:r>
    </w:p>
    <w:p>
      <w:pPr>
        <w:tabs>
          <w:tab w:val="right" w:pos="9026" w:leader="dot"/>
        </w:tabs>
        <w:spacing w:after="40"/>
        <w:ind w:left="400"/>
      </w:pPr>
      <w:r>
        <w:rPr>
          <w:rFonts w:ascii="Calibri" w:cs="Calibri" w:eastAsia="Calibri" w:hAnsi="Calibri"/>
          <w:b w:val="false"/>
          <w:bCs w:val="false"/>
          <w:sz w:val="20"/>
          <w:szCs w:val="20"/>
        </w:rPr>
        <w:t xml:space="preserve">4.4 Zusammenarbeit im Repository	9</w:t>
      </w:r>
    </w:p>
    <w:p>
      <w:pPr>
        <w:tabs>
          <w:tab w:val="right" w:pos="9026" w:leader="dot"/>
        </w:tabs>
        <w:spacing w:after="40"/>
        <w:ind w:left="400"/>
      </w:pPr>
      <w:r>
        <w:rPr>
          <w:rFonts w:ascii="Calibri" w:cs="Calibri" w:eastAsia="Calibri" w:hAnsi="Calibri"/>
          <w:b w:val="false"/>
          <w:bCs w:val="false"/>
          <w:sz w:val="20"/>
          <w:szCs w:val="20"/>
        </w:rPr>
        <w:t xml:space="preserve">4.5 Risiken und Gegenmaßnahmen	9</w:t>
      </w:r>
    </w:p>
    <w:p>
      <w:pPr>
        <w:tabs>
          <w:tab w:val="right" w:pos="9026" w:leader="dot"/>
        </w:tabs>
        <w:spacing w:after="40"/>
        <w:ind w:left="0"/>
      </w:pPr>
      <w:r>
        <w:rPr>
          <w:rFonts w:ascii="Calibri" w:cs="Calibri" w:eastAsia="Calibri" w:hAnsi="Calibri"/>
          <w:b/>
          <w:bCs/>
          <w:sz w:val="22"/>
          <w:szCs w:val="22"/>
        </w:rPr>
        <w:t xml:space="preserve">5 Überblick über die erstellten Artefakte	10</w:t>
      </w:r>
    </w:p>
    <w:p>
      <w:pPr>
        <w:tabs>
          <w:tab w:val="right" w:pos="9026" w:leader="dot"/>
        </w:tabs>
        <w:spacing w:after="40"/>
        <w:ind w:left="400"/>
      </w:pPr>
      <w:r>
        <w:rPr>
          <w:rFonts w:ascii="Calibri" w:cs="Calibri" w:eastAsia="Calibri" w:hAnsi="Calibri"/>
          <w:b w:val="false"/>
          <w:bCs w:val="false"/>
          <w:sz w:val="20"/>
          <w:szCs w:val="20"/>
        </w:rPr>
        <w:t xml:space="preserve">5.1 Geschäftsprozessmodell (BPMN)	10</w:t>
      </w:r>
    </w:p>
    <w:p>
      <w:pPr>
        <w:tabs>
          <w:tab w:val="right" w:pos="9026" w:leader="dot"/>
        </w:tabs>
        <w:spacing w:after="40"/>
        <w:ind w:left="800"/>
      </w:pPr>
      <w:r>
        <w:rPr>
          <w:rFonts w:ascii="Calibri" w:cs="Calibri" w:eastAsia="Calibri" w:hAnsi="Calibri"/>
          <w:b w:val="false"/>
          <w:bCs w:val="false"/>
          <w:sz w:val="20"/>
          <w:szCs w:val="20"/>
        </w:rPr>
        <w:t xml:space="preserve">5.1.1 Modellierungskonventionen	10</w:t>
      </w:r>
    </w:p>
    <w:p>
      <w:pPr>
        <w:tabs>
          <w:tab w:val="right" w:pos="9026" w:leader="dot"/>
        </w:tabs>
        <w:spacing w:after="40"/>
        <w:ind w:left="800"/>
      </w:pPr>
      <w:r>
        <w:rPr>
          <w:rFonts w:ascii="Calibri" w:cs="Calibri" w:eastAsia="Calibri" w:hAnsi="Calibri"/>
          <w:b w:val="false"/>
          <w:bCs w:val="false"/>
          <w:sz w:val="20"/>
          <w:szCs w:val="20"/>
        </w:rPr>
        <w:t xml:space="preserve">5.1.2 Die zehn Prozesse	11</w:t>
      </w:r>
    </w:p>
    <w:p>
      <w:pPr>
        <w:tabs>
          <w:tab w:val="right" w:pos="9026" w:leader="dot"/>
        </w:tabs>
        <w:spacing w:after="40"/>
        <w:ind w:left="400"/>
      </w:pPr>
      <w:r>
        <w:rPr>
          <w:rFonts w:ascii="Calibri" w:cs="Calibri" w:eastAsia="Calibri" w:hAnsi="Calibri"/>
          <w:b w:val="false"/>
          <w:bCs w:val="false"/>
          <w:sz w:val="20"/>
          <w:szCs w:val="20"/>
        </w:rPr>
        <w:t xml:space="preserve">5.2 Automatisierungspotential	12</w:t>
      </w:r>
    </w:p>
    <w:p>
      <w:pPr>
        <w:tabs>
          <w:tab w:val="right" w:pos="9026" w:leader="dot"/>
        </w:tabs>
        <w:spacing w:after="40"/>
        <w:ind w:left="400"/>
      </w:pPr>
      <w:r>
        <w:rPr>
          <w:rFonts w:ascii="Calibri" w:cs="Calibri" w:eastAsia="Calibri" w:hAnsi="Calibri"/>
          <w:b w:val="false"/>
          <w:bCs w:val="false"/>
          <w:sz w:val="20"/>
          <w:szCs w:val="20"/>
        </w:rPr>
        <w:t xml:space="preserve">5.3 Objektorientierte Analyse (UML)	13</w:t>
      </w:r>
    </w:p>
    <w:p>
      <w:pPr>
        <w:tabs>
          <w:tab w:val="right" w:pos="9026" w:leader="dot"/>
        </w:tabs>
        <w:spacing w:after="40"/>
        <w:ind w:left="800"/>
      </w:pPr>
      <w:r>
        <w:rPr>
          <w:rFonts w:ascii="Calibri" w:cs="Calibri" w:eastAsia="Calibri" w:hAnsi="Calibri"/>
          <w:b w:val="false"/>
          <w:bCs w:val="false"/>
          <w:sz w:val="20"/>
          <w:szCs w:val="20"/>
        </w:rPr>
        <w:t xml:space="preserve">5.3.1 Use-Case-Diagramm	13</w:t>
      </w:r>
    </w:p>
    <w:p>
      <w:pPr>
        <w:tabs>
          <w:tab w:val="right" w:pos="9026" w:leader="dot"/>
        </w:tabs>
        <w:spacing w:after="40"/>
        <w:ind w:left="800"/>
      </w:pPr>
      <w:r>
        <w:rPr>
          <w:rFonts w:ascii="Calibri" w:cs="Calibri" w:eastAsia="Calibri" w:hAnsi="Calibri"/>
          <w:b w:val="false"/>
          <w:bCs w:val="false"/>
          <w:sz w:val="20"/>
          <w:szCs w:val="20"/>
        </w:rPr>
        <w:t xml:space="preserve">5.3.2 Klassendiagramm	14</w:t>
      </w:r>
    </w:p>
    <w:p>
      <w:pPr>
        <w:tabs>
          <w:tab w:val="right" w:pos="9026" w:leader="dot"/>
        </w:tabs>
        <w:spacing w:after="40"/>
        <w:ind w:left="800"/>
      </w:pPr>
      <w:r>
        <w:rPr>
          <w:rFonts w:ascii="Calibri" w:cs="Calibri" w:eastAsia="Calibri" w:hAnsi="Calibri"/>
          <w:b w:val="false"/>
          <w:bCs w:val="false"/>
          <w:sz w:val="20"/>
          <w:szCs w:val="20"/>
        </w:rPr>
        <w:t xml:space="preserve">5.3.3 Sequenzdiagramme	17</w:t>
      </w:r>
    </w:p>
    <w:p>
      <w:pPr>
        <w:tabs>
          <w:tab w:val="right" w:pos="9026" w:leader="dot"/>
        </w:tabs>
        <w:spacing w:after="40"/>
        <w:ind w:left="400"/>
      </w:pPr>
      <w:r>
        <w:rPr>
          <w:rFonts w:ascii="Calibri" w:cs="Calibri" w:eastAsia="Calibri" w:hAnsi="Calibri"/>
          <w:b w:val="false"/>
          <w:bCs w:val="false"/>
          <w:sz w:val="20"/>
          <w:szCs w:val="20"/>
        </w:rPr>
        <w:t xml:space="preserve">5.4 Konsistenz zwischen den Modellen	22</w:t>
      </w:r>
    </w:p>
    <w:p>
      <w:pPr>
        <w:tabs>
          <w:tab w:val="right" w:pos="9026" w:leader="dot"/>
        </w:tabs>
        <w:spacing w:after="40"/>
        <w:ind w:left="0"/>
      </w:pPr>
      <w:r>
        <w:rPr>
          <w:rFonts w:ascii="Calibri" w:cs="Calibri" w:eastAsia="Calibri" w:hAnsi="Calibri"/>
          <w:b/>
          <w:bCs/>
          <w:sz w:val="22"/>
          <w:szCs w:val="22"/>
        </w:rPr>
        <w:t xml:space="preserve">6 Probleme und Herausforderungen	23</w:t>
      </w:r>
    </w:p>
    <w:p>
      <w:pPr>
        <w:tabs>
          <w:tab w:val="right" w:pos="9026" w:leader="dot"/>
        </w:tabs>
        <w:spacing w:after="40"/>
        <w:ind w:left="0"/>
      </w:pPr>
      <w:r>
        <w:rPr>
          <w:rFonts w:ascii="Calibri" w:cs="Calibri" w:eastAsia="Calibri" w:hAnsi="Calibri"/>
          <w:b/>
          <w:bCs/>
          <w:sz w:val="22"/>
          <w:szCs w:val="22"/>
        </w:rPr>
        <w:t xml:space="preserve">7 Feedback	24</w:t>
      </w:r>
    </w:p>
    <w:p>
      <w:pPr>
        <w:tabs>
          <w:tab w:val="right" w:pos="9026" w:leader="dot"/>
        </w:tabs>
        <w:spacing w:after="40"/>
        <w:ind w:left="400"/>
      </w:pPr>
      <w:r>
        <w:rPr>
          <w:rFonts w:ascii="Calibri" w:cs="Calibri" w:eastAsia="Calibri" w:hAnsi="Calibri"/>
          <w:b w:val="false"/>
          <w:bCs w:val="false"/>
          <w:sz w:val="20"/>
          <w:szCs w:val="20"/>
        </w:rPr>
        <w:t xml:space="preserve">7.1 Feedback des Dozenten und Umsetzung	24</w:t>
      </w:r>
    </w:p>
    <w:p>
      <w:pPr>
        <w:tabs>
          <w:tab w:val="right" w:pos="9026" w:leader="dot"/>
        </w:tabs>
        <w:spacing w:after="40"/>
        <w:ind w:left="400"/>
      </w:pPr>
      <w:r>
        <w:rPr>
          <w:rFonts w:ascii="Calibri" w:cs="Calibri" w:eastAsia="Calibri" w:hAnsi="Calibri"/>
          <w:b w:val="false"/>
          <w:bCs w:val="false"/>
          <w:sz w:val="20"/>
          <w:szCs w:val="20"/>
        </w:rPr>
        <w:t xml:space="preserve">7.2 Unser Feedback zur Fallstudie	24</w:t>
      </w:r>
    </w:p>
    <w:p>
      <w:pPr>
        <w:tabs>
          <w:tab w:val="right" w:pos="9026" w:leader="dot"/>
        </w:tabs>
        <w:spacing w:after="40"/>
        <w:ind w:left="0"/>
      </w:pPr>
      <w:r>
        <w:rPr>
          <w:rFonts w:ascii="Calibri" w:cs="Calibri" w:eastAsia="Calibri" w:hAnsi="Calibri"/>
          <w:b/>
          <w:bCs/>
          <w:sz w:val="22"/>
          <w:szCs w:val="22"/>
        </w:rPr>
        <w:t xml:space="preserve">Anhang A: Abgabestruktur	25</w:t>
      </w:r>
    </w:p>
    <w:p>
      <w:pPr>
        <w:tabs>
          <w:tab w:val="right" w:pos="9026" w:leader="dot"/>
        </w:tabs>
        <w:spacing w:after="40"/>
        <w:ind w:left="0"/>
      </w:pPr>
      <w:r>
        <w:rPr>
          <w:rFonts w:ascii="Calibri" w:cs="Calibri" w:eastAsia="Calibri" w:hAnsi="Calibri"/>
          <w:b/>
          <w:bCs/>
          <w:sz w:val="22"/>
          <w:szCs w:val="22"/>
        </w:rPr>
        <w:t xml:space="preserve">Anhang B: Die zehn BPMN-Kollaborationsdiagramme	26</w:t>
      </w:r>
    </w:p>
    <w:p>
      <w:r>
        <w:br w:type="page"/>
      </w:r>
    </w:p>
    <w:p>
      <w:pPr>
        <w:pStyle w:val="Heading1"/>
        <w:keepNext/>
        <w:spacing w:after="120" w:before="360"/>
      </w:pPr>
      <w:r>
        <w:rPr>
          <w:rFonts w:ascii="Calibri" w:cs="Calibri" w:eastAsia="Calibri" w:hAnsi="Calibri"/>
        </w:rPr>
        <w:t xml:space="preserve">1 Mitglieder der Gruppe und Rollen</w:t>
      </w:r>
    </w:p>
    <w:p>
      <w:pPr>
        <w:spacing w:after="120" w:line="276"/>
        <w:jc w:val="both"/>
      </w:pPr>
      <w:r>
        <w:rPr>
          <w:rFonts w:ascii="Calibri" w:cs="Calibri" w:eastAsia="Calibri" w:hAnsi="Calibri"/>
          <w:sz w:val="22"/>
          <w:szCs w:val="22"/>
        </w:rPr>
        <w:t xml:space="preserve">Die Fallstudie wurde von sechs Studierenden des Kurses WWI25B4 bearbeitet. Das Team hat sich zu Beginn des Semesters konstituiert und die Zuständigkeiten nach dem Scrum-Vorgehensmodell verteilt (Kapitel 4): Jedes Artefakt hat eine verantwortliche Person, die Projektleitung ist Ansprechpartnerin für den Dozenten, und die Qualitätssicherung übernimmt eine Person, die nicht selbst modelliert.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trPr>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Name</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Rolle</w:t>
            </w:r>
          </w:p>
        </w:tc>
        <w:tc>
          <w:tcPr>
            <w:tcW w:type="dxa" w:w="4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Zuständigkeit</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Nina Sattler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Projektleiterin</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Ansprechpartnerin für den Dozenten, Gesamtplanung, Termine, Abgabe-Archiv</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David Leismann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Stellvertretende Projektleitung, Backup-Beauftragter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Sicherung der Repositories (Git, Camunda, VP-Server), Termine, Abgabe-Check</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Adrian Wenzler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Product Owner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Fachliche Entscheidungen zum Produkt: Umfang, Prioritäten, KI-Sofortdiagnose; Abnahme im Sprint Review</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Kilian Platter</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Scrum Master und UML-Verantwortlicher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Sprint-Rituale und Trello-Board; Use-Case-, Klassen- und Sequenzdiagramme in Visual Paradigm, VP-Repository</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Maximilian Ewald</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BPMN-Verantwortlicher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im Camunda Modeler, Camunda-Repository, BPMN-Export</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Jakob Schwan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Qualitätsmanager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 der Artefakte gegen die Anforderungen, Konsistenz zwischen BPMN, UML und Dokumentation, Präsentation</w:t>
            </w:r>
          </w:p>
        </w:tc>
      </w:tr>
    </w:tbl>
    <w:p>
      <w:pPr>
        <w:spacing w:after="120" w:line="276"/>
        <w:jc w:val="both"/>
      </w:pPr>
      <w:r>
        <w:rPr>
          <w:rFonts w:ascii="Calibri" w:cs="Calibri" w:eastAsia="Calibri" w:hAnsi="Calibri"/>
          <w:i/>
          <w:iCs/>
          <w:sz w:val="22"/>
          <w:szCs w:val="22"/>
          <w:shd w:fill="FFF2A8" w:color="auto" w:val="clear"/>
        </w:rPr>
        <w:t xml:space="preserve">[Gruppe: Vor der Abgabe ergänzen: tatsächliche Beiträge je Person (welche Diagramme, Kapitel und Folien wer erarbeitet hat), weil der Ablauf verlangt, dass erkennbar ist, was von wem erarbeitet wurde]</w:t>
      </w:r>
    </w:p>
    <w:p>
      <w:pPr>
        <w:spacing w:after="160"/>
      </w:pPr>
    </w:p>
    <w:p>
      <w:pPr>
        <w:spacing w:after="120" w:line="276"/>
        <w:jc w:val="both"/>
      </w:pPr>
      <w:r>
        <w:rPr>
          <w:rFonts w:ascii="Calibri" w:cs="Calibri" w:eastAsia="Calibri" w:hAnsi="Calibri"/>
          <w:sz w:val="22"/>
          <w:szCs w:val="22"/>
        </w:rPr>
        <w:t xml:space="preserve">Als „Dokumanager" haben wir zusätzlich das KI-Werkzeug Claude (Anthropic) eingesetzt: für Struktur und Formulierungsvorschläge dieser Dokumentation, für die Pflege des Entscheidungslogs im Git-Repository, für Konsistenzprüfungen zwischen den Modellen und für die Erzeugung der BPMN-Rohdiagramme aus unserer Prozessspezifikation. Claude hat außerdem am 26.09.2026 alle Artefakte gegen Aufgabenstellung und Vorlesung geprüft und Korrekturvorschläge gemacht (Entscheidungslog E-15) und am 28.09.2026 die Kundenabläufe in den BPMN-Diagrammen nach unserer Vorgabe erzeugt (E-16). Die fachlichen Modellierungsentscheidungen, die Überarbeitung im Camunda Modeler, die Umsetzung in Visual Paradigm und die Präsentation verantwortet das Team. </w:t>
      </w:r>
      <w:r>
        <w:rPr>
          <w:rFonts w:ascii="Calibri" w:cs="Calibri" w:eastAsia="Calibri" w:hAnsi="Calibri"/>
          <w:i/>
          <w:iCs/>
          <w:sz w:val="22"/>
          <w:szCs w:val="22"/>
          <w:shd w:fill="FFF2A8" w:color="auto" w:val="clear"/>
        </w:rPr>
        <w:t xml:space="preserve">[Gruppe: Falls eine KI-Nutzungserklärung verlangt wird: geforderten Wortlaut einsetzen]</w:t>
      </w:r>
    </w:p>
    <w:p>
      <w:pPr>
        <w:pStyle w:val="Heading1"/>
        <w:keepNext/>
        <w:spacing w:after="120" w:before="360"/>
      </w:pPr>
      <w:r>
        <w:rPr>
          <w:rFonts w:ascii="Calibri" w:cs="Calibri" w:eastAsia="Calibri" w:hAnsi="Calibri"/>
        </w:rPr>
        <w:t xml:space="preserve">2 Das Projekt RepairFlow</w:t>
      </w:r>
    </w:p>
    <w:p>
      <w:pPr>
        <w:pStyle w:val="Heading2"/>
        <w:keepNext/>
        <w:spacing w:after="120" w:before="240"/>
      </w:pPr>
      <w:r>
        <w:rPr>
          <w:rFonts w:ascii="Calibri" w:cs="Calibri" w:eastAsia="Calibri" w:hAnsi="Calibri"/>
        </w:rPr>
        <w:t xml:space="preserve">2.1 Ausgangslage und Problem</w:t>
      </w:r>
    </w:p>
    <w:p>
      <w:pPr>
        <w:spacing w:after="120" w:line="276"/>
        <w:jc w:val="both"/>
      </w:pPr>
      <w:r>
        <w:rPr>
          <w:rFonts w:ascii="Calibri" w:cs="Calibri" w:eastAsia="Calibri" w:hAnsi="Calibri"/>
          <w:sz w:val="22"/>
          <w:szCs w:val="22"/>
        </w:rPr>
        <w:t xml:space="preserve">Unabhängige Reparaturwerkstätten für Fahrräder, E-Bikes und Consumer-Elektronik arbeiten heute oft mit Papier-Auftragszetteln, Excel-Listen und Telefon. Das Reparaturgeschäft wächst, weil E-Bikes wartungsintensiv sind und das Recht auf Reparatur die Nachfrage nach Elektronikreparaturen stützt. Die Abläufe in den Werkstätten halten damit nicht Schritt.</w:t>
      </w:r>
    </w:p>
    <w:p>
      <w:pPr>
        <w:spacing w:after="120" w:line="276"/>
        <w:jc w:val="both"/>
      </w:pPr>
      <w:r>
        <w:rPr>
          <w:rFonts w:ascii="Calibri" w:cs="Calibri" w:eastAsia="Calibri" w:hAnsi="Calibri"/>
          <w:sz w:val="22"/>
          <w:szCs w:val="22"/>
        </w:rPr>
        <w:t xml:space="preserve">Als Referenz dient uns die FixWerk GmbH, eine fiktive Werkstattkette mit vier Filialen in der Region Karlsruhe, die sowohl Fahrräder und E-Bikes als auch Smartphones, Laptops und Kleingeräte repariert. Aus Gesprächen mit dem Werkstattleiter und aus dem Ist-Ablauf ergeben sich vier wiederkehrende Probleme:</w:t>
      </w:r>
    </w:p>
    <w:p>
      <w:pPr>
        <w:pStyle w:val="ListParagraph"/>
        <w:numPr>
          <w:ilvl w:val="0"/>
          <w:numId w:val="2"/>
        </w:numPr>
        <w:spacing w:after="60" w:line="264"/>
      </w:pPr>
      <w:r>
        <w:rPr>
          <w:rFonts w:ascii="Calibri" w:cs="Calibri" w:eastAsia="Calibri" w:hAnsi="Calibri"/>
          <w:sz w:val="22"/>
          <w:szCs w:val="22"/>
        </w:rPr>
        <w:t xml:space="preserve">Kunden werden nicht zuverlässig informiert, wenn ein Kostenvoranschlag freizugeben oder ein Gerät abholbereit ist. Die Folge sind Rückfragen per Telefon und Geräte, die wochenlang im Lager stehen.</w:t>
      </w:r>
    </w:p>
    <w:p>
      <w:pPr>
        <w:pStyle w:val="ListParagraph"/>
        <w:numPr>
          <w:ilvl w:val="0"/>
          <w:numId w:val="2"/>
        </w:numPr>
        <w:spacing w:after="60" w:line="264"/>
      </w:pPr>
      <w:r>
        <w:rPr>
          <w:rFonts w:ascii="Calibri" w:cs="Calibri" w:eastAsia="Calibri" w:hAnsi="Calibri"/>
          <w:sz w:val="22"/>
          <w:szCs w:val="22"/>
        </w:rPr>
        <w:t xml:space="preserve">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 xml:space="preserve">Ersatzteile werden je Filiale bestellt, obwohl das Teil in einer Nachbarfiliale liegt. Das kostet Zeit und Geld.</w:t>
      </w:r>
    </w:p>
    <w:p>
      <w:pPr>
        <w:pStyle w:val="ListParagraph"/>
        <w:numPr>
          <w:ilvl w:val="0"/>
          <w:numId w:val="2"/>
        </w:numPr>
        <w:spacing w:after="60" w:line="264"/>
      </w:pPr>
      <w:r>
        <w:rPr>
          <w:rFonts w:ascii="Calibri" w:cs="Calibri" w:eastAsia="Calibri" w:hAnsi="Calibri"/>
          <w:sz w:val="22"/>
          <w:szCs w:val="22"/>
        </w:rPr>
        <w:t xml:space="preserve">Die Auslastung der Techniker ist intransparent, Termine werden nach Gefühl zugesagt.</w:t>
      </w:r>
    </w:p>
    <w:p>
      <w:pPr>
        <w:pStyle w:val="Heading2"/>
        <w:keepNext/>
        <w:spacing w:after="120" w:before="240"/>
      </w:pPr>
      <w:r>
        <w:rPr>
          <w:rFonts w:ascii="Calibri" w:cs="Calibri" w:eastAsia="Calibri" w:hAnsi="Calibri"/>
        </w:rPr>
        <w:t xml:space="preserve">2.2 Das Startup RepairFlow</w:t>
      </w:r>
    </w:p>
    <w:p>
      <w:pPr>
        <w:spacing w:after="120" w:line="276"/>
        <w:jc w:val="both"/>
      </w:pPr>
      <w:r>
        <w:rPr>
          <w:rFonts w:ascii="Calibri" w:cs="Calibri" w:eastAsia="Calibri" w:hAnsi="Calibri"/>
          <w:sz w:val="22"/>
          <w:szCs w:val="22"/>
        </w:rPr>
        <w:t xml:space="preserve">RepairFlow ist ein Software-Startup, das Werkstätten eine Cloud-Plattform für den gesamten Reparatur-Lebenszyklus anbietet: von der Anfrage des Kunden über Diagnose, Kostenvoranschlag, Ersatzteil-Disposition und Reparatur bis zu Abholung, Rechnung und Reklamation. Wir treten also nicht als Werkstatt auf, sondern als Solution Provider. Die FixWerk GmbH ist unser Pilotkunde, an dessen Prozessen wir die Plattform entwickelt haben.</w:t>
      </w:r>
    </w:p>
    <w:p>
      <w:pPr>
        <w:spacing w:after="120" w:line="276"/>
        <w:jc w:val="both"/>
      </w:pPr>
      <w:r>
        <w:rPr>
          <w:rFonts w:ascii="Calibri" w:cs="Calibri" w:eastAsia="Calibri" w:hAnsi="Calibri"/>
          <w:sz w:val="22"/>
          <w:szCs w:val="22"/>
        </w:rPr>
        <w:t xml:space="preserve">Die Plattform besteht aus vier Modulen: dem Kundenportal mit App, dem Auftrags- und Werkstattmodul, dem Dispositionsmodul für die filialübergreifende Ersatzteilversorgung und der Abrechnung mit Schnittstelle zur Buchhaltung. Zielkunden sind unabhängige Werkstätten und kleine Ketten mit zwei bis zehn Filialen im deutschsprachigen Raum. Das Geschäftsmodell ist ein monatliches Abonnement je Filiale in zwei Stufen: Basis mit Auftragsverwaltung und Kundenkommunikation, Pro mit filialübergreifender Disposition und KI-Sofortdiagnose. </w:t>
      </w:r>
    </w:p>
    <w:p>
      <w:pPr>
        <w:pStyle w:val="Heading2"/>
        <w:keepNext/>
        <w:spacing w:after="120" w:before="240"/>
      </w:pPr>
      <w:r>
        <w:rPr>
          <w:rFonts w:ascii="Calibri" w:cs="Calibri" w:eastAsia="Calibri" w:hAnsi="Calibri"/>
        </w:rPr>
        <w:t xml:space="preserve">2.3 Markt und Wettbewerb</w:t>
      </w:r>
    </w:p>
    <w:p>
      <w:pPr>
        <w:spacing w:after="120" w:line="276"/>
        <w:jc w:val="both"/>
      </w:pPr>
      <w:r>
        <w:rPr>
          <w:rFonts w:ascii="Calibri" w:cs="Calibri" w:eastAsia="Calibri" w:hAnsi="Calibri"/>
          <w:sz w:val="22"/>
          <w:szCs w:val="22"/>
        </w:rPr>
        <w:t xml:space="preserve">Werkstattsoftware gibt es bereits, meist entweder für Fahrradwerkstätten (fixdesk, RO App, Repero) oder für Elektronikreparaturen (RepairDesk, RepairShopr). Keine der verbreiteten Lösungen kombiniert beide Reparaturwelten oder deckt die Ersatzteilversorgung über mehrere Filialen ab. RepairFlow unterscheidet sich in drei Punkten: eine Plattform für Fahrrad, E-Bike und Elektronik mit gemeinsamem Ersatzteillager; eine filialübergreifende Ersatzteil-Disposition mit Beständen, Reservierungen und Umlagerungen über alle Standorte; und die KI-Sofortdiagnose, die dem Kunden einen Diagnosevorschlag mit vorläufigem Kostenvoranschlag liefert, bevor er die Werkstatt betritt (Abschnitt 2.6).</w:t>
      </w:r>
    </w:p>
    <w:p>
      <w:pPr>
        <w:pStyle w:val="Heading2"/>
        <w:keepNext/>
        <w:spacing w:after="120" w:before="240"/>
      </w:pPr>
      <w:r>
        <w:rPr>
          <w:rFonts w:ascii="Calibri" w:cs="Calibri" w:eastAsia="Calibri" w:hAnsi="Calibri"/>
        </w:rPr>
        <w:t xml:space="preserve">2.4 Systemkontext und Systemgrenze</w:t>
      </w:r>
    </w:p>
    <w:p>
      <w:pPr>
        <w:spacing w:after="120" w:line="276"/>
        <w:jc w:val="both"/>
      </w:pPr>
      <w:r>
        <w:rPr>
          <w:rFonts w:ascii="Calibri" w:cs="Calibri" w:eastAsia="Calibri" w:hAnsi="Calibri"/>
          <w:sz w:val="22"/>
          <w:szCs w:val="22"/>
        </w:rPr>
        <w:t xml:space="preserve">Abbildung 1 zeigt den Systemkontext. Innerhalb der Systemgrenze liegt die RepairFlow-Plattform mit ihren vier Modulen. Der Werkstattbetrieb ist als Mandant angebunden; seine Rollen Service/Annahme, Techniker, Werkstattleitung und Ersatzteil-Disposition arbeiten in der Oberfläche der Plattform. Der Kunde nutzt das Kundenportal, der Lieferant tauscht Bestellungen, Bestätigungen, Lieferungen und Retouren aus. Der KI-Diagnosedienst ist ein externer Dienst, den die Plattform für die Auswertung von Foto, Video und Ton aufruft.</w:t>
      </w:r>
    </w:p>
    <w:p>
      <w:pPr>
        <w:keepNext/>
        <w:spacing w:after="0" w:before="120"/>
        <w:jc w:val="center"/>
      </w:pPr>
      <w:r>
        <w:drawing>
          <wp:inline distT="0" distB="0" distL="0" distR="0">
            <wp:extent cx="5715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574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 Systemkontext der RepairFlow-Plattform</w:t>
      </w:r>
    </w:p>
    <w:p>
      <w:pPr>
        <w:spacing w:after="120" w:line="276"/>
        <w:jc w:val="both"/>
      </w:pPr>
      <w:r>
        <w:rPr>
          <w:rFonts w:ascii="Calibri" w:cs="Calibri" w:eastAsia="Calibri" w:hAnsi="Calibri"/>
          <w:sz w:val="22"/>
          <w:szCs w:val="22"/>
        </w:rPr>
        <w:t xml:space="preserve">Bewusst außerhalb der Systemgrenze liegen die physische Reparatur selbst, die Systeme der Lieferanten und die Buchhaltung. An die Buchhaltung wird nur über eine Exportschnittstelle übergeben. Diese Abgrenzung ist die Grundlage für das Use-Case-Diagramm in Abschnitt 5.3.</w:t>
      </w:r>
    </w:p>
    <w:p>
      <w:pPr>
        <w:pStyle w:val="Heading2"/>
        <w:keepNext/>
        <w:spacing w:after="120" w:before="240"/>
      </w:pPr>
      <w:r>
        <w:rPr>
          <w:rFonts w:ascii="Calibri" w:cs="Calibri" w:eastAsia="Calibri" w:hAnsi="Calibri"/>
        </w:rPr>
        <w:t xml:space="preserve">2.5 Der Reparaturauftrag als Zustandsautomat</w:t>
      </w:r>
    </w:p>
    <w:p>
      <w:pPr>
        <w:spacing w:after="120" w:line="276"/>
        <w:jc w:val="both"/>
      </w:pPr>
      <w:r>
        <w:rPr>
          <w:rFonts w:ascii="Calibri" w:cs="Calibri" w:eastAsia="Calibri" w:hAnsi="Calibri"/>
          <w:sz w:val="22"/>
          <w:szCs w:val="22"/>
        </w:rPr>
        <w:t xml:space="preserve">Kern der Plattform ist der Reparaturauftrag. Er durchläuft einen festen Lebenszyklus, den alle Modelle gemeinsam verwenden: angenommen, in Diagnose, KVA offen, freigegeben oder abgelehnt, Teile bestellt, in Reparatur, fertig, abgeholt. Die zehn Geschäftsprozesse in Kapitel 5 sind die Übergänge dieses Automaten, das Klassendiagramm führt ihn als Attribut status mit der Aufzählung AuftragStatus, und die Sequenzdiagramme markieren die Statuswechsel, an denen sie beteiligt sind. Abbildung 2 zeigt den Zustandsautomaten als UML-Zustandsdiagramm.</w:t>
      </w:r>
    </w:p>
    <w:p>
      <w:pPr>
        <w:keepNext/>
        <w:spacing w:after="0" w:before="120"/>
        <w:jc w:val="center"/>
      </w:pPr>
      <w:r>
        <w:drawing>
          <wp:inline distT="0" distB="0" distL="0" distR="0">
            <wp:extent cx="409575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6648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 Zustandsdiagramm der Klasse Reparaturauftrag</w:t>
      </w:r>
    </w:p>
    <w:p>
      <w:pPr>
        <w:pStyle w:val="Heading2"/>
        <w:keepNext/>
        <w:spacing w:after="120" w:before="240"/>
      </w:pPr>
      <w:r>
        <w:rPr>
          <w:rFonts w:ascii="Calibri" w:cs="Calibri" w:eastAsia="Calibri" w:hAnsi="Calibri"/>
        </w:rPr>
        <w:t xml:space="preserve">2.6 Alleinstellungsmerkmal: die KI-Sofortdiagnose</w:t>
      </w:r>
    </w:p>
    <w:p>
      <w:pPr>
        <w:spacing w:after="120" w:line="276"/>
        <w:jc w:val="both"/>
      </w:pPr>
      <w:r>
        <w:rPr>
          <w:rFonts w:ascii="Calibri" w:cs="Calibri" w:eastAsia="Calibri" w:hAnsi="Calibri"/>
          <w:sz w:val="22"/>
          <w:szCs w:val="22"/>
        </w:rPr>
        <w:t xml:space="preserve">Der Dozent hat uns bei der Konzeptvorstellung geraten, dem Produkt etwas hinzuzufügen, das es von Mitbewerbern abhebt und ruhig visionär sein darf. Wir haben uns für die KI-Sofortdiagnose entschieden, weil sie genau an dem Punkt ansetzt, der Werkstattkunden am meisten stört: der Ungewissheit, was die Reparatur kostet und wie lange sie dauert.</w:t>
      </w:r>
    </w:p>
    <w:p>
      <w:pPr>
        <w:spacing w:after="120" w:line="276"/>
        <w:jc w:val="both"/>
      </w:pPr>
      <w:r>
        <w:rPr>
          <w:rFonts w:ascii="Calibri" w:cs="Calibri" w:eastAsia="Calibri" w:hAnsi="Calibri"/>
          <w:sz w:val="22"/>
          <w:szCs w:val="22"/>
        </w:rPr>
        <w:t xml:space="preserve">So funktioniert sie: Der Kunde lädt in der RepairFlow-App ein Foto des Schadens, ein Video oder eine Tonaufnahme hoch, etwa das Klackern eines E-Bike-Motors, und beschreibt die Symptome. Der KI-Diagnosedienst erkennt Gerätetyp und wahrscheinliche Fehlerursache und nennt die vermutlich benötigten Ersatzteile. RepairFlow berechnet daraus einen vorläufigen Kostenvoranschlag, prüft die Teileverfügbarkeit in allen Filialen und schlägt Filiale und Termin vor. Bestätigt der Kunde, entsteht eine Voranmeldung, und die benötigten Teile werden bereits vorreserviert. Bei der Annahme in der Werkstatt werden die Daten übernommen, der Techniker prüft den Vorschlag und bestätigt oder korrigiert ihn. Unser Slogan dafür: KVA in 60 Sekunden.</w:t>
      </w:r>
    </w:p>
    <w:p>
      <w:pPr>
        <w:spacing w:after="120" w:line="276"/>
        <w:jc w:val="both"/>
      </w:pPr>
      <w:r>
        <w:rPr>
          <w:rFonts w:ascii="Calibri" w:cs="Calibri" w:eastAsia="Calibri" w:hAnsi="Calibri"/>
          <w:sz w:val="22"/>
          <w:szCs w:val="22"/>
        </w:rPr>
        <w:t xml:space="preserve">Technisch ist ein Teil davon heute machbar, etwa die Erkennung sichtbarer Schäden wie eines gebrochenen Displays oder einer abgerissenen Kette per Bildanalyse. Die Auswertung von Motorgeräuschen oder die Schätzung von Arbeitszeiten aus einem Video sind dagegen Vision. Deshalb bleibt der Vorschlag im Modell ausdrücklich unverbindlich: Der Kostenvoranschlag trägt den Status „vorläufig", der Techniker muss ihn bestätigen, und bei nicht auswertbaren Medien fragt das System nach einer besseren Aufnahme. Medien werden nur mit Einwilligung des Kunden verarbeitet und nach Abschluss des Auftrags gelöscht.</w:t>
      </w:r>
    </w:p>
    <w:p>
      <w:pPr>
        <w:spacing w:after="120" w:line="276"/>
        <w:jc w:val="both"/>
      </w:pPr>
      <w:r>
        <w:rPr>
          <w:rFonts w:ascii="Calibri" w:cs="Calibri" w:eastAsia="Calibri" w:hAnsi="Calibri"/>
          <w:sz w:val="22"/>
          <w:szCs w:val="22"/>
        </w:rPr>
        <w:t xml:space="preserve">In den Modellen findet sich das Feature als Prozess 01 (KI-Sofortdiagnose und Voranmeldung),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 xml:space="preserve">3 Vorgehen bei der Umsetzung</w:t>
      </w:r>
    </w:p>
    <w:p>
      <w:pPr>
        <w:spacing w:after="120" w:line="276"/>
        <w:jc w:val="both"/>
      </w:pPr>
      <w:r>
        <w:rPr>
          <w:rFonts w:ascii="Calibri" w:cs="Calibri" w:eastAsia="Calibri" w:hAnsi="Calibri"/>
          <w:sz w:val="22"/>
          <w:szCs w:val="22"/>
        </w:rPr>
        <w:t xml:space="preserve">Wir sind in sechs Schritten vorgegangen, die sich an der in der Vorlesung vermittelten Reihenfolge Geschäftsprozessanalyse, Automatisierungspotential und objektorientierte Analyse orientieren.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trPr>
        <w:tc>
          <w:tcPr>
            <w:tcW w:type="dxa" w:w="8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Schritt</w:t>
            </w:r>
          </w:p>
        </w:tc>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Phase</w:t>
            </w:r>
          </w:p>
        </w:tc>
        <w:tc>
          <w:tcPr>
            <w:tcW w:type="dxa" w:w="6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 und Ergebnis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Themenfindung</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Sammlung von Startup-Ideen, Bewertung nach Prozessreichtum und Automatisierungspotential, Entscheidung für das Werkstatt-Szenario mit der FixWerk GmbH als Referenz.</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Konzeptvorstellung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sz w:val="19"/>
                <w:szCs w:val="19"/>
              </w:rPr>
              <w:t xml:space="preserve">Vorstellung des Konzepts beim Dozenten im Kickoff-Pitch am 31.08.2026 (fünf Minuten im Plenum). Rückmeldung: Perspektive klären (Betreiber oder Solution Provider) und ein Alleinstellungsmerkmal ergänzen. Entscheidung für Solution Provider und KI-Sofortdiagnose, dokumentiert im Entscheidungslog.</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Aufnahme der Ist-Abläufe beim Pilotkunden, Ableitung der Soll-Prozesse mit RepairFlow, Festlegung der Prozessliste mit zehn Kollaborationsdiagrammen und der Namenskonventionen als Single Source of Truth.</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BPMN-Modellierung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Modellierung der zehn Prozesse nach den Regeln der Vorlesung: Pool je Unternehmen, Lanes je Rolle, Automatisierung über Aktivitätstypen, Kunde als eigener Prozess, Lieferant als Empty Pool, Datenobjekte und Datenspeicher. Prüfung mit dem Linter des Camunda Modelers.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Objektorientierte 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Use-Case-Diagramm aus der Systemgrenze, Klassendiagramm aus den Datenobjekten der Prozesse, sechs Sequenzdiagramme (gefordert fünf) zu den interaktionsreichsten Use Cases, Zustandsdiagramm des Reparaturauftrags. Umsetzung in Visual Paradigm mit Teamwork-Server.</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Dokumentation und Präsentation</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Projektdokumentation, Abschlusspräsentation mit Zuordnung der Vortragenden, Zusammenstellung des Abgabe-Archivs.</w:t>
            </w:r>
          </w:p>
        </w:tc>
      </w:tr>
    </w:tbl>
    <w:p>
      <w:pPr>
        <w:spacing w:after="160"/>
      </w:pPr>
    </w:p>
    <w:p>
      <w:pPr>
        <w:pStyle w:val="Heading2"/>
        <w:keepNext/>
        <w:spacing w:after="120" w:before="240"/>
      </w:pPr>
      <w:r>
        <w:rPr>
          <w:rFonts w:ascii="Calibri" w:cs="Calibri" w:eastAsia="Calibri" w:hAnsi="Calibri"/>
        </w:rPr>
        <w:t xml:space="preserve">3.1 Werkzeuge</w:t>
      </w:r>
    </w:p>
    <w:p>
      <w:pPr>
        <w:pStyle w:val="ListParagraph"/>
        <w:numPr>
          <w:ilvl w:val="0"/>
          <w:numId w:val="2"/>
        </w:numPr>
        <w:spacing w:after="60" w:line="264"/>
      </w:pPr>
      <w:r>
        <w:rPr>
          <w:rFonts w:ascii="Calibri" w:cs="Calibri" w:eastAsia="Calibri" w:hAnsi="Calibri"/>
          <w:b/>
          <w:bCs/>
          <w:sz w:val="22"/>
          <w:szCs w:val="22"/>
        </w:rPr>
        <w:t xml:space="preserve">Camunda Modeler (Camunda 8) </w:t>
      </w:r>
      <w:r>
        <w:rPr>
          <w:rFonts w:ascii="Calibri" w:cs="Calibri" w:eastAsia="Calibri" w:hAnsi="Calibri"/>
          <w:sz w:val="22"/>
          <w:szCs w:val="22"/>
        </w:rPr>
        <w:t xml:space="preserve">für die BPMN-Kollaborationsdiagramme. Die Diagramme sind so angereichert, dass der Camunda-Linter (dieselben Regeln wie das Problems-Panel des Modelers) keine Fehler meldet: Task-Definitionen für automatisierte Aktivitäten, Message-Subscriptions für empfangende Elemente, ISO-Dauern für Timer und FEEL-Bedingungen an allen Gateway-Ausgängen.</w:t>
      </w:r>
    </w:p>
    <w:p>
      <w:pPr>
        <w:pStyle w:val="ListParagraph"/>
        <w:numPr>
          <w:ilvl w:val="0"/>
          <w:numId w:val="2"/>
        </w:numPr>
        <w:spacing w:after="60" w:line="264"/>
      </w:pPr>
      <w:r>
        <w:rPr>
          <w:rFonts w:ascii="Calibri" w:cs="Calibri" w:eastAsia="Calibri" w:hAnsi="Calibri"/>
          <w:b/>
          <w:bCs/>
          <w:sz w:val="22"/>
          <w:szCs w:val="22"/>
        </w:rPr>
        <w:t xml:space="preserve">Visual Paradigm 18 </w:t>
      </w:r>
      <w:r>
        <w:rPr>
          <w:rFonts w:ascii="Calibri" w:cs="Calibri" w:eastAsia="Calibri" w:hAnsi="Calibri"/>
          <w:sz w:val="22"/>
          <w:szCs w:val="22"/>
        </w:rPr>
        <w:t xml:space="preserve">für Use-Case-, Klassen- und Sequenzdiagramme, mit dem Teamwork-Server der DHBW als gemeinsamem Repository (WWI25B4G1). Das Klassen- und Use-Case-Modell haben wir zusätzlich als XMI vorgehalten, damit es tool-unabhängig importierbar bleibt.</w:t>
      </w:r>
    </w:p>
    <w:p>
      <w:pPr>
        <w:pStyle w:val="ListParagraph"/>
        <w:numPr>
          <w:ilvl w:val="0"/>
          <w:numId w:val="2"/>
        </w:numPr>
        <w:spacing w:after="60" w:line="264"/>
      </w:pPr>
      <w:r>
        <w:rPr>
          <w:rFonts w:ascii="Calibri" w:cs="Calibri" w:eastAsia="Calibri" w:hAnsi="Calibri"/>
          <w:b/>
          <w:bCs/>
          <w:sz w:val="22"/>
          <w:szCs w:val="22"/>
        </w:rPr>
        <w:t xml:space="preserve">GitHub </w:t>
      </w:r>
      <w:r>
        <w:rPr>
          <w:rFonts w:ascii="Calibri" w:cs="Calibri" w:eastAsia="Calibri" w:hAnsi="Calibri"/>
          <w:sz w:val="22"/>
          <w:szCs w:val="22"/>
        </w:rPr>
        <w:t xml:space="preserve">als gemeinsames Repository für BPMN-Dateien, Dokumentation, Entscheidungslog und Präsentation, mit Branches, Pull Requests und Review durch ein anderes Teammitglied.</w:t>
      </w:r>
    </w:p>
    <w:p>
      <w:pPr>
        <w:pStyle w:val="ListParagraph"/>
        <w:numPr>
          <w:ilvl w:val="0"/>
          <w:numId w:val="2"/>
        </w:numPr>
        <w:spacing w:after="60" w:line="264"/>
      </w:pPr>
      <w:r>
        <w:rPr>
          <w:rFonts w:ascii="Calibri" w:cs="Calibri" w:eastAsia="Calibri" w:hAnsi="Calibri"/>
          <w:b/>
          <w:bCs/>
          <w:sz w:val="22"/>
          <w:szCs w:val="22"/>
        </w:rPr>
        <w:t xml:space="preserve">PlantUML </w:t>
      </w:r>
      <w:r>
        <w:rPr>
          <w:rFonts w:ascii="Calibri" w:cs="Calibri" w:eastAsia="Calibri" w:hAnsi="Calibri"/>
          <w:sz w:val="22"/>
          <w:szCs w:val="22"/>
        </w:rPr>
        <w:t xml:space="preserve">als textuelle Zwischenform der UML-Modelle. Aus einer gemeinsamen Modellbeschreibung entstehen Diagrammbilder für Dokumentation und Präsentation sowie die XMI-Datei für Visual Paradigm; so bleiben Klassennamen, Attribute und Operationen an allen Stellen identisch.</w:t>
      </w:r>
    </w:p>
    <w:p>
      <w:pPr>
        <w:pStyle w:val="ListParagraph"/>
        <w:numPr>
          <w:ilvl w:val="0"/>
          <w:numId w:val="2"/>
        </w:numPr>
        <w:spacing w:after="60" w:line="264"/>
      </w:pPr>
      <w:r>
        <w:rPr>
          <w:rFonts w:ascii="Calibri" w:cs="Calibri" w:eastAsia="Calibri" w:hAnsi="Calibri"/>
          <w:b/>
          <w:bCs/>
          <w:sz w:val="22"/>
          <w:szCs w:val="22"/>
        </w:rPr>
        <w:t xml:space="preserve">Trello </w:t>
      </w:r>
      <w:r>
        <w:rPr>
          <w:rFonts w:ascii="Calibri" w:cs="Calibri" w:eastAsia="Calibri" w:hAnsi="Calibri"/>
          <w:sz w:val="22"/>
          <w:szCs w:val="22"/>
        </w:rPr>
        <w:t xml:space="preserve">für Product Backlog, Sprint Backlogs und den Bearbeitungsstatus der Aufgaben (Abschnitt 4.3).</w:t>
      </w:r>
    </w:p>
    <w:p>
      <w:pPr>
        <w:pStyle w:val="Heading2"/>
        <w:keepNext/>
        <w:spacing w:after="120" w:before="240"/>
      </w:pPr>
      <w:r>
        <w:rPr>
          <w:rFonts w:ascii="Calibri" w:cs="Calibri" w:eastAsia="Calibri" w:hAnsi="Calibri"/>
        </w:rPr>
        <w:t xml:space="preserve">3.2 Konventionen</w:t>
      </w:r>
    </w:p>
    <w:p>
      <w:pPr>
        <w:spacing w:after="120" w:line="276"/>
        <w:jc w:val="both"/>
      </w:pPr>
      <w:r>
        <w:rPr>
          <w:rFonts w:ascii="Calibri" w:cs="Calibri" w:eastAsia="Calibri" w:hAnsi="Calibri"/>
          <w:sz w:val="22"/>
          <w:szCs w:val="22"/>
        </w:rPr>
        <w:t xml:space="preserve">Damit die drei Modelle zusammenpassen, haben wir uns früh auf Regeln festgelegt, die im Repository dokumentiert sind:</w:t>
      </w:r>
    </w:p>
    <w:p>
      <w:pPr>
        <w:pStyle w:val="ListParagraph"/>
        <w:numPr>
          <w:ilvl w:val="0"/>
          <w:numId w:val="2"/>
        </w:numPr>
        <w:spacing w:after="60" w:line="264"/>
      </w:pPr>
      <w:r>
        <w:rPr>
          <w:rFonts w:ascii="Calibri" w:cs="Calibri" w:eastAsia="Calibri" w:hAnsi="Calibri"/>
          <w:sz w:val="22"/>
          <w:szCs w:val="22"/>
        </w:rPr>
        <w:t xml:space="preserve">Datenobjekte in BPMN tragen die Klassennamen des Klassendiagramms,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 xml:space="preserve">Aktivitäten sind als Verb mit Objekt benannt („Kundendaten erfassen"), Ereignisse im Partizip Perfekt („Auftrag angenommen").</w:t>
      </w:r>
    </w:p>
    <w:p>
      <w:pPr>
        <w:pStyle w:val="ListParagraph"/>
        <w:numPr>
          <w:ilvl w:val="0"/>
          <w:numId w:val="2"/>
        </w:numPr>
        <w:spacing w:after="60" w:line="264"/>
      </w:pPr>
      <w:r>
        <w:rPr>
          <w:rFonts w:ascii="Calibri" w:cs="Calibri" w:eastAsia="Calibri" w:hAnsi="Calibri"/>
          <w:sz w:val="22"/>
          <w:szCs w:val="22"/>
        </w:rPr>
        <w:t xml:space="preserve">Je Diagramm gibt es auf Prozessebene ein Start- und ein Endereignis (eingebettete Teilprozesse haben ihr eigenes); alternative Ausgänge werden vor dem Ende zusammengeführt.</w:t>
      </w:r>
    </w:p>
    <w:p>
      <w:pPr>
        <w:pStyle w:val="ListParagraph"/>
        <w:numPr>
          <w:ilvl w:val="0"/>
          <w:numId w:val="2"/>
        </w:numPr>
        <w:spacing w:after="60" w:line="264"/>
      </w:pPr>
      <w:r>
        <w:rPr>
          <w:rFonts w:ascii="Calibri" w:cs="Calibri" w:eastAsia="Calibri" w:hAnsi="Calibri"/>
          <w:sz w:val="22"/>
          <w:szCs w:val="22"/>
        </w:rPr>
        <w:t xml:space="preserve">Die Rollen Kunde, Techniker, Disponent und Werkstattleiter sind in BPMN Pool beziehungsweise Lanes (Kunde, Techniker, Ersatzteil-Disposition, Werkstattleitung), im Use-Case-Diagramm und in den Sequenzdiagrammen Akteure; die Tätigkeiten der Lane Service / Annahme sind im Use-Case-Diagramm dem Werkstattleiter zugeordnet.</w:t>
      </w:r>
    </w:p>
    <w:p>
      <w:pPr>
        <w:pStyle w:val="ListParagraph"/>
        <w:numPr>
          <w:ilvl w:val="0"/>
          <w:numId w:val="2"/>
        </w:numPr>
        <w:spacing w:after="60" w:line="264"/>
      </w:pPr>
      <w:r>
        <w:rPr>
          <w:rFonts w:ascii="Calibri" w:cs="Calibri" w:eastAsia="Calibri" w:hAnsi="Calibri"/>
          <w:sz w:val="22"/>
          <w:szCs w:val="22"/>
        </w:rPr>
        <w:t xml:space="preserve">Die Statuswerte des Reparaturauftrags sind in allen Modellen identisch mit der Aufzählung AuftragStatus.</w:t>
      </w:r>
    </w:p>
    <w:p>
      <w:pPr>
        <w:pStyle w:val="ListParagraph"/>
        <w:numPr>
          <w:ilvl w:val="0"/>
          <w:numId w:val="2"/>
        </w:numPr>
        <w:spacing w:after="60" w:line="264"/>
      </w:pPr>
      <w:r>
        <w:rPr>
          <w:rFonts w:ascii="Calibri" w:cs="Calibri" w:eastAsia="Calibri" w:hAnsi="Calibri"/>
          <w:sz w:val="22"/>
          <w:szCs w:val="22"/>
        </w:rPr>
        <w:t xml:space="preserve">Dateien im Repository tragen keine Umlaute und keinen Projekt-Präfix; Diagrammquelle (.puml, .bpmn) und Bild (.png) haben denselben Basisnamen, und ein Bild wird nie ohne seine Quelle ausgetauscht.</w:t>
      </w:r>
    </w:p>
    <w:p>
      <w:pPr>
        <w:pStyle w:val="Heading2"/>
        <w:keepNext/>
        <w:spacing w:after="120" w:before="240"/>
      </w:pPr>
      <w:r>
        <w:rPr>
          <w:rFonts w:ascii="Calibri" w:cs="Calibri" w:eastAsia="Calibri" w:hAnsi="Calibri"/>
        </w:rPr>
        <w:t xml:space="preserve">3.3 Qualitätssicherung</w:t>
      </w:r>
    </w:p>
    <w:p>
      <w:pPr>
        <w:spacing w:after="120" w:line="276"/>
        <w:jc w:val="both"/>
      </w:pPr>
      <w:r>
        <w:rPr>
          <w:rFonts w:ascii="Calibri" w:cs="Calibri" w:eastAsia="Calibri" w:hAnsi="Calibri"/>
          <w:sz w:val="22"/>
          <w:szCs w:val="22"/>
        </w:rPr>
        <w:t xml:space="preserve">Jedes Artefakt durchläuft eine Definition of Done: Ablage im Git-Repository über einen Pull Request mit Review durch eine zweite Person, Ablage im jeweiligen Fach-Repository (Camunda beziehungsweise VP-Teamwork-Server), Einhaltung der Namens- und Modellierungskonventionen und Abnahme über die QA-Checkliste des Qualitätsmanagers. Die BPMN-Dateien prüfen wir zusätzlich automatisiert mit zwei Werkzeugen: dem Linter des Camunda Modelers (Problems-Panel, Regelsatz Camunda 8.7) und dem allgemeinen bpmnlint-Regelsatz „recommended". Geprüft werden unter anderem: genau ein Startereignis, kein Flussobjekt ohne Ein- und Ausgang, Bedingungen an allen Ausgängen exklusiver Gateways, keine Zusammenführung mit einem Verzweigungs-Gateway, Beschriftung aller Aktivitäten und Ereignisse, gültige Endpunkte aller Nachrichtenflüsse. Beide Prüfungen laufen für alle zehn Diagramme ohne Befund.</w:t>
      </w:r>
    </w:p>
    <w:p>
      <w:pPr>
        <w:spacing w:after="120" w:line="276"/>
        <w:jc w:val="both"/>
      </w:pPr>
      <w:r>
        <w:rPr>
          <w:rFonts w:ascii="Calibri" w:cs="Calibri" w:eastAsia="Calibri" w:hAnsi="Calibri"/>
          <w:sz w:val="22"/>
          <w:szCs w:val="22"/>
        </w:rPr>
        <w:t xml:space="preserve">Für die UML-Modelle gilt die Konsistenzregel „Botschaft = Operation der Klasse": Jede Lebenslinie eines Sequenzdiagramms ist eine Klasse oder ein Akteur des Klassen- beziehungsweise Use-Case-Diagramms, jede Botschaft eine dort definierte Operation. Die Prüfung erfolgt beim Review, die Abweichungen und ihre Korrekturen stehen in Kapitel 6.</w:t>
      </w:r>
    </w:p>
    <w:p>
      <w:pPr>
        <w:spacing w:after="120" w:line="276"/>
        <w:jc w:val="both"/>
      </w:pPr>
      <w:r>
        <w:rPr>
          <w:rFonts w:ascii="Calibri" w:cs="Calibri" w:eastAsia="Calibri" w:hAnsi="Calibri"/>
          <w:i/>
          <w:iCs/>
          <w:sz w:val="22"/>
          <w:szCs w:val="22"/>
          <w:shd w:fill="FFF2A8" w:color="auto" w:val="clear"/>
        </w:rPr>
        <w:t xml:space="preserve">[Gruppe: Nach Sprint 2 ergänzen, wie die Reviews tatsächlich abgelaufen sind: Anzahl der Befunde, typische Fehler]</w:t>
      </w:r>
    </w:p>
    <w:p>
      <w:pPr>
        <w:pStyle w:val="Heading1"/>
        <w:keepNext/>
        <w:spacing w:after="120" w:before="360"/>
      </w:pPr>
      <w:r>
        <w:rPr>
          <w:rFonts w:ascii="Calibri" w:cs="Calibri" w:eastAsia="Calibri" w:hAnsi="Calibri"/>
        </w:rPr>
        <w:t xml:space="preserve">4 Projektmanagement</w:t>
      </w:r>
    </w:p>
    <w:p>
      <w:pPr>
        <w:pStyle w:val="Heading2"/>
        <w:keepNext/>
        <w:spacing w:after="120" w:before="240"/>
      </w:pPr>
      <w:r>
        <w:rPr>
          <w:rFonts w:ascii="Calibri" w:cs="Calibri" w:eastAsia="Calibri" w:hAnsi="Calibri"/>
        </w:rPr>
        <w:t xml:space="preserve">4.1 Vorgehensmodell und Arbeitsweise</w:t>
      </w:r>
    </w:p>
    <w:p>
      <w:pPr>
        <w:spacing w:after="120" w:line="276"/>
        <w:jc w:val="both"/>
      </w:pPr>
      <w:r>
        <w:rPr>
          <w:rFonts w:ascii="Calibri" w:cs="Calibri" w:eastAsia="Calibri" w:hAnsi="Calibri"/>
          <w:sz w:val="22"/>
          <w:szCs w:val="22"/>
        </w:rPr>
        <w:t xml:space="preserve">Das Projekt ist nach Scrum organisiert (Vorlesung Kapitel 2): Der Product Owner priorisiert den Product Backlog und nimmt Ergebnisse im Sprint Review ab, der Scrum Master moderiert die Rituale und pflegt das Board, das Projektteam bearbeitet den Sprint Backlog, wobei jede Aufgabe genau einer Person zugeordnet ist. Abweichend vom reinen Scrum gibt es eine Projektleitung als Ansprechpartnerin für den Dozenten, wie es die Aufgabenstellung verlangt.</w:t>
      </w:r>
    </w:p>
    <w:p>
      <w:pPr>
        <w:spacing w:after="120" w:line="276"/>
        <w:jc w:val="both"/>
      </w:pPr>
      <w:r>
        <w:rPr>
          <w:rFonts w:ascii="Calibri" w:cs="Calibri" w:eastAsia="Calibri" w:hAnsi="Calibri"/>
          <w:sz w:val="22"/>
          <w:szCs w:val="22"/>
        </w:rPr>
        <w:t xml:space="preserve">Als Sprint-Takt dienen die Gruppentermine in Präsenz (jeweils 4:15 Stunden): Jeder Termin beginnt mit Sprint Review und Retrospektive des vorangegangenen Sprints und dem Sprint Planning des nächsten; das Feedback des Dozenten aus dem Coaching wird direkt im Planning eingeplant. Zwischen den Terminen arbeiten wir asynchron über das Repository und stimmen uns in einem wöchentlichen Kurz-Meeting online ab. </w:t>
      </w:r>
      <w:r>
        <w:rPr>
          <w:rFonts w:ascii="Calibri" w:cs="Calibri" w:eastAsia="Calibri" w:hAnsi="Calibri"/>
          <w:i/>
          <w:iCs/>
          <w:sz w:val="22"/>
          <w:szCs w:val="22"/>
          <w:shd w:fill="FFF2A8" w:color="auto" w:val="clear"/>
        </w:rPr>
        <w:t xml:space="preserve">[Gruppe: Kommunikationskanal und Wochentag des Online-Meetings eintragen]</w:t>
      </w:r>
    </w:p>
    <w:p>
      <w:pPr>
        <w:pStyle w:val="Heading2"/>
        <w:keepNext/>
        <w:spacing w:after="120" w:before="240"/>
      </w:pPr>
      <w:r>
        <w:rPr>
          <w:rFonts w:ascii="Calibri" w:cs="Calibri" w:eastAsia="Calibri" w:hAnsi="Calibri"/>
        </w:rPr>
        <w:t xml:space="preserve">4.2 Sprintplan und Meilensteine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trPr>
        <w:tc>
          <w:tcPr>
            <w:tcW w:type="dxa" w:w="13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Sprint</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Zeitraum</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Ziel</w:t>
            </w:r>
          </w:p>
        </w:tc>
        <w:tc>
          <w:tcPr>
            <w:tcW w:type="dxa" w:w="40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Ergebnisse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1</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02.09.2026 (Gruppentermin)</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Alle Diagramme erstellen und im Zweierteam prüfen</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Rollen und Konventionen festgelegt, Entscheidung Solution Provider und KI-Sofortdiagnose, Repository-Struktur; je zwei BPMN-Diagramme pro Person zur Prüfung im Camunda Modeler verteilt (Prüfer: Teampartner); Use-Case- und Klassendiagramm für Visual Paradigm vorbereitet (XMI); Dokumentationsgerüst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2</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03.09. bis 05.10.2026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Korrekturen und Verhalten</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Review-Befunde in den BPMN-Dateien einarbeiten, Modelle im Camunda Modeler nachziehen, Sequenzdiagramme als Unterdiagramme der Use Cases in Visual Paradigm, Dokumentationskapitel 1 bis 4</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3</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06.10. bis 15.10.2026</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Fertigstellung</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BPMN-Freeze mit BPMN-Archiv, UML-Freeze mit VPP-Datei, Dokumentation fertig, Folien mit finalen Diagrammen, Sprechtexte</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4</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16.10. bis 22.10.2026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Generalprobe</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Kompletter Probedurchlauf mit Zeitmessung und Fragenrunde, letzte Korrekturen, Retrospektive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Abschluss</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27.10.2026, 09:00 Uhr, Raum B458; Abgabe bis 13.11.2026, 23:59 Uhr</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Präsentation und Abgabe</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 bis 20 Minuten im Plenum, alle Gruppenmitglieder tragen vor; Kapitel 6 und 7 abschließen; Abgabe-Archiv Fallstudie-WWI25B4-Gruppe1.zip über Moodle, jede Person lädt es selbst hoch</w:t>
            </w:r>
          </w:p>
        </w:tc>
      </w:tr>
    </w:tbl>
    <w:p>
      <w:pPr>
        <w:spacing w:after="160"/>
      </w:pPr>
    </w:p>
    <w:p>
      <w:pPr>
        <w:spacing w:after="120" w:line="276"/>
        <w:jc w:val="both"/>
      </w:pPr>
      <w:r>
        <w:rPr>
          <w:rFonts w:ascii="Calibri" w:cs="Calibri" w:eastAsia="Calibri" w:hAnsi="Calibri"/>
          <w:sz w:val="22"/>
          <w:szCs w:val="22"/>
        </w:rPr>
        <w:t xml:space="preserve">Fixpunkte des Zeitplans sind die vier Gruppentermine am 02.09., 05.10., 15.10. und 22.10.2026 (jeweils 4:15 Stunden), die Abschlusspräsentation am 27.10.2026 laut Moodle-Ankündigung und die Abgabe am 13.11.2026.</w:t>
      </w:r>
    </w:p>
    <w:p>
      <w:pPr>
        <w:pStyle w:val="Heading2"/>
        <w:keepNext/>
        <w:spacing w:after="120" w:before="240"/>
      </w:pPr>
      <w:r>
        <w:rPr>
          <w:rFonts w:ascii="Calibri" w:cs="Calibri" w:eastAsia="Calibri" w:hAnsi="Calibri"/>
        </w:rPr>
        <w:t xml:space="preserve">4.3 Aufgabensteuerung mit Trello</w:t>
      </w:r>
    </w:p>
    <w:p>
      <w:pPr>
        <w:spacing w:after="120" w:line="276"/>
        <w:jc w:val="both"/>
      </w:pPr>
      <w:r>
        <w:rPr>
          <w:rFonts w:ascii="Calibri" w:cs="Calibri" w:eastAsia="Calibri" w:hAnsi="Calibri"/>
          <w:sz w:val="22"/>
          <w:szCs w:val="22"/>
        </w:rPr>
        <w:t xml:space="preserve">Das Trello-Board der Gruppe ist bewusst einfach gehalten: Eine Liste je Termin (02.09., 05.10., 15.10., 22.10., 27.10. und 13.11.2026) enthält die Karten, die bis zu diesem Termin erledigt sein müssen. Jede Karte nennt genau eine verantwortliche Person und, wo ein Diagramm entsteht, den Teampartner als Prüfer (Vier-Augen-Prinzip). Für den ersten Gruppentermin sind das zehn Karten für die BPMN-Diagramme (je zwei pro Person), je eine Karte für Use-Case- und Klassendiagramm, Dokumentationsgerüst, QA-Checkliste und Sprint-Protokoll; die folgenden Listen enthalten die Korrekturen, Sequenzdiagramme, Dokumentation, Folien, Generalprobe, Präsentation und Abgabe. Erledigte Karten werden abgehakt, sodass der Dozent den Stand je Termin auf einen Blick sieht.</w:t>
      </w:r>
    </w:p>
    <w:p>
      <w:pPr>
        <w:spacing w:after="120" w:line="276"/>
        <w:jc w:val="both"/>
      </w:pPr>
      <w:r>
        <w:rPr>
          <w:rFonts w:ascii="Calibri" w:cs="Calibri" w:eastAsia="Calibri" w:hAnsi="Calibri"/>
          <w:i/>
          <w:iCs/>
          <w:sz w:val="22"/>
          <w:szCs w:val="22"/>
          <w:shd w:fill="FFF2A8" w:color="auto" w:val="clear"/>
        </w:rPr>
        <w:t xml:space="preserve">[Gruppe: Screenshot des Trello-Boards (Stand 05.10.) einfügen; tatsächliche Sprint-Ergebnisse und Abweichungen vom Plan beschreiben]</w:t>
      </w:r>
    </w:p>
    <w:p>
      <w:pPr>
        <w:pStyle w:val="Heading2"/>
        <w:keepNext/>
        <w:spacing w:after="120" w:before="240"/>
      </w:pPr>
      <w:r>
        <w:rPr>
          <w:rFonts w:ascii="Calibri" w:cs="Calibri" w:eastAsia="Calibri" w:hAnsi="Calibri"/>
        </w:rPr>
        <w:t xml:space="preserve">4.4 Zusammenarbeit im Repository</w:t>
      </w:r>
    </w:p>
    <w:p>
      <w:pPr>
        <w:spacing w:after="120" w:line="276"/>
        <w:jc w:val="both"/>
      </w:pPr>
      <w:r>
        <w:rPr>
          <w:rFonts w:ascii="Calibri" w:cs="Calibri" w:eastAsia="Calibri" w:hAnsi="Calibri"/>
          <w:sz w:val="22"/>
          <w:szCs w:val="22"/>
        </w:rPr>
        <w:t xml:space="preserve">Änderungen am gemeinsamen Stand laufen über einen Git-Workflow, den wir in der README des Repositories festgehalten haben: keine direkten Commits auf main, ein Branch je Aufgabe, Pull Request mit Beschreibung, Review durch ein anderes Teammitglied, Definition of Done. Commit-Nachrichten tragen einen Termin-Stempel und ein Conventional-Commit-Präfix nach dem Muster [T03 2026-09-02] docs: update class diagram, damit im Log erkennbar bleibt, zu welchem Gruppentermin ein Stand gehört. Das Repository ist nach Artefakten gegliedert (bpmn, uml, doku, praesi); Entscheidungen, die mehr als eine Person betreffen, stehen mit Datum, Begründung und Auswirkung im Entscheidungslog, Rückmeldungen des Dozenten in einer eigenen Datei.</w:t>
      </w:r>
    </w:p>
    <w:p>
      <w:pPr>
        <w:spacing w:after="120" w:line="276"/>
        <w:jc w:val="both"/>
      </w:pPr>
      <w:r>
        <w:rPr>
          <w:rFonts w:ascii="Calibri" w:cs="Calibri" w:eastAsia="Calibri" w:hAnsi="Calibri"/>
          <w:sz w:val="22"/>
          <w:szCs w:val="22"/>
        </w:rPr>
        <w:t xml:space="preserve">Die Modellierungswerkzeuge haben jeweils ein eigenes Repository (Camunda beziehungsweise VP-Teamwork-Server); zusätzlich liegen Exporte und lokale Sicherungen (BPMN-XML, PlantUML, XMI, nach Fertigstellung auch die VPP-Datei) im Git, damit jederzeit ein vollständiger Stand wiederhergestellt werden kann. Office-Dateien lassen sich nicht mergen; wer Dokumentation oder Folien bearbeitet, stimmt das vorher im Team ab.</w:t>
      </w:r>
    </w:p>
    <w:p>
      <w:pPr>
        <w:pStyle w:val="Heading2"/>
        <w:keepNext/>
        <w:spacing w:after="120" w:before="240"/>
      </w:pPr>
      <w:r>
        <w:rPr>
          <w:rFonts w:ascii="Calibri" w:cs="Calibri" w:eastAsia="Calibri" w:hAnsi="Calibri"/>
        </w:rPr>
        <w:t xml:space="preserve">4.5 Risiken und Gegenmaßnahmen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trPr>
        <w:tc>
          <w:tcPr>
            <w:tcW w:type="dxa" w:w="3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Risiko</w:t>
            </w:r>
          </w:p>
        </w:tc>
        <w:tc>
          <w:tcPr>
            <w:tcW w:type="dxa" w:w="1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Bewertung</w:t>
            </w:r>
          </w:p>
        </w:tc>
        <w:tc>
          <w:tcPr>
            <w:tcW w:type="dxa" w:w="47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Gegenmaßnahme</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Modelle laufen auseinander (Namen, Status, Rollen)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Namenskonventionen als Single Source of Truth, Konsistenzprüfung durch den Qualitätsmanager vor jedem Merge, Konsistenztabelle in Abschnitt 5.4</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Parallel entstandene Entwürfe (mehrere Fassungen der Modelle)</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Stand im Repository ist verbindlich; abweichende Entwürfe werden verglichen, die besseren Teile übernommen und die Entscheidung im Entscheidungslog festgehalten</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VP-Teamwork-Server nur im DHBW-Netz erreichbar</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Lehre-VPN eingerichtet, regelmäßige lokale Sicherung der VPP-Datei über „Save Project As", XMI-Export im Git</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Umfang der zehn Diagramme unterschätzt</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Prozessspezifikation vor der Modellierung, Generierung der Rohdiagramme, Nacharbeit im Modeler, Sprint 1 für das Setup</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Ausfall eines Gruppenmitglieds vor der Präsentation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Jeder Teil der Präsentation hat eine Vertretung, Folien liegen im Repository</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KI-Feature wirkt unrealistisch</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Klare Trennung von heute Machbarem und Vision in Dokumentation und Präsentation</w:t>
            </w:r>
          </w:p>
        </w:tc>
      </w:tr>
    </w:tbl>
    <w:p>
      <w:pPr>
        <w:spacing w:after="160"/>
      </w:pPr>
    </w:p>
    <w:p>
      <w:pPr>
        <w:pStyle w:val="Heading1"/>
        <w:keepNext/>
        <w:spacing w:after="120" w:before="360"/>
      </w:pPr>
      <w:r>
        <w:rPr>
          <w:rFonts w:ascii="Calibri" w:cs="Calibri" w:eastAsia="Calibri" w:hAnsi="Calibri"/>
        </w:rPr>
        <w:t xml:space="preserve">5 Überblick über die erstellten Artefakte</w:t>
      </w:r>
    </w:p>
    <w:p>
      <w:pPr>
        <w:pStyle w:val="Heading2"/>
        <w:keepNext/>
        <w:spacing w:after="120" w:before="240"/>
      </w:pPr>
      <w:r>
        <w:rPr>
          <w:rFonts w:ascii="Calibri" w:cs="Calibri" w:eastAsia="Calibri" w:hAnsi="Calibri"/>
        </w:rPr>
        <w:t xml:space="preserve">5.1 Geschäftsprozessmodell (BPMN)</w:t>
      </w:r>
    </w:p>
    <w:p>
      <w:pPr>
        <w:spacing w:after="120" w:line="276"/>
        <w:jc w:val="both"/>
      </w:pPr>
      <w:r>
        <w:rPr>
          <w:rFonts w:ascii="Calibri" w:cs="Calibri" w:eastAsia="Calibri" w:hAnsi="Calibri"/>
          <w:sz w:val="22"/>
          <w:szCs w:val="22"/>
        </w:rPr>
        <w:t xml:space="preserve">Wir haben zehn Soll-Prozesse unserer Kunden als BPMN-2.0-Kollaborationsdiagramme modelliert. Die Prozesse 01 bis 08 bilden die durchgehende Auftragsreise entlang des Zustandsautomaten, 09 und 10 sind angebundene Folgeprozesse für Reklamation und Retoure. Tabelle 1 fasst die Prozesse zusammen, Anhang B zeigt alle Diagramme in voller Größe. Die Diagramme liegen im Repository unter bpmn/p01-sofortdiagnose.bpmn bis bpmn/p10-retoure.bpmn und als XML-Export in BPMN-WWI25B4-Gruppe1.zip, dort nach den Vorgaben des Ablaufs benannt (01-Sofortdiagnose.bpmn bis 10-Retoure.bpmn).</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trPr>
        <w:tc>
          <w:tcPr>
            <w:tcW w:type="dxa" w:w="4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Nr</w:t>
            </w:r>
          </w:p>
        </w:tc>
        <w:tc>
          <w:tcPr>
            <w:tcW w:type="dxa" w:w="2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Auslöser (Start)</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 (Ende)</w:t>
            </w:r>
          </w:p>
        </w:tc>
        <w:tc>
          <w:tcPr>
            <w:tcW w:type="dxa" w:w="17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Pools</w:t>
            </w:r>
          </w:p>
        </w:tc>
        <w:tc>
          <w:tcPr>
            <w:tcW w:type="dxa" w:w="11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Aktivi­täten</w:t>
            </w:r>
          </w:p>
        </w:tc>
        <w:tc>
          <w:tcPr>
            <w:tcW w:type="dxa" w:w="13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davon auto­matisiert</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KI-Sofortdiagnose und Voranmeldung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Anfrage eingegangen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Sofortdiagnose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 (100 %)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Auftragsannahme, Geräteregistrierung und Terminplanung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erschienen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angenommen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Fehlerdiagnose</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eingeplant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(45 %)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und Kundenfreigabe</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KVA-Entscheidung verarbeitet</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(67 %)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Ersatzteil-Verfügbarkeit und Reservierung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freigegeben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(77 %)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Ersatzteil-Bestellung beim Lieferanten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Fehlteile gemeldet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Bestellung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(62 %)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Reparaturdurchführung und Arbeitszeiterfassung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verfügbar</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(36 %)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Abholung, Rechnung und Zahlung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9 (69 %)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und Gewährleistung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 gemeldet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(57 %)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Ersatzteil-Retoure und Lieferanten-Reklamation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Mangelhaftes Teil festgestellt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Retoure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 (60 %)</w:t>
            </w:r>
          </w:p>
        </w:tc>
      </w:tr>
    </w:tbl>
    <w:p>
      <w:pPr>
        <w:spacing w:after="200" w:before="60"/>
        <w:jc w:val="center"/>
      </w:pPr>
      <w:r>
        <w:rPr>
          <w:rFonts w:ascii="Calibri" w:cs="Calibri" w:eastAsia="Calibri" w:hAnsi="Calibri"/>
          <w:i/>
          <w:iCs/>
          <w:color w:val="595959"/>
          <w:sz w:val="18"/>
          <w:szCs w:val="18"/>
        </w:rPr>
        <w:t xml:space="preserve">Tabelle 1: Prozesslandkarte mit Kennzahlen der zehn Kollaborationsdiagramme</w:t>
      </w:r>
    </w:p>
    <w:p>
      <w:pPr>
        <w:spacing w:after="120" w:line="276"/>
        <w:jc w:val="both"/>
      </w:pPr>
      <w:r>
        <w:rPr>
          <w:rFonts w:ascii="Calibri" w:cs="Calibri" w:eastAsia="Calibri" w:hAnsi="Calibri"/>
          <w:sz w:val="22"/>
          <w:szCs w:val="22"/>
        </w:rPr>
        <w:t xml:space="preserve">Insgesamt enthalten die zehn Werkstatt-Prozesse 121 Aktivitäten, im Durchschnitt also 12,1 je Diagramm; die Abläufe im Pool Kunde kommen mit weiteren 24 Aktivitäten hinzu und sind in Tabelle 1 nicht mitgezählt. Dazu kommen 32 Nachrichtenflüsse zwischen den Pools und 48 Datenobjekte und Datenspeicher. Jeder Prozess hat auf Prozessebene genau ein Start- und ein Endereignis; alternative Ausgänge werden mit exklusiven Gateways zusammengeführt.</w:t>
      </w:r>
    </w:p>
    <w:p>
      <w:pPr>
        <w:pStyle w:val="Heading3"/>
        <w:keepNext/>
        <w:spacing w:after="120" w:before="240"/>
      </w:pPr>
      <w:r>
        <w:rPr>
          <w:rFonts w:ascii="Calibri" w:cs="Calibri" w:eastAsia="Calibri" w:hAnsi="Calibri"/>
        </w:rPr>
        <w:t xml:space="preserve">5.1.1 Modellierungskonventionen</w:t>
      </w:r>
    </w:p>
    <w:p>
      <w:pPr>
        <w:spacing w:after="120" w:line="276"/>
        <w:jc w:val="both"/>
      </w:pPr>
      <w:r>
        <w:rPr>
          <w:rFonts w:ascii="Calibri" w:cs="Calibri" w:eastAsia="Calibri" w:hAnsi="Calibri"/>
          <w:sz w:val="22"/>
          <w:szCs w:val="22"/>
        </w:rPr>
        <w:t xml:space="preserve">Der Pool ist der Werkstattbetrieb, in dem die Plattform läuft, mit dem Pilotkunden FixWerk als Beispiel. Seine Lanes sind die Rollen Service/Annahme, Techniker, Werkstattleitung und Ersatzteil-Disposition; je Diagramm sind nur die beteiligten Lanes gezeichnet. Kunde und Lieferant sind eigene Beteiligte und deshalb eigene Pools, mit denen ausschließlich über Nachrichtenflüsse kommuniziert wird. Der Kunde hat in den Prozessen 01 bis 09 einen eigenen Ablauf mit Start- und Endereignis, zum Beispiel Foto aufnehmen, Anfrage senden, auf Rückfrage oder Diagnose warten, Kostenvoranschlag freigeben oder ablehnen; dieser Ablauf ist nicht ausführbar, weil RepairFlow ihn nicht steuert, zeigt aber, wann der Kunde reagiert und wie der Vorgang für ihn endet. Die Nachrichtenflüsse verbinden deshalb konkrete Aktivitäten und Ereignisse beider Pools. Der Lieferant bleibt ein Empty Pool (Black Box), weil wir seine internen Abläufe weder kennen noch beeinflussen. Eine Lane für die Software gibt es bewusst nicht, weil Rechenleistung keine Ressource im Sinne der Prozessmodellierung ist. Wo RepairFlow arbeitet, zeigt stattdessen der Aktivitätstyp: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rPr>
          <w:tblHeader/>
        </w:trPr>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Aktivitätstyp</w:t>
            </w:r>
          </w:p>
        </w:tc>
        <w:tc>
          <w:tcPr>
            <w:tcW w:type="dxa" w:w="6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Bedeutung in RepairFlow</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Automatisierte Aktivität (Service Task)</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RepairFlow erledigt den Schritt ohne menschliches Zutun, zum Beispiel Statuswechsel, KVA-Berechnung, Verfügbarkeitsprüfung, Rechnungserstellung.</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Geschäftsregel-Aktivität (Business Rule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Eine regelbasierte oder KI-gestützte Entscheidung, zum Beispiel KI-Diagnosevorschlag, Wirtschaftlichkeitsprüfung, Gewährleistungsbewertung, Meldebestandsprüfung.</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Sendende / empfangende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Nachricht an Kunde oder Lieferant über RepairFlow beziehungsweise Warten auf eine Antwort, zum Beispiel KVA senden, Auftragsbestätigung empfangen.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Benutzer-Aktivität (User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Mitarbeiter arbeitet in der RepairFlow-Oberfläche, zum Beispiel Kundendaten erfassen, Fehlerbefund dokumentieren, Wareneingang buchen.</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Manuelle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Außerhalb der Software, zum Beispiel Sichtprüfung, Reparaturschritt ausführen, Gerät übergeben.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Aufruf-Aktivität (Call Activity)</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Verweis auf einen anderen der zehn Prozesse, zum Beispiel „05 Ersatzteile disponieren" aus dem KVA-Prozess.</w:t>
            </w:r>
          </w:p>
        </w:tc>
      </w:tr>
    </w:tbl>
    <w:p>
      <w:pPr>
        <w:spacing w:after="160"/>
      </w:pPr>
    </w:p>
    <w:p>
      <w:pPr>
        <w:spacing w:after="120" w:line="276"/>
        <w:jc w:val="both"/>
      </w:pPr>
      <w:r>
        <w:rPr>
          <w:rFonts w:ascii="Calibri" w:cs="Calibri" w:eastAsia="Calibri" w:hAnsi="Calibri"/>
          <w:sz w:val="22"/>
          <w:szCs w:val="22"/>
        </w:rPr>
        <w:t xml:space="preserve">Datenobjekte hängen an den Aktivitäten, die sie erzeugen oder lesen, und tragen die Klassennamen des Klassendiagramms mit dem jeweiligen Zustand. Datenspeicher stehen für Objektmengen: die RepairFlow-Datenbank für Aufträge und Bestände, der Technikerplan für die Kapazitäts- und Terminplanung (Prozess 02) und die Buchhaltung, an die bezahlte Rechnungen per DATEV-Export übergeben werden (Prozess 08). Wartesituationen mit mehreren möglichen Ereignissen, etwa Freigabe, Ablehnung oder Fristablauf beim Kostenvoranschlag, modellieren wir mit ereignisbasierten Gateways; die Prüfung je Ersatzteil in Prozess 05 ist ein paralleler Mehrfach-Teilprozess.</w:t>
      </w:r>
    </w:p>
    <w:p>
      <w:pPr>
        <w:pStyle w:val="Heading3"/>
        <w:keepNext/>
        <w:spacing w:after="120" w:before="240"/>
      </w:pPr>
      <w:r>
        <w:rPr>
          <w:rFonts w:ascii="Calibri" w:cs="Calibri" w:eastAsia="Calibri" w:hAnsi="Calibri"/>
        </w:rPr>
        <w:t xml:space="preserve">5.1.2 Die zehn Prozesse</w:t>
      </w:r>
    </w:p>
    <w:p>
      <w:pPr>
        <w:spacing w:after="120" w:line="276"/>
        <w:jc w:val="both"/>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 xml:space="preserve">Der Kunde lädt in der App Foto, Video oder eine Tonaufnahme hoch. RepairFlow prüft die Medien, lässt sie vom KI-Dienst auswerten, berechnet einen vorläufigen Kostenvoranschlag, prüft die Teileverfügbarkeit in allen Filialen und schlägt Filiale und Termin vor. Bestätigt der Kunde, entsteht eine Voranmeldung mit vorreservierten Teilen.</w:t>
      </w:r>
    </w:p>
    <w:p>
      <w:pPr>
        <w:spacing w:after="120" w:line="276"/>
        <w:jc w:val="both"/>
      </w:pPr>
      <w:r>
        <w:rPr>
          <w:rFonts w:ascii="Calibri" w:cs="Calibri" w:eastAsia="Calibri" w:hAnsi="Calibri"/>
          <w:b/>
          <w:bCs/>
          <w:sz w:val="22"/>
          <w:szCs w:val="22"/>
        </w:rPr>
        <w:t xml:space="preserve">02 Auftragsannahme, Geräteregistrierung und Terminplanung. </w:t>
      </w:r>
      <w:r>
        <w:rPr>
          <w:rFonts w:ascii="Calibri" w:cs="Calibri" w:eastAsia="Calibri" w:hAnsi="Calibri"/>
          <w:sz w:val="22"/>
          <w:szCs w:val="22"/>
        </w:rPr>
        <w:t xml:space="preserve">Der Kunde bringt das Gerät in die Filiale. Liegt eine Voranmeldung vor, werden ihre Daten übernommen, sonst werden Kundendaten erfasst. Gerät, Symptome und Sichtprüfung werden dokumentiert, der Reparaturauftrag wird angelegt. Die Werkstattleitung prüft die Auslastung, leitet den Auftrag bei fehlender Kapazität an eine andere Filiale um, weist einen Techniker zu und legt den Werkstatttermin fest.</w:t>
      </w:r>
    </w:p>
    <w:p>
      <w:pPr>
        <w:spacing w:after="120" w:line="276"/>
        <w:jc w:val="both"/>
      </w:pPr>
      <w:r>
        <w:rPr>
          <w:rFonts w:ascii="Calibri" w:cs="Calibri" w:eastAsia="Calibri" w:hAnsi="Calibri"/>
          <w:b/>
          <w:bCs/>
          <w:sz w:val="22"/>
          <w:szCs w:val="22"/>
        </w:rPr>
        <w:t xml:space="preserve">03 Fehlerdiagnose. </w:t>
      </w:r>
      <w:r>
        <w:rPr>
          <w:rFonts w:ascii="Calibri" w:cs="Calibri" w:eastAsia="Calibri" w:hAnsi="Calibri"/>
          <w:sz w:val="22"/>
          <w:szCs w:val="22"/>
        </w:rPr>
        <w:t xml:space="preserve">Der Techniker sichtet den KI-Diagnosevorschlag, führt Funktionstest und Messung durch und dokumentiert den Fehlerbefund samt Ersatzteilbedarf. RepairFlow bewertet die Wirtschaftlichkeit der Reparatur; bei einem wirtschaftlichen Totalschaden wird der Kunde informiert und der Auftrag auf „abgelehnt" gesetzt.</w:t>
      </w:r>
    </w:p>
    <w:p>
      <w:pPr>
        <w:spacing w:after="120" w:line="276"/>
        <w:jc w:val="both"/>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 xml:space="preserve">Aus dem Befund entsteht der Kostenvoranschlag mit Positionen und übernommenen Ersatzteilpreisen. RepairFlow sendet ihn an den Kunden und wartet mit einem ereignisbasierten Gateway auf Freigabe, Ablehnung oder Fristablauf. Bleibt die Reaktion aus, wird der KVA mit Erinnerung erneut gesendet. Nach Freigabe startet die Disposition, nach Ablehnung die Abrechnung der Diagnosepauschale.</w:t>
      </w:r>
    </w:p>
    <w:p>
      <w:pPr>
        <w:spacing w:after="120" w:line="276"/>
        <w:jc w:val="both"/>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 xml:space="preserve">Je Ersatzteil prüft RepairFlow in einem parallelen Mehrfach-Teilprozess zuerst den Bestand der eigenen Filiale, dann den der anderen Filialen. Teile werden reserviert oder per Umlagerung angefordert, Fehlteile für die Bestellung markiert. Danach werden die Reservierungen bestätigt; ein unterschrittener Meldebestand erzeugt einen Nachbestellvorschlag. Fehlteile werden über Prozess 06 bestellt, dann erhält der Kunde den voraussichtlichen Reparaturbeginn.</w:t>
      </w:r>
    </w:p>
    <w:p>
      <w:pPr>
        <w:spacing w:after="120" w:line="276"/>
        <w:jc w:val="both"/>
      </w:pPr>
      <w:r>
        <w:rPr>
          <w:rFonts w:ascii="Calibri" w:cs="Calibri" w:eastAsia="Calibri" w:hAnsi="Calibri"/>
          <w:b/>
          <w:bCs/>
          <w:sz w:val="22"/>
          <w:szCs w:val="22"/>
        </w:rPr>
        <w:t xml:space="preserve">06 Ersatzteil-Bestellung beim Lieferanten. </w:t>
      </w:r>
      <w:r>
        <w:rPr>
          <w:rFonts w:ascii="Calibri" w:cs="Calibri" w:eastAsia="Calibri" w:hAnsi="Calibri"/>
          <w:sz w:val="22"/>
          <w:szCs w:val="22"/>
        </w:rPr>
        <w:t xml:space="preserve">Fehlteile werden gebündelt und beim Lieferanten bestellt, bei Überschreitung der Freigabegrenze nach Freigabe durch die Werkstattleitung. Nach Auftragsbestätigung wird der Liefertermin am Auftrag hinterlegt und der Kunde bei Verzögerung informiert. Der Wareneingang wird geprüft und gebucht, mangelhafte Lieferungen gehen in die Retoure (Prozess 10). Kommt Ersatz, werden die Teile dem Reparaturauftrag zugeordnet; nach einer Gutschrift wird neu bestellt, solange das Teil noch gebraucht wird.</w:t>
      </w:r>
    </w:p>
    <w:p>
      <w:pPr>
        <w:spacing w:after="120" w:line="276"/>
        <w:jc w:val="both"/>
      </w:pPr>
      <w:r>
        <w:rPr>
          <w:rFonts w:ascii="Calibri" w:cs="Calibri" w:eastAsia="Calibri" w:hAnsi="Calibri"/>
          <w:b/>
          <w:bCs/>
          <w:sz w:val="22"/>
          <w:szCs w:val="22"/>
        </w:rPr>
        <w:t xml:space="preserve">07 Reparaturdurchführung und Arbeitszeiterfassung. </w:t>
      </w:r>
      <w:r>
        <w:rPr>
          <w:rFonts w:ascii="Calibri" w:cs="Calibri" w:eastAsia="Calibri" w:hAnsi="Calibri"/>
          <w:sz w:val="22"/>
          <w:szCs w:val="22"/>
        </w:rPr>
        <w:t xml:space="preserve">Der Techniker entnimmt die reservierten Teile und arbeitet die Reparaturschritte in einer Schleife mit Zeiterfassung ab. Ein Zusatzbefund führt zu einem Nachtrags-KVA, den der Kunde freigeben muss. Nach Endkontrolle und Prüfprotokoll wird der Auftrag auf „fertig" gesetzt, bei Mängeln folgt Nacharbeit.</w:t>
      </w:r>
    </w:p>
    <w:p>
      <w:pPr>
        <w:spacing w:after="120" w:line="276"/>
        <w:jc w:val="both"/>
      </w:pPr>
      <w:r>
        <w:rPr>
          <w:rFonts w:ascii="Calibri" w:cs="Calibri" w:eastAsia="Calibri" w:hAnsi="Calibri"/>
          <w:b/>
          <w:bCs/>
          <w:sz w:val="22"/>
          <w:szCs w:val="22"/>
        </w:rPr>
        <w:t xml:space="preserve">08 Abholung, Rechnung und Zahlung. </w:t>
      </w:r>
      <w:r>
        <w:rPr>
          <w:rFonts w:ascii="Calibri" w:cs="Calibri" w:eastAsia="Calibri" w:hAnsi="Calibri"/>
          <w:sz w:val="22"/>
          <w:szCs w:val="22"/>
        </w:rPr>
        <w:t xml:space="preserve">RepairFlow erstellt die Rechnung aus KVA und Arbeitszeiten und benachrichtigt den Kunden. Wird das Gerät nicht abgeholt, erinnert das System nach 14 Tagen. Bei der Abholung werden Gerät und Rechnung übergeben und die Zahlung erfasst – bar oder per Karte sofort, auf Rechnung nach dem Zahlungseingang. Danach werden der Auftrag geschlossen und die Bestände abgeschlossen. Zum Schluss bittet RepairFlow um eine Bewertung.</w:t>
      </w:r>
    </w:p>
    <w:p>
      <w:pPr>
        <w:spacing w:after="120" w:line="276"/>
        <w:jc w:val="both"/>
      </w:pPr>
      <w:r>
        <w:rPr>
          <w:rFonts w:ascii="Calibri" w:cs="Calibri" w:eastAsia="Calibri" w:hAnsi="Calibri"/>
          <w:b/>
          <w:bCs/>
          <w:sz w:val="22"/>
          <w:szCs w:val="22"/>
        </w:rPr>
        <w:t xml:space="preserve">09 Reklamation und Gewährleistung. </w:t>
      </w:r>
      <w:r>
        <w:rPr>
          <w:rFonts w:ascii="Calibri" w:cs="Calibri" w:eastAsia="Calibri" w:hAnsi="Calibri"/>
          <w:sz w:val="22"/>
          <w:szCs w:val="22"/>
        </w:rPr>
        <w:t xml:space="preserve">Meldet der Kunde nach der Abholung einen Mangel, wird die Reklamation dem Ursprungsauftrag zugeordnet. Der Techniker prüft den Mangel, RepairFlow bewertet den Gewährleistungsfall. Im Gewährleistungsfall gibt die Werkstattleitung die kostenfreie Nacharbeit frei, sonst erhält der Kunde ein kostenpflichtiges Angebot. Die Nacharbeit wird als neuer Reparaturauftrag angelegt; defekte Lieferantenteile gehen in die Retoure.</w:t>
      </w:r>
    </w:p>
    <w:p>
      <w:pPr>
        <w:spacing w:after="120" w:line="276"/>
        <w:jc w:val="both"/>
      </w:pPr>
      <w:r>
        <w:rPr>
          <w:rFonts w:ascii="Calibri" w:cs="Calibri" w:eastAsia="Calibri" w:hAnsi="Calibri"/>
          <w:b/>
          <w:bCs/>
          <w:sz w:val="22"/>
          <w:szCs w:val="22"/>
        </w:rPr>
        <w:t xml:space="preserve">10 Ersatzteil-Retoure und Lieferanten-Reklamation. </w:t>
      </w:r>
      <w:r>
        <w:rPr>
          <w:rFonts w:ascii="Calibri" w:cs="Calibri" w:eastAsia="Calibri" w:hAnsi="Calibri"/>
          <w:sz w:val="22"/>
          <w:szCs w:val="22"/>
        </w:rPr>
        <w:t xml:space="preserve">Defekte oder falsche Lieferantenteile werden beim Lieferanten angemeldet. Bleibt die RMA-Freigabe aus, eskaliert die Werkstattleitung. Nach der Freigabe wird das Teil versendet, der Bestand korrigiert und je nach Rückmeldung eine Ersatzlieferung gebucht oder eine Gutschrift verbucht; ob danach neu bestellt wird, entscheidet der aufrufende Prozess 06.</w:t>
      </w:r>
    </w:p>
    <w:p>
      <w:pPr>
        <w:pStyle w:val="Heading2"/>
        <w:keepNext/>
        <w:spacing w:after="120" w:before="240"/>
      </w:pPr>
      <w:r>
        <w:rPr>
          <w:rFonts w:ascii="Calibri" w:cs="Calibri" w:eastAsia="Calibri" w:hAnsi="Calibri"/>
        </w:rPr>
        <w:t xml:space="preserve">5.2 Automatisierungspotential</w:t>
      </w:r>
    </w:p>
    <w:p>
      <w:pPr>
        <w:spacing w:after="120" w:line="276"/>
        <w:jc w:val="both"/>
      </w:pPr>
      <w:r>
        <w:rPr>
          <w:rFonts w:ascii="Calibri" w:cs="Calibri" w:eastAsia="Calibri" w:hAnsi="Calibri"/>
          <w:sz w:val="22"/>
          <w:szCs w:val="22"/>
        </w:rPr>
        <w:t xml:space="preserve">Von den 121 Aktivitäten sind 74 automatisierte, regelbasierte, sendende oder empfangende Aktivitäten, also 61 Prozent, die RepairFlow ohne manuelle Arbeit ausführt. Weitere 32 Benutzer-Aktivitäten laufen in der Oberfläche der Plattform. Nur 10 Aktivitäten sind manuell und liegen außerhalb der Systemgrenze; die übrigen 5 sind Aufruf-Aktivitäten und ein Mehrfach-Teilprozess. Die Software, die wir in der objektorientierten Analyse entwerfen, automatisiert damit den Reparaturauftrags-Lebenszyklus als zentrales Werkstatt-Management-System:</w:t>
      </w:r>
    </w:p>
    <w:p>
      <w:pPr>
        <w:pStyle w:val="ListParagraph"/>
        <w:numPr>
          <w:ilvl w:val="0"/>
          <w:numId w:val="2"/>
        </w:numPr>
        <w:spacing w:after="60" w:line="264"/>
      </w:pPr>
      <w:r>
        <w:rPr>
          <w:rFonts w:ascii="Calibri" w:cs="Calibri" w:eastAsia="Calibri" w:hAnsi="Calibri"/>
          <w:sz w:val="22"/>
          <w:szCs w:val="22"/>
        </w:rPr>
        <w:t xml:space="preserve">Statusführung des Reparaturauftrags über alle Übergänge des Zustandsautomaten, inklusive Fristen und Erinnerungen.</w:t>
      </w:r>
    </w:p>
    <w:p>
      <w:pPr>
        <w:pStyle w:val="ListParagraph"/>
        <w:numPr>
          <w:ilvl w:val="0"/>
          <w:numId w:val="2"/>
        </w:numPr>
        <w:spacing w:after="60" w:line="264"/>
      </w:pPr>
      <w:r>
        <w:rPr>
          <w:rFonts w:ascii="Calibri" w:cs="Calibri" w:eastAsia="Calibri" w:hAnsi="Calibri"/>
          <w:sz w:val="22"/>
          <w:szCs w:val="22"/>
        </w:rPr>
        <w:t xml:space="preserve">Kundenkommunikation an jedem Statusübergang: Sofortdiagnose, Annahmebeleg, Kostenvoranschlag, Lieferverzögerung, Reparaturbeginn, Abholung, Rechnung, Bewertung.</w:t>
      </w:r>
    </w:p>
    <w:p>
      <w:pPr>
        <w:pStyle w:val="ListParagraph"/>
        <w:numPr>
          <w:ilvl w:val="0"/>
          <w:numId w:val="2"/>
        </w:numPr>
        <w:spacing w:after="60" w:line="264"/>
      </w:pPr>
      <w:r>
        <w:rPr>
          <w:rFonts w:ascii="Calibri" w:cs="Calibri" w:eastAsia="Calibri" w:hAnsi="Calibri"/>
          <w:sz w:val="22"/>
          <w:szCs w:val="22"/>
        </w:rPr>
        <w:t xml:space="preserve">Berechnung von Kostenvoranschlägen und Rechnungen aus Positionen, Ersatzteilpreisen und Arbeitszeitbuchungen.</w:t>
      </w:r>
    </w:p>
    <w:p>
      <w:pPr>
        <w:pStyle w:val="ListParagraph"/>
        <w:numPr>
          <w:ilvl w:val="0"/>
          <w:numId w:val="2"/>
        </w:numPr>
        <w:spacing w:after="60" w:line="264"/>
      </w:pPr>
      <w:r>
        <w:rPr>
          <w:rFonts w:ascii="Calibri" w:cs="Calibri" w:eastAsia="Calibri" w:hAnsi="Calibri"/>
          <w:sz w:val="22"/>
          <w:szCs w:val="22"/>
        </w:rPr>
        <w:t xml:space="preserve">Filialübergreifende Ersatzteil-Disposition mit Verfügbarkeitsprüfung, Reservierung, Umlagerung, Nachbestellvorschlag bei Meldebestand und Lieferantenbestellung.</w:t>
      </w:r>
    </w:p>
    <w:p>
      <w:pPr>
        <w:pStyle w:val="ListParagraph"/>
        <w:numPr>
          <w:ilvl w:val="0"/>
          <w:numId w:val="2"/>
        </w:numPr>
        <w:spacing w:after="60" w:line="264"/>
      </w:pPr>
      <w:r>
        <w:rPr>
          <w:rFonts w:ascii="Calibri" w:cs="Calibri" w:eastAsia="Calibri" w:hAnsi="Calibri"/>
          <w:sz w:val="22"/>
          <w:szCs w:val="22"/>
        </w:rPr>
        <w:t xml:space="preserve">Regelbasierte Entscheidungen: Wirtschaftlichkeit der Reparatur, Gewährleistungsfall, Freigabegrenze für Bestellungen.</w:t>
      </w:r>
    </w:p>
    <w:p>
      <w:pPr>
        <w:pStyle w:val="ListParagraph"/>
        <w:numPr>
          <w:ilvl w:val="0"/>
          <w:numId w:val="2"/>
        </w:numPr>
        <w:spacing w:after="60" w:line="264"/>
      </w:pPr>
      <w:r>
        <w:rPr>
          <w:rFonts w:ascii="Calibri" w:cs="Calibri" w:eastAsia="Calibri" w:hAnsi="Calibri"/>
          <w:sz w:val="22"/>
          <w:szCs w:val="22"/>
        </w:rPr>
        <w:t xml:space="preserve">KI-Sofortdiagnose als vorgelagerter Prozess mit Diagnosevorschlag, vorläufigem Kostenvoranschlag und Vorreservierung.</w:t>
      </w:r>
    </w:p>
    <w:p>
      <w:pPr>
        <w:pStyle w:val="Heading2"/>
        <w:keepNext/>
        <w:spacing w:after="120" w:before="240"/>
      </w:pPr>
      <w:r>
        <w:rPr>
          <w:rFonts w:ascii="Calibri" w:cs="Calibri" w:eastAsia="Calibri" w:hAnsi="Calibri"/>
        </w:rPr>
        <w:t xml:space="preserve">5.3 Objektorientierte Analyse (UML)</w:t>
      </w:r>
    </w:p>
    <w:p>
      <w:pPr>
        <w:spacing w:after="120" w:line="276"/>
        <w:jc w:val="both"/>
      </w:pPr>
      <w:r>
        <w:rPr>
          <w:rFonts w:ascii="Calibri" w:cs="Calibri" w:eastAsia="Calibri" w:hAnsi="Calibri"/>
          <w:sz w:val="22"/>
          <w:szCs w:val="22"/>
        </w:rPr>
        <w:t xml:space="preserve">Die objektorientierte Analyse folgt der Reihenfolge aus der Vorlesung: Use-Case-Diagramm, je Use Case ein Interaktionsdiagramm, Klassendiagramm, Zustandsdiagramm je Klasse mit Lebenszyklus. Alle Diagramme werden im Visual-Paradigm-Projekt UML-WWI25B4-Gruppe1.vpp angelegt, die Sequenzdiagramme dort als Unterdiagramme der zugehörigen Use Cases.</w:t>
      </w:r>
    </w:p>
    <w:p>
      <w:pPr>
        <w:pStyle w:val="Heading3"/>
        <w:keepNext/>
        <w:spacing w:after="120" w:before="240"/>
      </w:pPr>
      <w:r>
        <w:rPr>
          <w:rFonts w:ascii="Calibri" w:cs="Calibri" w:eastAsia="Calibri" w:hAnsi="Calibri"/>
        </w:rPr>
        <w:t xml:space="preserve">5.3.1 Use-Case-Diagramm</w:t>
      </w:r>
    </w:p>
    <w:p>
      <w:pPr>
        <w:spacing w:after="120" w:line="276"/>
        <w:jc w:val="both"/>
      </w:pPr>
      <w:r>
        <w:rPr>
          <w:rFonts w:ascii="Calibri" w:cs="Calibri" w:eastAsia="Calibri" w:hAnsi="Calibri"/>
          <w:sz w:val="22"/>
          <w:szCs w:val="22"/>
        </w:rPr>
        <w:t xml:space="preserve">Das Use-Case-Diagramm beschreibt, was RepairFlow aus Sicht seiner Benutzer leistet. Es enthält 18 Use Cases in vier Bereichen (Kundenportal, Auftrag und Werkstatt, Ersatzteil-Disposition, Administration) und sieben Akteure. Primäre Akteure sind Kunde, Techniker, Disponent, Werkstattleiter und Werkstattinhaber; Lieferant und KI-Diagnosedienst sind sekundäre, externe Akteure.</w:t>
      </w:r>
    </w:p>
    <w:p>
      <w:pPr>
        <w:keepNext/>
        <w:spacing w:after="0" w:before="120"/>
        <w:jc w:val="center"/>
      </w:pPr>
      <w:r>
        <w:drawing>
          <wp:inline distT="0" distB="0" distL="0" distR="0">
            <wp:extent cx="53625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62575" cy="5334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3: Use-Case-Diagramm RepairFlow</w:t>
      </w:r>
    </w:p>
    <w:p>
      <w:pPr>
        <w:spacing w:after="120" w:line="276"/>
        <w:jc w:val="both"/>
      </w:pPr>
      <w:r>
        <w:rPr>
          <w:rFonts w:ascii="Calibri" w:cs="Calibri" w:eastAsia="Calibri" w:hAnsi="Calibri"/>
          <w:sz w:val="22"/>
          <w:szCs w:val="22"/>
        </w:rPr>
        <w:t xml:space="preserve">Die Beziehungen zwischen den Use Cases folgen der Regel: include für einen Teilschritt, der immer ausgeführt wird, extend für bedingtes Verhalten. So schließt „KVA erstellen" immer „Diagnosebefund erfassen" ein, „Ersatzteil reservieren" immer „Ersatzteil-Verfügbarkeit prüfen" und „Rechnung erstellen und Zahlung erfassen" immer die Fertigmeldung. „Voranmeldung bestätigen" erweitert die Sofortdiagnose nur dann, wenn der Kunde den Vorschlag annimmt; „Diagnosevorschlag prüfen" erweitert die Befunderfassung nur, wenn ein KI-Vorschlag vorliegt; „Nachbestellvorschlag bei Meldebestand" erweitert die Verfügbarkeitsprüfung nur bei unterschrittenem Meldebestand; „Lieferantenbestellung auslösen" erweitert „Ersatzteil reservieren" nur, wenn ein Teil in keiner Filiale verfügbar ist; „Reklamation bearbeiten" erweitert den Abschluss nur im Ausnahmefall.</w:t>
      </w:r>
    </w:p>
    <w:p>
      <w:pPr>
        <w:pStyle w:val="Heading3"/>
        <w:keepNext/>
        <w:spacing w:after="120" w:before="240"/>
      </w:pPr>
      <w:r>
        <w:rPr>
          <w:rFonts w:ascii="Calibri" w:cs="Calibri" w:eastAsia="Calibri" w:hAnsi="Calibri"/>
        </w:rPr>
        <w:t xml:space="preserve">5.3.2 Klassendiagramm</w:t>
      </w:r>
    </w:p>
    <w:p>
      <w:pPr>
        <w:spacing w:after="120" w:line="276"/>
        <w:jc w:val="both"/>
      </w:pPr>
      <w:r>
        <w:rPr>
          <w:rFonts w:ascii="Calibri" w:cs="Calibri" w:eastAsia="Calibri" w:hAnsi="Calibri"/>
          <w:sz w:val="22"/>
          <w:szCs w:val="22"/>
        </w:rPr>
        <w:t xml:space="preserve">Das Klassendiagramm umfasst 26 Klassen, darunter die abstrakten Klassen Person und Mitarbeiter, sowie sieben Aufzählungen und 35 Assoziationen. Das vollständige Diagramm liegt im Repository (uml/klassen.png); in Visual Paradigm wird es aus der XMI-Datei aufgebaut; die folgenden zwei Abbildungen zeigen die Ausschnitte Kundenkontakt und Auftragsabwicklung. Die wichtigsten Entwurfsentscheidungen:</w:t>
      </w:r>
    </w:p>
    <w:p>
      <w:pPr>
        <w:pStyle w:val="ListParagraph"/>
        <w:numPr>
          <w:ilvl w:val="0"/>
          <w:numId w:val="2"/>
        </w:numPr>
        <w:spacing w:after="60" w:line="264"/>
      </w:pPr>
      <w:r>
        <w:rPr>
          <w:rFonts w:ascii="Calibri" w:cs="Calibri" w:eastAsia="Calibri" w:hAnsi="Calibri"/>
          <w:b/>
          <w:bCs/>
          <w:sz w:val="22"/>
          <w:szCs w:val="22"/>
        </w:rPr>
        <w:t xml:space="preserve">Reparaturauftrag als Aggregatwurzel. </w:t>
      </w:r>
      <w:r>
        <w:rPr>
          <w:rFonts w:ascii="Calibri" w:cs="Calibri" w:eastAsia="Calibri" w:hAnsi="Calibri"/>
          <w:sz w:val="22"/>
          <w:szCs w:val="22"/>
        </w:rPr>
        <w:t xml:space="preserve">Fehlerbefund und Reparaturschritte existieren nur mit ihrem Auftrag und sind deshalb Kompositionen; der Kostenvoranschlag ebenfalls, mit Ausnahme des vorläufigen KVA aus der Sofortdiagnose, der schon vor dem Auftrag entsteht (Multiplizität 0..1). Das Gerät existiert unabhängig vom Auftrag und ist nur zugeordnet, weil es mehrfach repariert werden kann. Der Auftrag hält den Status und damit die Methode wechsleStatus(); die Statuswerte sind die Aufzählung AuftragStatus.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 xml:space="preserve">Ein Ersatzteil ist ein Stammdatum, sein Bestand aber je Filiale verschieden. Erst die eigene Klasse Lagerbestand zwischen Ersatzteil und Filiale macht die filialübergreifende Verfügbarkeitsprüfung möglich: Man iteriert über alle Lagerbestände desselben Teils.</w:t>
      </w:r>
    </w:p>
    <w:p>
      <w:pPr>
        <w:pStyle w:val="ListParagraph"/>
        <w:numPr>
          <w:ilvl w:val="0"/>
          <w:numId w:val="2"/>
        </w:numPr>
        <w:spacing w:after="60" w:line="264"/>
      </w:pPr>
      <w:r>
        <w:rPr>
          <w:rFonts w:ascii="Calibri" w:cs="Calibri" w:eastAsia="Calibri" w:hAnsi="Calibri"/>
          <w:b/>
          <w:bCs/>
          <w:sz w:val="22"/>
          <w:szCs w:val="22"/>
        </w:rPr>
        <w:t xml:space="preserve">ErsatzteilReservierung als eigene Klasse. </w:t>
      </w:r>
      <w:r>
        <w:rPr>
          <w:rFonts w:ascii="Calibri" w:cs="Calibri" w:eastAsia="Calibri" w:hAnsi="Calibri"/>
          <w:sz w:val="22"/>
          <w:szCs w:val="22"/>
        </w:rPr>
        <w:t xml:space="preserve">Eine Reservierung hat Menge, Datum und einen eigenen Lebenszyklus (vorreserviert, reserviert, entnommen, storniert). Sie hängt an einem Lagerbestand und wahlweise an einem Reparaturauftrag oder, bei der Sofortdiagnose, an einer Voranmeldung.</w:t>
      </w:r>
    </w:p>
    <w:p>
      <w:pPr>
        <w:pStyle w:val="ListParagraph"/>
        <w:numPr>
          <w:ilvl w:val="0"/>
          <w:numId w:val="2"/>
        </w:numPr>
        <w:spacing w:after="60" w:line="264"/>
      </w:pPr>
      <w:r>
        <w:rPr>
          <w:rFonts w:ascii="Calibri" w:cs="Calibri" w:eastAsia="Calibri" w:hAnsi="Calibri"/>
          <w:b/>
          <w:bCs/>
          <w:sz w:val="22"/>
          <w:szCs w:val="22"/>
        </w:rPr>
        <w:t xml:space="preserve">Werkstattbetrieb als Mandant. </w:t>
      </w:r>
      <w:r>
        <w:rPr>
          <w:rFonts w:ascii="Calibri" w:cs="Calibri" w:eastAsia="Calibri" w:hAnsi="Calibri"/>
          <w:sz w:val="22"/>
          <w:szCs w:val="22"/>
        </w:rPr>
        <w:t xml:space="preserve">Als Solution Provider bedienen wir viele Werkstätten. Der Werkstattbetrieb steht als Mandant über seinen Filialen und Mitarbeitern; jedes Datum der Plattform gehört zu genau einem Mandanten.</w:t>
      </w:r>
    </w:p>
    <w:p>
      <w:pPr>
        <w:pStyle w:val="ListParagraph"/>
        <w:numPr>
          <w:ilvl w:val="0"/>
          <w:numId w:val="2"/>
        </w:numPr>
        <w:spacing w:after="60" w:line="264"/>
      </w:pPr>
      <w:r>
        <w:rPr>
          <w:rFonts w:ascii="Calibri" w:cs="Calibri" w:eastAsia="Calibri" w:hAnsi="Calibri"/>
          <w:b/>
          <w:bCs/>
          <w:sz w:val="22"/>
          <w:szCs w:val="22"/>
        </w:rPr>
        <w:t xml:space="preserve">Voranmeldung, Medienanhang und KIDiagnosevorschlag. </w:t>
      </w:r>
      <w:r>
        <w:rPr>
          <w:rFonts w:ascii="Calibri" w:cs="Calibri" w:eastAsia="Calibri" w:hAnsi="Calibri"/>
          <w:sz w:val="22"/>
          <w:szCs w:val="22"/>
        </w:rPr>
        <w:t xml:space="preserve">Diese drei Klassen tragen die KI-Sofortdiagnose. Der Vorschlag erzeugt einen vorläufigen Kostenvoranschlag, verweist auf die vermutlich benötigten Ersatzteile und wird durch den Fehlerbefund des Technikers bestätigt oder korrigiert.</w:t>
      </w:r>
    </w:p>
    <w:p>
      <w:pPr>
        <w:pStyle w:val="ListParagraph"/>
        <w:numPr>
          <w:ilvl w:val="0"/>
          <w:numId w:val="2"/>
        </w:numPr>
        <w:spacing w:after="60" w:line="264"/>
      </w:pPr>
      <w:r>
        <w:rPr>
          <w:rFonts w:ascii="Calibri" w:cs="Calibri" w:eastAsia="Calibri" w:hAnsi="Calibri"/>
          <w:b/>
          <w:bCs/>
          <w:sz w:val="22"/>
          <w:szCs w:val="22"/>
        </w:rPr>
        <w:t xml:space="preserve">Rollen als Klassen. </w:t>
      </w:r>
      <w:r>
        <w:rPr>
          <w:rFonts w:ascii="Calibri" w:cs="Calibri" w:eastAsia="Calibri" w:hAnsi="Calibri"/>
          <w:sz w:val="22"/>
          <w:szCs w:val="22"/>
        </w:rPr>
        <w:t xml:space="preserve">Die abstrakte Klasse Mitarbeiter mit den Unterklassen Techniker, Disponent und Werkstattleiter entspricht den Lanes der Prozessmodelle und den Akteuren des Use-Case-Diagramms. Jede Rolle trägt die Operationen, die sie in den Prozessen ausführt, zum Beispiel weiseTechnikerZu() und gibBestellungFrei() beim Werkstattleiter oder loeseBestellungAus() beim Disponenten.</w:t>
      </w:r>
    </w:p>
    <w:p>
      <w:pPr>
        <w:pStyle w:val="ListParagraph"/>
        <w:numPr>
          <w:ilvl w:val="0"/>
          <w:numId w:val="2"/>
        </w:numPr>
        <w:spacing w:after="60" w:line="264"/>
      </w:pPr>
      <w:r>
        <w:rPr>
          <w:rFonts w:ascii="Calibri" w:cs="Calibri" w:eastAsia="Calibri" w:hAnsi="Calibri"/>
          <w:b/>
          <w:bCs/>
          <w:sz w:val="22"/>
          <w:szCs w:val="22"/>
        </w:rPr>
        <w:t xml:space="preserve">Zuständigkeitsprinzip. </w:t>
      </w:r>
      <w:r>
        <w:rPr>
          <w:rFonts w:ascii="Calibri" w:cs="Calibri" w:eastAsia="Calibri" w:hAnsi="Calibri"/>
          <w:sz w:val="22"/>
          <w:szCs w:val="22"/>
        </w:rPr>
        <w:t xml:space="preserve">Methoden liegen bei der Klasse, die die Daten besitzt: berechneSumme() beim Kostenvoranschlag, pruefeVerfuegbarkeit() beim Lagerbestand, pruefeGewaehrleistung() bei der Reklamation, gibKvaFrei() und meldeMangel() beim Kunden.</w:t>
      </w:r>
    </w:p>
    <w:p>
      <w:pPr>
        <w:keepNext/>
        <w:spacing w:after="0" w:before="120"/>
        <w:jc w:val="center"/>
      </w:pPr>
      <w:r>
        <w:drawing>
          <wp:inline distT="0" distB="0" distL="0" distR="0">
            <wp:extent cx="57150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752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4: Klassendiagramm, Ausschnitt Kundenkontakt und KI-Sofortdiagnose</w:t>
      </w:r>
    </w:p>
    <w:p>
      <w:pPr>
        <w:keepNext/>
        <w:spacing w:after="0" w:before="120"/>
        <w:jc w:val="center"/>
      </w:pPr>
      <w:r>
        <w:drawing>
          <wp:inline distT="0" distB="0" distL="0" distR="0">
            <wp:extent cx="571500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743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5: Klassendiagramm, Ausschnitt Auftragsabwicklung</w:t>
      </w:r>
    </w:p>
    <w:p>
      <w:pPr>
        <w:pStyle w:val="Heading3"/>
        <w:keepNext/>
        <w:spacing w:after="120" w:before="240"/>
      </w:pPr>
      <w:r>
        <w:rPr>
          <w:rFonts w:ascii="Calibri" w:cs="Calibri" w:eastAsia="Calibri" w:hAnsi="Calibri"/>
        </w:rPr>
        <w:t xml:space="preserve">5.3.3 Sequenzdiagramme</w:t>
      </w:r>
    </w:p>
    <w:p>
      <w:pPr>
        <w:spacing w:after="120" w:line="276"/>
        <w:jc w:val="both"/>
      </w:pPr>
      <w:r>
        <w:rPr>
          <w:rFonts w:ascii="Calibri" w:cs="Calibri" w:eastAsia="Calibri" w:hAnsi="Calibri"/>
          <w:sz w:val="22"/>
          <w:szCs w:val="22"/>
        </w:rPr>
        <w:t xml:space="preserve">Für sechs Use Cases mit vielen Interaktionen haben wir Sequenzdiagramme erstellt (gefordert waren fünf). Die Lebenslinien sind Objekte der Klassen aus dem Klassendiagramm, die Botschaften entsprechen deren Operationen, und die kombinierten Fragmente alt, opt und loop bilden Verzweigungen, optionale Schritte und Schleifen ab.</w:t>
      </w:r>
    </w:p>
    <w:p>
      <w:pPr>
        <w:keepNext/>
        <w:spacing w:after="0" w:before="120"/>
        <w:jc w:val="center"/>
      </w:pPr>
      <w:r>
        <w:drawing>
          <wp:inline distT="0" distB="0" distL="0" distR="0">
            <wp:extent cx="5715000"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9244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6: SD1 – Sofortdiagnose anfordern (UC01)</w:t>
      </w:r>
    </w:p>
    <w:p>
      <w:pPr>
        <w:spacing w:after="120" w:line="276"/>
        <w:jc w:val="both"/>
      </w:pPr>
      <w:r>
        <w:rPr>
          <w:rFonts w:ascii="Calibri" w:cs="Calibri" w:eastAsia="Calibri" w:hAnsi="Calibri"/>
          <w:sz w:val="22"/>
          <w:szCs w:val="22"/>
        </w:rPr>
        <w:t xml:space="preserve">SD1 zeigt den Kern des Alleinstellungsmerkmals: Die Voranmeldung lässt jeden Medienanhang analysieren (ausgewertet vom externen KI-Diagnosedienst), erzeugt über den KIDiagnosevorschlag einen vorläufigen Kostenvoranschlag, prüft je Ersatzteil und Filiale den Lagerbestand und holt freie Termine der Filiale. Das äußere alt unterscheidet auswertbare von nicht auswertbaren Medien, das innere alt die Bestätigung des Kunden vom Fristablauf; das opt reserviert Teile nur, wenn sie verfügbar sind.</w:t>
      </w:r>
    </w:p>
    <w:p>
      <w:pPr>
        <w:keepNext/>
        <w:spacing w:after="0" w:before="120"/>
        <w:jc w:val="center"/>
      </w:pPr>
      <w:r>
        <w:drawing>
          <wp:inline distT="0" distB="0" distL="0" distR="0">
            <wp:extent cx="387667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766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7: SD2 – KVA freigeben / ablehnen (UC07)</w:t>
      </w:r>
    </w:p>
    <w:p>
      <w:pPr>
        <w:spacing w:after="120" w:line="276"/>
        <w:jc w:val="both"/>
      </w:pPr>
      <w:r>
        <w:rPr>
          <w:rFonts w:ascii="Calibri" w:cs="Calibri" w:eastAsia="Calibri" w:hAnsi="Calibri"/>
          <w:sz w:val="22"/>
          <w:szCs w:val="22"/>
        </w:rPr>
        <w:t xml:space="preserve">SD2 beschreibt die Freigabeschleife: Der Techniker baut den Kostenvoranschlag aus Positionen auf, der Auftrag wechselt auf „KVA offen", die loop erinnert den Kunden bis zur Reaktion, und das alt verzweigt in Freigabe (Start der Disposition) oder Ablehnung (Abholaufforderung ohne Reparatur).</w:t>
      </w:r>
    </w:p>
    <w:p>
      <w:pPr>
        <w:keepNext/>
        <w:spacing w:after="0" w:before="120"/>
        <w:jc w:val="center"/>
      </w:pPr>
      <w:r>
        <w:drawing>
          <wp:inline distT="0" distB="0" distL="0" distR="0">
            <wp:extent cx="5305425"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0542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8: SD3 – Ersatzteil reservieren, filialübergreifend (UC09)</w:t>
      </w:r>
    </w:p>
    <w:p>
      <w:pPr>
        <w:spacing w:after="120" w:line="276"/>
        <w:jc w:val="both"/>
      </w:pPr>
      <w:r>
        <w:rPr>
          <w:rFonts w:ascii="Calibri" w:cs="Calibri" w:eastAsia="Calibri" w:hAnsi="Calibri"/>
          <w:sz w:val="22"/>
          <w:szCs w:val="22"/>
        </w:rPr>
        <w:t xml:space="preserve">SD3 ist der fachliche Mehrwert der Disposition: Je Teil prüft der Disponent zuerst den eigenen Lagerbestand, dann in einer Schleife die anderen Filialen. Das verschachtelte alt entscheidet zwischen lokaler Reservierung, Reservierung mit Umlagerung und dem Verweis (ref) auf UC10 Lieferantenbestellung; das opt verweist bei unterschrittenem Meldebestand auf UC12. Die Reservierung erhöht nur den reservierten Bestand; abgebucht wird erst bei der Entnahme. Nur wenn ein Fehlteil bestellt wird, wechselt der Auftrag auf „Teile bestellt".</w:t>
      </w:r>
    </w:p>
    <w:p>
      <w:pPr>
        <w:keepNext/>
        <w:spacing w:after="0" w:before="12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91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9: SD4 – Auftrag fertigmelden und Kunde benachrichtigen (UC14)</w:t>
      </w:r>
    </w:p>
    <w:p>
      <w:pPr>
        <w:spacing w:after="120" w:line="276"/>
        <w:jc w:val="both"/>
      </w:pPr>
      <w:r>
        <w:rPr>
          <w:rFonts w:ascii="Calibri" w:cs="Calibri" w:eastAsia="Calibri" w:hAnsi="Calibri"/>
          <w:sz w:val="22"/>
          <w:szCs w:val="22"/>
        </w:rPr>
        <w:t xml:space="preserve">SD4 knüpft den Statuswechsel auf „fertig" an die Bedingung, dass alle Reparaturschritte abgeschlossen sind. Erst dann entsteht die Rechnung und der Auftrag benachrichtigt den Kunden über den hinterlegten Kanal (E-Mail, SMS oder App).</w:t>
      </w:r>
    </w:p>
    <w:p>
      <w:pPr>
        <w:keepNext/>
        <w:spacing w:after="0" w:before="120"/>
        <w:jc w:val="center"/>
      </w:pPr>
      <w:r>
        <w:drawing>
          <wp:inline distT="0" distB="0" distL="0" distR="0">
            <wp:extent cx="5715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575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10: SD5 – Reklamation bearbeiten (UC16)</w:t>
      </w:r>
    </w:p>
    <w:p>
      <w:pPr>
        <w:spacing w:after="120" w:line="276"/>
        <w:jc w:val="both"/>
      </w:pPr>
      <w:r>
        <w:rPr>
          <w:rFonts w:ascii="Calibri" w:cs="Calibri" w:eastAsia="Calibri" w:hAnsi="Calibri"/>
          <w:sz w:val="22"/>
          <w:szCs w:val="22"/>
        </w:rPr>
        <w:t xml:space="preserve">SD5 zeigt die Gewährleistungsentscheidung anhand von Reparatur- und Rechnungsdatum. Im Gewährleistungsfall entsteht ein neuer, kostenfreier Nacharbeitsauftrag (eigene Lebenslinie neben dem Ursprungsauftrag); sonst erhält der Kunde ein Angebot; nimmt er es an, entsteht ebenfalls ein neuer, diesmal kostenpflichtiger Nacharbeitsauftrag, lehnt er ab, wird die Reklamation ohne Reparatur geschlossen. Prozess 09 bildet denselben Ablauf mit der Aktivität „Nacharbeitsauftrag anlegen" ab.</w:t>
      </w:r>
    </w:p>
    <w:p>
      <w:pPr>
        <w:keepNext/>
        <w:spacing w:after="0" w:before="120"/>
        <w:jc w:val="center"/>
      </w:pPr>
      <w:r>
        <w:drawing>
          <wp:inline distT="0" distB="0" distL="0" distR="0">
            <wp:extent cx="56007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00700"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11: SD6 – Nachbestellvorschlag bei Meldebestand und Lieferantenbestellung auslösen (UC12, UC10)</w:t>
      </w:r>
    </w:p>
    <w:p>
      <w:pPr>
        <w:spacing w:after="120" w:line="276"/>
        <w:jc w:val="both"/>
      </w:pPr>
      <w:r>
        <w:rPr>
          <w:rFonts w:ascii="Calibri" w:cs="Calibri" w:eastAsia="Calibri" w:hAnsi="Calibri"/>
          <w:sz w:val="22"/>
          <w:szCs w:val="22"/>
        </w:rPr>
        <w:t xml:space="preserve">SD6 verbindet Disposition und Beschaffung: Ein Abgang am Lagerbestand löst die Meldebestandsprüfung aus. Ist der Meldebestand unterschritten, erhält der Disponent einen Nachbestellvorschlag, ermittelt den Vorzugslieferanten und ergänzt entweder eine offene Bestellung oder löst eine neue aus. Das opt holt oberhalb der Freigabegrenze die Freigabe des Werkstattleiters ein, bevor die Bestellung übermittelt und mit dem Liefertermin des Lieferanten bestätigt wird; das entspricht Prozess 06.</w:t>
      </w:r>
    </w:p>
    <w:p>
      <w:pPr>
        <w:pStyle w:val="Heading2"/>
        <w:keepNext/>
        <w:spacing w:after="120" w:before="240"/>
      </w:pPr>
      <w:r>
        <w:rPr>
          <w:rFonts w:ascii="Calibri" w:cs="Calibri" w:eastAsia="Calibri" w:hAnsi="Calibri"/>
        </w:rPr>
        <w:t xml:space="preserve">5.4 Konsistenz zwischen den Modellen</w:t>
      </w:r>
    </w:p>
    <w:p>
      <w:pPr>
        <w:spacing w:after="120" w:line="276"/>
        <w:jc w:val="both"/>
      </w:pPr>
      <w:r>
        <w:rPr>
          <w:rFonts w:ascii="Calibri" w:cs="Calibri" w:eastAsia="Calibri" w:hAnsi="Calibri"/>
          <w:sz w:val="22"/>
          <w:szCs w:val="22"/>
        </w:rPr>
        <w:t xml:space="preserve">Die drei Modelle sind über drei Klammern verbunden: Erstens tragen die Datenobjekte der BPMN-Diagramme die Klassennamen des Klassendiagramms, teilweise mit dem Zustand in eckigen Klammern. Zweitens entsprechen der Pool Kunde und die Lanes Techniker, Ersatzteil-Disposition und Werkstattleitung den Akteuren Kunde, Techniker, Disponent und Werkstattleiter und den gleichnamigen Klassen (Kunde beziehungsweise Unterklassen von Mitarbeiter); die Tätigkeiten der Lane Service / Annahme sind im Use-Case-Diagramm dem Werkstattleiter zugeordnet. Drittens folgen Sequenzdiagramme, Datenobjekt-Zustände und Zustandsdiagramm demselben Zustandsautomaten, sodass jeder Statuswechsel in genau einem Prozess, einer Operation und einem Zustandsübergang wiederzufinden ist. Tabelle 2 zeigt die Zuordnung.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trPr>
        <w:tc>
          <w:tcPr>
            <w:tcW w:type="dxa" w:w="19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 (BPMN)</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Use Cases</w:t>
            </w:r>
          </w:p>
        </w:tc>
        <w:tc>
          <w:tcPr>
            <w:tcW w:type="dxa" w:w="3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Zentrale Klassen</w:t>
            </w:r>
          </w:p>
        </w:tc>
        <w:tc>
          <w:tcPr>
            <w:tcW w:type="dxa" w:w="2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Sequenzdiagramm</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 KI-Sofortdiagnose und Voranmeldung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UC01, UC02, UC08</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Voranmeldung, Medienanhang, KIDiagnosevorschlag, Kostenvoranschlag [vorläufig]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SD1</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 Auftragsannahme und Terminplanung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UC03, UC17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Reparaturauftrag [angenommen], Geraet, Filiale, Werkstattleiter</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 Fehlerdiagnose</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UC04, UC05</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Fehlerbefund, Techniker, KIDiagnosevorschlag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 Kostenvoranschlag und Kundenfreigabe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UC06, UC07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KvaPosition, Reparaturauftrag [KVA offen, freigegeben, abgelehnt]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SD2</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 Ersatzteil-Verfügbarkeit und Reservierung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UC08, UC09, UC12</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Disponent, Lagerbestand, ErsatzteilReservierung, Lieferantenbestellung [Vorschlag]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SD3</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 Ersatzteil-Bestellung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 UC12</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Bestellposition, Lieferant, Werkstattleiter, Reparaturauftrag [Teile bestellt]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SD6</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 Reparaturdurchführung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UC13, UC14</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Reparaturschritt, Arbeitszeitbuchung, Reparaturauftrag [in Reparatur, fertig]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SD4</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 Abholung, Rechnung und Zahlung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UC14, UC15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Rechnung, Reparaturauftrag [abgeholt]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SD4</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 Reklamation und Gewährleistung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UC16</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Kunde, Werkstattleiter</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SD5</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Ersatzteil-Retoure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Lagerbestand, Lieferant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bl>
    <w:p>
      <w:pPr>
        <w:spacing w:after="200" w:before="60"/>
        <w:jc w:val="center"/>
      </w:pPr>
      <w:r>
        <w:rPr>
          <w:rFonts w:ascii="Calibri" w:cs="Calibri" w:eastAsia="Calibri" w:hAnsi="Calibri"/>
          <w:i/>
          <w:iCs/>
          <w:color w:val="595959"/>
          <w:sz w:val="18"/>
          <w:szCs w:val="18"/>
        </w:rPr>
        <w:t xml:space="preserve">Tabelle 2: Zuordnung von Prozessen, Use Cases, Klassen und Sequenzdiagrammen</w:t>
      </w:r>
    </w:p>
    <w:p>
      <w:pPr>
        <w:pStyle w:val="Heading1"/>
        <w:keepNext/>
        <w:spacing w:after="120" w:before="360"/>
      </w:pPr>
      <w:r>
        <w:rPr>
          <w:rFonts w:ascii="Calibri" w:cs="Calibri" w:eastAsia="Calibri" w:hAnsi="Calibri"/>
        </w:rPr>
        <w:t xml:space="preserve">6 Probleme und Herausforderungen</w:t>
      </w:r>
    </w:p>
    <w:p>
      <w:pPr>
        <w:spacing w:after="120" w:line="276"/>
        <w:jc w:val="both"/>
      </w:pPr>
      <w:r>
        <w:rPr>
          <w:rFonts w:ascii="Calibri" w:cs="Calibri" w:eastAsia="Calibri" w:hAnsi="Calibri"/>
          <w:b/>
          <w:bCs/>
          <w:sz w:val="22"/>
          <w:szCs w:val="22"/>
        </w:rPr>
        <w:t xml:space="preserve">Zwei parallel entstandene Entwürfe. </w:t>
      </w:r>
      <w:r>
        <w:rPr>
          <w:rFonts w:ascii="Calibri" w:cs="Calibri" w:eastAsia="Calibri" w:hAnsi="Calibri"/>
          <w:sz w:val="22"/>
          <w:szCs w:val="22"/>
        </w:rPr>
        <w:t xml:space="preserve">Zu Beginn des Semesters sind zwei vollständige Entwürfe entstanden: einer aus der Betreiber-Perspektive (FixWerk GmbH als Betreiber, ohne KI-Feature, Camunda 7) und einer aus der Solution-Provider-Perspektive mit KI-Sofortdiagnose (Camunda 8). Statt einen davon zu verwerfen, haben wir beide Artefakt für Artefakt verglichen und zusammengeführt: Grundlage sind die Solution-Provider-Diagramme, weil sie das Dozentenfeedback umsetzen und beide Linter ohne Befund passieren; aus dem Betreiber-Entwurf übernommen wurden die Rollenklassen Mitarbeiter, Disponent und Werkstattleiter, die Datenspeicher Technikerplan und Buchhaltung, das Sequenzdiagramm zum Nachbestellvorschlag, der Abschnitt zur Konsistenz der Modelle sowie Sprintplan und Trello-Board. Die Gegenüberstellung steht im Repository (doku/05-vergleich-und-zusammenfuehrung.md).</w:t>
      </w:r>
    </w:p>
    <w:p>
      <w:pPr>
        <w:spacing w:after="120" w:line="276"/>
        <w:jc w:val="both"/>
      </w:pPr>
      <w:r>
        <w:rPr>
          <w:rFonts w:ascii="Calibri" w:cs="Calibri" w:eastAsia="Calibri" w:hAnsi="Calibri"/>
          <w:b/>
          <w:bCs/>
          <w:sz w:val="22"/>
          <w:szCs w:val="22"/>
        </w:rPr>
        <w:t xml:space="preserve">Pool- und Lane-Struktur. </w:t>
      </w:r>
      <w:r>
        <w:rPr>
          <w:rFonts w:ascii="Calibri" w:cs="Calibri" w:eastAsia="Calibri" w:hAnsi="Calibri"/>
          <w:sz w:val="22"/>
          <w:szCs w:val="22"/>
        </w:rPr>
        <w:t xml:space="preserve">Ein erster Entwurf modellierte Werkstatt und Ersatzteil-Disposition als getrennte Pools. Nach der Vorlesungsregel „Pool = Unternehmen, Lanes = Rollen" wurde auf einen Pool mit Lanes umgestellt; Kunde und Lieferant blieben eigene Pools. Erst dadurch wurden die Nachrichtenflüsse eindeutig. Den Kunden hatten wir zunächst als Black Box gezeichnet; weil dabei nicht sichtbar war, wann er antwortet, entscheidet oder fertig ist, haben wir ihm einen eigenen Ablauf gegeben (Entscheidungslog E-16).</w:t>
      </w:r>
    </w:p>
    <w:p>
      <w:pPr>
        <w:spacing w:after="120" w:line="276"/>
        <w:jc w:val="both"/>
      </w:pPr>
      <w:r>
        <w:rPr>
          <w:rFonts w:ascii="Calibri" w:cs="Calibri" w:eastAsia="Calibri" w:hAnsi="Calibri"/>
          <w:b/>
          <w:bCs/>
          <w:sz w:val="22"/>
          <w:szCs w:val="22"/>
        </w:rPr>
        <w:t xml:space="preserve">Perspektive und Zuschnitt. </w:t>
      </w:r>
      <w:r>
        <w:rPr>
          <w:rFonts w:ascii="Calibri" w:cs="Calibri" w:eastAsia="Calibri" w:hAnsi="Calibri"/>
          <w:sz w:val="22"/>
          <w:szCs w:val="22"/>
        </w:rPr>
        <w:t xml:space="preserve">In der ersten Fassung waren wir gleichzeitig Werkstatt und Softwareanbieter. Die Rückfrage des Dozenten hat uns gezwungen, das zu klären. Die Entscheidung für den Solution Provider hat sich gelohnt: Die Prozesse blieben gültig, aber Texte, Use Cases (Onboarding) und das Klassenmodell (Mandant) mussten nachziehen.</w:t>
      </w:r>
    </w:p>
    <w:p>
      <w:pPr>
        <w:spacing w:after="120" w:line="276"/>
        <w:jc w:val="both"/>
      </w:pPr>
      <w:r>
        <w:rPr>
          <w:rFonts w:ascii="Calibri" w:cs="Calibri" w:eastAsia="Calibri" w:hAnsi="Calibri"/>
          <w:b/>
          <w:bCs/>
          <w:sz w:val="22"/>
          <w:szCs w:val="22"/>
        </w:rPr>
        <w:t xml:space="preserve">Zehn Kollaborationsdiagramme mit je zehn Aktivitäten. </w:t>
      </w:r>
      <w:r>
        <w:rPr>
          <w:rFonts w:ascii="Calibri" w:cs="Calibri" w:eastAsia="Calibri" w:hAnsi="Calibri"/>
          <w:sz w:val="22"/>
          <w:szCs w:val="22"/>
        </w:rPr>
        <w:t xml:space="preserve">Unsere ursprüngliche Prozessliste enthielt die Terminplanung als eigenen Prozess; sie hatte aber nur einen Pool und wenige Schritte. Wir haben sie als Lane Werkstattleitung in die Auftragsannahme integriert und dafür die KI-Sofortdiagnose als neuen Prozess 01 aufgenommen.</w:t>
      </w:r>
    </w:p>
    <w:p>
      <w:pPr>
        <w:spacing w:after="120" w:line="276"/>
        <w:jc w:val="both"/>
      </w:pPr>
      <w:r>
        <w:rPr>
          <w:rFonts w:ascii="Calibri" w:cs="Calibri" w:eastAsia="Calibri" w:hAnsi="Calibri"/>
          <w:b/>
          <w:bCs/>
          <w:sz w:val="22"/>
          <w:szCs w:val="22"/>
        </w:rPr>
        <w:t xml:space="preserve">Konsistenz über drei Modelle. </w:t>
      </w:r>
      <w:r>
        <w:rPr>
          <w:rFonts w:ascii="Calibri" w:cs="Calibri" w:eastAsia="Calibri" w:hAnsi="Calibri"/>
          <w:sz w:val="22"/>
          <w:szCs w:val="22"/>
        </w:rPr>
        <w:t xml:space="preserve">Datenobjekte, Klassen, Lebenslinien und Statuswerte müssen wortgleich sein. Frühere Fassungen der Sequenzdiagramme verwendeten „Diagnose" und „Reservierung", das Klassendiagramm „Fehlerbefund" und „ErsatzteilReservierung". Wir haben eine gemeinsame Modellbeschreibung eingeführt, aus der Klassendiagramm, XMI und die Namen in den anderen Modellen stammen.</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 xml:space="preserve">Der Teamwork-Server von Visual Paradigm ist nur über das Lehre-VPN erreichbar, und der Camunda Modeler meldet für Camunda-8-Diagramme technische Details als Fehler, etwa fehlende Task-Definitionen oder Message-Subscriptions. Wir haben uns entschieden, die Diagramme „engine-ready" anzureichern, statt die Fehler zu ignorieren; das entspricht dem in der Vorlesung beschriebenen Weg vom fachlichen zum ausführbaren Modell.</w:t>
      </w:r>
    </w:p>
    <w:p>
      <w:pPr>
        <w:spacing w:after="120" w:line="276"/>
        <w:jc w:val="both"/>
      </w:pPr>
      <w:r>
        <w:rPr>
          <w:rFonts w:ascii="Calibri" w:cs="Calibri" w:eastAsia="Calibri" w:hAnsi="Calibri"/>
          <w:b/>
          <w:bCs/>
          <w:sz w:val="22"/>
          <w:szCs w:val="22"/>
        </w:rPr>
        <w:t xml:space="preserve">Layout großer Diagramme. </w:t>
      </w:r>
      <w:r>
        <w:rPr>
          <w:rFonts w:ascii="Calibri" w:cs="Calibri" w:eastAsia="Calibri" w:hAnsi="Calibri"/>
          <w:sz w:val="22"/>
          <w:szCs w:val="22"/>
        </w:rPr>
        <w:t xml:space="preserve">Zwölf Aktivitäten, drei Lanes und mehrere Nachrichtenflüsse lassen sich schwer ohne Kreuzungen zeichnen. Wir haben für jedes Diagramm ein Raster festgelegt, in dem Nachrichtenflüsse möglichst aus der obersten Zeile einer Lane nach außen laufen, im Kunden-Pool senkrecht über ihrem Gegenstück liegen und Schleifen unterhalb der Zeilen zurückgeführt werden.</w:t>
      </w:r>
    </w:p>
    <w:p>
      <w:pPr>
        <w:spacing w:after="120" w:line="276"/>
        <w:jc w:val="both"/>
      </w:pPr>
      <w:r>
        <w:rPr>
          <w:rFonts w:ascii="Calibri" w:cs="Calibri" w:eastAsia="Calibri" w:hAnsi="Calibri"/>
          <w:b/>
          <w:bCs/>
          <w:sz w:val="22"/>
          <w:szCs w:val="22"/>
        </w:rPr>
        <w:t xml:space="preserve">Vision gegen Machbarkeit. </w:t>
      </w:r>
      <w:r>
        <w:rPr>
          <w:rFonts w:ascii="Calibri" w:cs="Calibri" w:eastAsia="Calibri" w:hAnsi="Calibri"/>
          <w:sz w:val="22"/>
          <w:szCs w:val="22"/>
        </w:rPr>
        <w:t xml:space="preserve">Die KI-Sofortdiagnose soll beeindrucken, aber nicht unglaubwürdig wirken. Wir trennen deshalb in Modell und Text zwischen dem, was heute mit Bildanalyse geht, und dem, was Vision ist, und halten den Vorschlag im Prozess ausdrücklich unverbindlich.</w:t>
      </w:r>
    </w:p>
    <w:p>
      <w:pPr>
        <w:spacing w:after="120" w:line="276"/>
        <w:jc w:val="both"/>
      </w:pPr>
      <w:r>
        <w:rPr>
          <w:rFonts w:ascii="Calibri" w:cs="Calibri" w:eastAsia="Calibri" w:hAnsi="Calibri"/>
          <w:i/>
          <w:iCs/>
          <w:sz w:val="22"/>
          <w:szCs w:val="22"/>
          <w:shd w:fill="FFF2A8" w:color="auto" w:val="clear"/>
        </w:rPr>
        <w:t xml:space="preserve">[Gruppe: Ergänzen: Herausforderungen in der Gruppenarbeit, zum Beispiel Terminfindung, Aufteilung, Git-Konflikte]</w:t>
      </w:r>
    </w:p>
    <w:p>
      <w:pPr>
        <w:pStyle w:val="Heading1"/>
        <w:keepNext/>
        <w:spacing w:after="120" w:before="360"/>
      </w:pPr>
      <w:r>
        <w:rPr>
          <w:rFonts w:ascii="Calibri" w:cs="Calibri" w:eastAsia="Calibri" w:hAnsi="Calibri"/>
        </w:rPr>
        <w:t xml:space="preserve">7 Feedback</w:t>
      </w:r>
    </w:p>
    <w:p>
      <w:pPr>
        <w:pStyle w:val="Heading2"/>
        <w:keepNext/>
        <w:spacing w:after="120" w:before="240"/>
      </w:pPr>
      <w:r>
        <w:rPr>
          <w:rFonts w:ascii="Calibri" w:cs="Calibri" w:eastAsia="Calibri" w:hAnsi="Calibri"/>
        </w:rPr>
        <w:t xml:space="preserve">7.1 Feedback des Dozenten und Umsetzung</w:t>
      </w:r>
    </w:p>
    <w:p>
      <w:pPr>
        <w:spacing w:after="120" w:line="276"/>
        <w:jc w:val="both"/>
      </w:pPr>
      <w:r>
        <w:rPr>
          <w:rFonts w:ascii="Calibri" w:cs="Calibri" w:eastAsia="Calibri" w:hAnsi="Calibri"/>
          <w:sz w:val="22"/>
          <w:szCs w:val="22"/>
        </w:rPr>
        <w:t xml:space="preserve">Bei der Konzeptvorstellung bekamen wir zwei Hinweise: erstens die Perspektive zu klären, zweitens dem Produkt ein Alleinstellungsmerkmal hinzuzufügen, das ruhig visionär sein darf, zum Beispiel KI-Funktionen. Beides haben wir umgesetzt (Abschnitte 2.2 und 2.6) und im Entscheidungslog festgehalten. </w:t>
      </w:r>
    </w:p>
    <w:p>
      <w:pPr>
        <w:spacing w:after="120" w:line="276"/>
        <w:jc w:val="both"/>
      </w:pPr>
      <w:r>
        <w:rPr>
          <w:rFonts w:ascii="Calibri" w:cs="Calibri" w:eastAsia="Calibri" w:hAnsi="Calibri"/>
          <w:i/>
          <w:iCs/>
          <w:sz w:val="22"/>
          <w:szCs w:val="22"/>
          <w:shd w:fill="FFF2A8" w:color="auto" w:val="clear"/>
        </w:rPr>
        <w:t xml:space="preserve">[Gruppe: Weitere Rückmeldungen aus den Coaching-Terminen und deren Umsetzung ergänzen]</w:t>
      </w:r>
    </w:p>
    <w:p>
      <w:pPr>
        <w:pStyle w:val="Heading2"/>
        <w:keepNext/>
        <w:spacing w:after="120" w:before="240"/>
      </w:pPr>
      <w:r>
        <w:rPr>
          <w:rFonts w:ascii="Calibri" w:cs="Calibri" w:eastAsia="Calibri" w:hAnsi="Calibri"/>
        </w:rPr>
        <w:t xml:space="preserve">7.2 Unser Feedback zur Fallstudie</w:t>
      </w:r>
    </w:p>
    <w:p>
      <w:pPr>
        <w:spacing w:after="120" w:line="276"/>
        <w:jc w:val="both"/>
      </w:pPr>
      <w:r>
        <w:rPr>
          <w:rFonts w:ascii="Calibri" w:cs="Calibri" w:eastAsia="Calibri" w:hAnsi="Calibri"/>
          <w:sz w:val="22"/>
          <w:szCs w:val="22"/>
        </w:rPr>
        <w:t xml:space="preserve">Die Fallstudie hat uns gezeigt, wie viel Abstimmung nötig ist, damit Prozessmodell, Use Cases und Klassenmodell zusammenpassen. Das Wechselspiel aus Coaching-Terminen und eigenständiger Arbeit hat gut funktioniert, weil wir das Feedback direkt einarbeiten konnten. Hilfreich wäre aus unserer Sicht eine frühere Klarstellung gewesen, wie streng die Vorgabe „durchschnittlich zehn Aktivitäten" gemeint ist.</w:t>
      </w:r>
    </w:p>
    <w:p>
      <w:pPr>
        <w:spacing w:after="120" w:line="276"/>
        <w:jc w:val="both"/>
      </w:pPr>
      <w:r>
        <w:rPr>
          <w:rFonts w:ascii="Calibri" w:cs="Calibri" w:eastAsia="Calibri" w:hAnsi="Calibri"/>
          <w:i/>
          <w:iCs/>
          <w:sz w:val="22"/>
          <w:szCs w:val="22"/>
          <w:shd w:fill="FFF2A8" w:color="auto" w:val="clear"/>
        </w:rPr>
        <w:t xml:space="preserve">[Gruppe: Ergänzen: Was hat euch am meisten gebracht, was war zu viel oder zu wenig, was würdet ihr beim nächsten Mal anders machen]</w:t>
      </w:r>
    </w:p>
    <w:p>
      <w:pPr>
        <w:pStyle w:val="Heading1"/>
        <w:keepNext/>
        <w:spacing w:after="120" w:before="360"/>
      </w:pPr>
      <w:r>
        <w:rPr>
          <w:rFonts w:ascii="Calibri" w:cs="Calibri" w:eastAsia="Calibri" w:hAnsi="Calibri"/>
        </w:rPr>
        <w:t xml:space="preserve">Anhang A: Abgabestruktur</w:t>
      </w:r>
    </w:p>
    <w:p>
      <w:pPr>
        <w:spacing w:after="120" w:line="276"/>
        <w:jc w:val="both"/>
      </w:pPr>
      <w:r>
        <w:rPr>
          <w:rFonts w:ascii="Calibri" w:cs="Calibri" w:eastAsia="Calibri" w:hAnsi="Calibri"/>
          <w:sz w:val="22"/>
          <w:szCs w:val="22"/>
        </w:rPr>
        <w:t xml:space="preserve">Das Abgabe-Archiv Fallstudie-WWI25B4-Gruppe1.zip enthält: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trPr>
        <w:tc>
          <w:tcPr>
            <w:tcW w:type="dxa" w:w="3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Datei</w:t>
            </w:r>
          </w:p>
        </w:tc>
        <w:tc>
          <w:tcPr>
            <w:tcW w:type="dxa" w:w="5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Projekt-WWI25B4-Gruppe1.pdf</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Diese Projektdokumentation (im Repository: doku/Projektdokumentation.docx und .pdf)</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BPMN-WWI25B4-Gruppe1.zip</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als BPMN-2.0-XML (01-Sofortdiagnose.bpmn bis 10-Retoure.bpmn nach den Namensvorgaben des Ablaufs), Camunda-8-Modelle (im Repository: bpmn/p01-sofortdiagnose.bpmn bis bpmn/p10-retoure.bpmn); das Speichern im Camunda Modeler steht noch aus</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UML-WWI25B4-Gruppe1.vpp</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Visual-Paradigm-Projekt mit Use-Case-, Klassen-, sechs Sequenz- und einem Zustandsdiagramm (im Repository: uml/ als PlantUML, PNG und XMI)</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Praesentation-WWI25B4-Gruppe1.pdf</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PDF-Export der Abschlusspräsentation mit Angabe der Vortragenden je Teil (im Repository: praesi/Abschlusspraesentation.pptx)</w:t>
            </w:r>
          </w:p>
        </w:tc>
      </w:tr>
    </w:tbl>
    <w:p>
      <w:pPr>
        <w:sectPr>
          <w:headerReference w:type="default" r:id="rId7"/>
          <w:footerReference w:type="default" r:id="rId8"/>
          <w:pgSz w:w="11906" w:h="16838" w:orient="portrait"/>
          <w:pgMar w:top="1300" w:right="1400" w:bottom="1200" w:left="1400" w:header="708" w:footer="708" w:gutter="0"/>
          <w:pgNumType w:start="1"/>
          <w:docGrid w:linePitch="360"/>
        </w:sectPr>
      </w:pPr>
    </w:p>
    <w:p>
      <w:pPr>
        <w:pStyle w:val="Heading1"/>
        <w:keepNext/>
        <w:spacing w:after="120" w:before="360"/>
      </w:pPr>
      <w:r>
        <w:rPr>
          <w:rFonts w:ascii="Calibri" w:cs="Calibri" w:eastAsia="Calibri" w:hAnsi="Calibri"/>
        </w:rPr>
        <w:t xml:space="preserve">Anhang B: Die zehn BPMN-Kollaborationsdiagramme</w:t>
      </w:r>
    </w:p>
    <w:p>
      <w:pPr>
        <w:keepNext/>
        <w:spacing w:after="0" w:before="120"/>
        <w:jc w:val="center"/>
      </w:pPr>
      <w:r>
        <w:drawing>
          <wp:inline distT="0" distB="0" distL="0" distR="0">
            <wp:extent cx="9144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32861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12: Prozess 01 KI-Sofortdiagnose und Voranmeldung (Pools: Werkstattbetrieb, Kunde)</w:t>
      </w:r>
    </w:p>
    <w:p>
      <w:r>
        <w:br w:type="page"/>
      </w:r>
    </w:p>
    <w:p>
      <w:pPr>
        <w:keepNext/>
        <w:spacing w:after="0" w:before="120"/>
        <w:jc w:val="center"/>
      </w:pPr>
      <w:r>
        <w:drawing>
          <wp:inline distT="0" distB="0" distL="0" distR="0">
            <wp:extent cx="9144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2838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13: Prozess 02 Auftragsannahme, Geräteregistrierung und Terminplanung (Pools: Werkstattbetrieb, Kunde)</w:t>
      </w:r>
    </w:p>
    <w:p>
      <w:r>
        <w:br w:type="page"/>
      </w:r>
    </w:p>
    <w:p>
      <w:pPr>
        <w:keepNext/>
        <w:spacing w:after="0" w:before="120"/>
        <w:jc w:val="center"/>
      </w:pPr>
      <w:r>
        <w:drawing>
          <wp:inline distT="0" distB="0" distL="0" distR="0">
            <wp:extent cx="9144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35147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14: Prozess 03 Fehlerdiagnose (Pools: Werkstattbetrieb, Kunde)</w:t>
      </w:r>
    </w:p>
    <w:p>
      <w:r>
        <w:br w:type="page"/>
      </w:r>
    </w:p>
    <w:p>
      <w:pPr>
        <w:keepNext/>
        <w:spacing w:after="0" w:before="120"/>
        <w:jc w:val="center"/>
      </w:pPr>
      <w:r>
        <w:drawing>
          <wp:inline distT="0" distB="0" distL="0" distR="0">
            <wp:extent cx="9144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32480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15: Prozess 04 Kostenvoranschlag und Kundenfreigabe (Pools: Werkstattbetrieb, Kunde)</w:t>
      </w:r>
    </w:p>
    <w:p>
      <w:r>
        <w:br w:type="page"/>
      </w:r>
    </w:p>
    <w:p>
      <w:pPr>
        <w:keepNext/>
        <w:spacing w:after="0" w:before="120"/>
        <w:jc w:val="center"/>
      </w:pPr>
      <w:r>
        <w:drawing>
          <wp:inline distT="0" distB="0" distL="0" distR="0">
            <wp:extent cx="914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23050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16: Prozess 05 Ersatzteil-Verfügbarkeit und Reservierung (Pools: Werkstattbetrieb, Kunde)</w:t>
      </w:r>
    </w:p>
    <w:p>
      <w:r>
        <w:br w:type="page"/>
      </w:r>
    </w:p>
    <w:p>
      <w:pPr>
        <w:keepNext/>
        <w:spacing w:after="0" w:before="120"/>
        <w:jc w:val="center"/>
      </w:pPr>
      <w:r>
        <w:drawing>
          <wp:inline distT="0" distB="0" distL="0" distR="0">
            <wp:extent cx="914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7432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17: Prozess 06 Ersatzteil-Bestellung beim Lieferanten (Pools: Werkstattbetrieb, Lieferant, Kunde)</w:t>
      </w:r>
    </w:p>
    <w:p>
      <w:r>
        <w:br w:type="page"/>
      </w:r>
    </w:p>
    <w:p>
      <w:pPr>
        <w:keepNext/>
        <w:spacing w:after="0" w:before="120"/>
        <w:jc w:val="center"/>
      </w:pPr>
      <w:r>
        <w:drawing>
          <wp:inline distT="0" distB="0" distL="0" distR="0">
            <wp:extent cx="9144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29146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18: Prozess 07 Reparaturdurchführung und Arbeitszeiterfassung (Pools: Werkstattbetrieb, Kunde)</w:t>
      </w:r>
    </w:p>
    <w:p>
      <w:r>
        <w:br w:type="page"/>
      </w:r>
    </w:p>
    <w:p>
      <w:pPr>
        <w:keepNext/>
        <w:spacing w:after="0" w:before="120"/>
        <w:jc w:val="center"/>
      </w:pPr>
      <w:r>
        <w:drawing>
          <wp:inline distT="0" distB="0" distL="0" distR="0">
            <wp:extent cx="9144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6479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19: Prozess 08 Abholung, Rechnung und Zahlung (Pools: Werkstattbetrieb, Kunde)</w:t>
      </w:r>
    </w:p>
    <w:p>
      <w:r>
        <w:br w:type="page"/>
      </w:r>
    </w:p>
    <w:p>
      <w:pPr>
        <w:keepNext/>
        <w:spacing w:after="0" w:before="120"/>
        <w:jc w:val="center"/>
      </w:pPr>
      <w:r>
        <w:drawing>
          <wp:inline distT="0" distB="0" distL="0" distR="0">
            <wp:extent cx="9144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144000" cy="31242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20: Prozess 09 Reklamation und Gewährleistung (Pools: Werkstattbetrieb, Kunde)</w:t>
      </w:r>
    </w:p>
    <w:p>
      <w:r>
        <w:br w:type="page"/>
      </w:r>
    </w:p>
    <w:p>
      <w:pPr>
        <w:keepNext/>
        <w:spacing w:after="0" w:before="120"/>
        <w:jc w:val="center"/>
      </w:pPr>
      <w:r>
        <w:drawing>
          <wp:inline distT="0" distB="0" distL="0" distR="0">
            <wp:extent cx="9144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144000" cy="2381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21: Prozess 10 Ersatzteil-Retoure und Lieferanten-Reklamation (Pools: Werkstattbetrieb, Lieferant)</w:t>
      </w:r>
    </w:p>
    <w:sectPr>
      <w:headerReference w:type="default" r:id="rId9"/>
      <w:footerReference w:type="default" r:id="rId10"/>
      <w:pgSz w:w="16838" w:h="11906" w:orient="landscape"/>
      <w:pgMar w:top="10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b3a986c0cce0c40cbac6dc30ca3b4639f4bc4d6.png"/><Relationship Id="rId12" Type="http://schemas.openxmlformats.org/officeDocument/2006/relationships/image" Target="media/99fc972bb3b397756843eb6e5152f1603658ff06.png"/><Relationship Id="rId13" Type="http://schemas.openxmlformats.org/officeDocument/2006/relationships/image" Target="media/e07dc541e5a226e1e7c5f0f5bffe70022f6f6959.png"/><Relationship Id="rId14" Type="http://schemas.openxmlformats.org/officeDocument/2006/relationships/image" Target="media/ea7e78e5c3ce4af21d885a6d7e9af4cc28e5f8e0.png"/><Relationship Id="rId15" Type="http://schemas.openxmlformats.org/officeDocument/2006/relationships/image" Target="media/d5dd4863c06e79f26e8abeb3b687bfff07ad1933.png"/><Relationship Id="rId16" Type="http://schemas.openxmlformats.org/officeDocument/2006/relationships/image" Target="media/9ee4be6bf392bb9b48801fc86aa034b179949a96.png"/><Relationship Id="rId17" Type="http://schemas.openxmlformats.org/officeDocument/2006/relationships/image" Target="media/31db46c83fbe3779fb3268010669022c77cf96bb.png"/><Relationship Id="rId18" Type="http://schemas.openxmlformats.org/officeDocument/2006/relationships/image" Target="media/5ffb3af7c21f1e85acc722313076d83e9452d209.png"/><Relationship Id="rId19" Type="http://schemas.openxmlformats.org/officeDocument/2006/relationships/image" Target="media/ccacafbb1681fac2fa0f7373fb85164bd6b33411.png"/><Relationship Id="rId20" Type="http://schemas.openxmlformats.org/officeDocument/2006/relationships/image" Target="media/411305d0489b09957710abdacaebac3a44db5515.png"/><Relationship Id="rId21" Type="http://schemas.openxmlformats.org/officeDocument/2006/relationships/image" Target="media/51e3d26f2415e6c09608e42567d85859963dba84.png"/><Relationship Id="rId22" Type="http://schemas.openxmlformats.org/officeDocument/2006/relationships/image" Target="media/51241c424b56868202349eddaab065db67412672.png"/><Relationship Id="rId23" Type="http://schemas.openxmlformats.org/officeDocument/2006/relationships/image" Target="media/e02176376be5aed3a2c420e768f5476399630668.png"/><Relationship Id="rId24" Type="http://schemas.openxmlformats.org/officeDocument/2006/relationships/image" Target="media/c2e4a7207ca8492d618399dc6972deabc6cf6ce5.png"/><Relationship Id="rId25" Type="http://schemas.openxmlformats.org/officeDocument/2006/relationships/image" Target="media/d8dc28af6ff6fe0d225b90f0085d540e7f55a734.png"/><Relationship Id="rId26" Type="http://schemas.openxmlformats.org/officeDocument/2006/relationships/image" Target="media/a537d61dfc523348b100916c33e7066379e0d0e4.png"/><Relationship Id="rId27" Type="http://schemas.openxmlformats.org/officeDocument/2006/relationships/image" Target="media/80e273f1d3f9bfcb2895bcfa05d6106df1924128.png"/><Relationship Id="rId28" Type="http://schemas.openxmlformats.org/officeDocument/2006/relationships/image" Target="media/9aa930d5aa20042491c24ce1e82d518d0855f574.png"/><Relationship Id="rId29" Type="http://schemas.openxmlformats.org/officeDocument/2006/relationships/image" Target="media/bf56ccef1349d57ca92b762b5afa45d449c427fd.png"/><Relationship Id="rId30" Type="http://schemas.openxmlformats.org/officeDocument/2006/relationships/image" Target="media/119832eea7d43268901f6ecf017eb9638593292d.png"/><Relationship Id="rId31" Type="http://schemas.openxmlformats.org/officeDocument/2006/relationships/image" Target="media/0673b796ada08474ad4da6cfab69bc4f7a2f89a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Un-named</cp:lastModifiedBy>
  <cp:revision>1</cp:revision>
  <dcterms:created xsi:type="dcterms:W3CDTF">2026-09-28T17:10:54.579Z</dcterms:created>
  <dcterms:modified xsi:type="dcterms:W3CDTF">2026-09-28T17:10:54.580Z</dcterms:modified>
</cp:coreProperties>
</file>

<file path=docProps/custom.xml><?xml version="1.0" encoding="utf-8"?>
<Properties xmlns="http://schemas.openxmlformats.org/officeDocument/2006/custom-properties" xmlns:vt="http://schemas.openxmlformats.org/officeDocument/2006/docPropsVTypes"/>
</file>