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pPr>
      <w:r>
        <w:rPr>
          <w:sz w:val="20"/>
          <w:szCs w:val="20"/>
        </w:rPr>
        <w:t>2.5 Alleinstellungsmerkmal: die KI-Sofortdiagnose</w:t>
      </w:r>
      <w:r>
        <w:rPr>
          <w:sz w:val="20"/>
          <w:szCs w:val="20"/>
        </w:rPr>
        <w:tab/>
        <w:t>4</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6</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7</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7</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10</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10</w:t>
      </w:r>
    </w:p>
    <w:p w14:paraId="39A66CAE" w14:textId="77777777" w:rsidR="00570CD3" w:rsidRDefault="004E0540">
      <w:pPr>
        <w:tabs>
          <w:tab w:val="right" w:leader="dot" w:pos="9026"/>
        </w:tabs>
        <w:spacing w:after="40"/>
        <w:ind w:left="400"/>
      </w:pPr>
      <w:r>
        <w:rPr>
          <w:sz w:val="20"/>
          <w:szCs w:val="20"/>
        </w:rPr>
        <w:t>5.4 Klassendiagramm</w:t>
      </w:r>
      <w:r>
        <w:rPr>
          <w:sz w:val="20"/>
          <w:szCs w:val="20"/>
        </w:rPr>
        <w:tab/>
        <w:t>12</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15</w:t>
      </w:r>
    </w:p>
    <w:p w14:paraId="7357B9F2" w14:textId="77777777" w:rsidR="00570CD3" w:rsidRDefault="004E0540">
      <w:pPr>
        <w:tabs>
          <w:tab w:val="right" w:leader="dot" w:pos="9026"/>
        </w:tabs>
        <w:spacing w:after="40"/>
        <w:ind w:left="400"/>
      </w:pPr>
      <w:r>
        <w:rPr>
          <w:sz w:val="20"/>
          <w:szCs w:val="20"/>
        </w:rPr>
        <w:t>5.6 Konsistenz zwischen den Modellen</w:t>
      </w:r>
      <w:r>
        <w:rPr>
          <w:sz w:val="20"/>
          <w:szCs w:val="20"/>
        </w:rPr>
        <w:tab/>
        <w:t>17</w:t>
      </w:r>
    </w:p>
    <w:p w14:paraId="07856F14" w14:textId="77777777" w:rsidR="00570CD3" w:rsidRDefault="004E0540">
      <w:pPr>
        <w:tabs>
          <w:tab w:val="right" w:leader="dot" w:pos="9026"/>
        </w:tabs>
        <w:spacing w:after="40"/>
      </w:pPr>
      <w:r>
        <w:rPr>
          <w:b/>
          <w:bCs/>
        </w:rPr>
        <w:t>6 Probleme und Herausforderungen</w:t>
      </w:r>
      <w:r>
        <w:rPr>
          <w:b/>
          <w:bCs/>
        </w:rPr>
        <w:tab/>
        <w:t>18</w:t>
      </w:r>
    </w:p>
    <w:p w14:paraId="250316FA" w14:textId="77777777" w:rsidR="00570CD3" w:rsidRDefault="004E0540">
      <w:pPr>
        <w:tabs>
          <w:tab w:val="right" w:leader="dot" w:pos="9026"/>
        </w:tabs>
        <w:spacing w:after="40"/>
      </w:pPr>
      <w:r>
        <w:rPr>
          <w:b/>
          <w:bCs/>
        </w:rPr>
        <w:t>7 Feedback</w:t>
      </w:r>
      <w:r>
        <w:rPr>
          <w:b/>
          <w:bCs/>
        </w:rPr>
        <w:tab/>
        <w:t>19</w:t>
      </w:r>
    </w:p>
    <w:p w14:paraId="02953DF4" w14:textId="77777777" w:rsidR="00570CD3" w:rsidRDefault="004E0540">
      <w:pPr>
        <w:tabs>
          <w:tab w:val="right" w:leader="dot" w:pos="9026"/>
        </w:tabs>
        <w:spacing w:after="40"/>
        <w:ind w:left="400"/>
      </w:pPr>
      <w:r>
        <w:rPr>
          <w:sz w:val="20"/>
          <w:szCs w:val="20"/>
        </w:rPr>
        <w:t>7.1 Feedback des Dozenten und Umsetzung</w:t>
      </w:r>
      <w:r>
        <w:rPr>
          <w:sz w:val="20"/>
          <w:szCs w:val="20"/>
        </w:rPr>
        <w:tab/>
        <w:t>19</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19</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 xml:space="preserve">Sprint-Rituale und Trello-Board; Klassendiagramm, SD1 </w:t>
            </w:r>
            <w:r>
              <w:rPr>
                <w:color w:val="000000"/>
                <w:sz w:val="19"/>
                <w:szCs w:val="19"/>
                <w:lang w:val="de-DE"/>
              </w:rPr>
              <w:t>bis</w:t>
            </w:r>
            <w:r>
              <w:rPr>
                <w:color w:val="000000"/>
                <w:sz w:val="19"/>
                <w:szCs w:val="19"/>
              </w:rPr>
              <w:t xml:space="preserve">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rPr>
                <w:lang w:val="de-DE"/>
              </w:rPr>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rPr>
          <w:lang w:val="de-DE"/>
        </w:rPr>
      </w:pPr>
      <w:r>
        <w:t>Die Gruppenmitglieder haben folgende Beiträge erarbeitet</w:t>
      </w:r>
      <w:r w:rsidR="0066320F">
        <w: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w:t>
      </w:r>
      <w:r w:rsidR="003B4F98">
        <w:t xml:space="preserve">Erstellung </w:t>
      </w:r>
      <w:r>
        <w:t>der BPMN-Diagramme 07 und 08, Redaktion der Projektdokumentation (</w:t>
      </w:r>
      <w:r w:rsidR="00A55A24">
        <w:t xml:space="preserve">Kapitel, </w:t>
      </w:r>
      <w:r>
        <w:t>Abbildungen, Inhaltsverzeichnis, PDF), Zusammenstellung des Abgabe-Archivs</w:t>
      </w:r>
      <w:r w:rsidR="00D23E44">
        <w:t>.</w:t>
      </w:r>
    </w:p>
    <w:p w14:paraId="3E63842F" w14:textId="219C1BFF" w:rsidR="00570CD3" w:rsidRDefault="004E0540">
      <w:pPr>
        <w:pStyle w:val="Listenabsatz"/>
        <w:numPr>
          <w:ilvl w:val="0"/>
          <w:numId w:val="2"/>
        </w:numPr>
        <w:spacing w:after="60" w:line="264" w:lineRule="auto"/>
      </w:pPr>
      <w:r>
        <w:rPr>
          <w:b/>
          <w:bCs/>
        </w:rPr>
        <w:t xml:space="preserve">David Leismann: </w:t>
      </w:r>
      <w:r w:rsidR="00DC3BD1">
        <w:t xml:space="preserve">Erstellung </w:t>
      </w:r>
      <w:r>
        <w:t>der BPMN-Diagramme 03 und 04, Abgleich der Use Cases und Sequenzdiagramme mit den Prozessen, Überarbeitung der Prozesse 05 und 06, Use-Case-Diagramm mit Rollenstruktur sowie SD5 und SD6 in Visual Paradigm</w:t>
      </w:r>
      <w:r w:rsidR="005B0645">
        <w:t>, Klassendiagramm.</w:t>
      </w:r>
    </w:p>
    <w:p w14:paraId="0AD2C343" w14:textId="314D07A2" w:rsidR="00570CD3" w:rsidRDefault="004E0540">
      <w:pPr>
        <w:pStyle w:val="Listenabsatz"/>
        <w:numPr>
          <w:ilvl w:val="0"/>
          <w:numId w:val="2"/>
        </w:numPr>
        <w:spacing w:after="60" w:line="264" w:lineRule="auto"/>
      </w:pPr>
      <w:r>
        <w:rPr>
          <w:b/>
          <w:bCs/>
        </w:rPr>
        <w:t xml:space="preserve">Adrian Wenzler: </w:t>
      </w:r>
      <w:r w:rsidR="00DC3BD1">
        <w:t xml:space="preserve">Erstellung </w:t>
      </w:r>
      <w:r>
        <w:t>der BPMN-Diagramme 05 und 06, Fachkonzept (Ausgangslage, Solution Provider, Systemkontext, Zustandsautomat, KI-Sofortdiagnose), Pflege des Entscheidungslogs und Abstimmung der Prozessänderungen mit der Gruppe, Überarbeitung von Prozess 06, Automatisierungspotential, Probleme und Herausforderungen</w:t>
      </w:r>
      <w:r w:rsidR="00D23E44">
        <w:t>.</w:t>
      </w:r>
    </w:p>
    <w:p w14:paraId="5299A00E" w14:textId="568C9A39" w:rsidR="00570CD3" w:rsidRDefault="004E0540">
      <w:pPr>
        <w:pStyle w:val="Listenabsatz"/>
        <w:numPr>
          <w:ilvl w:val="0"/>
          <w:numId w:val="2"/>
        </w:numPr>
        <w:spacing w:after="60" w:line="264" w:lineRule="auto"/>
      </w:pPr>
      <w:r>
        <w:rPr>
          <w:b/>
          <w:bCs/>
        </w:rPr>
        <w:t xml:space="preserve">Kilian Platter: </w:t>
      </w:r>
      <w:r w:rsidR="00E726A8">
        <w:t>Erstellun</w:t>
      </w:r>
      <w:r>
        <w:t xml:space="preserve">g der Diagramme mit Korrekturen </w:t>
      </w:r>
      <w:r w:rsidR="005B0645">
        <w:t>(</w:t>
      </w:r>
      <w:r>
        <w:t>Klassendiagramm, SD1 bis SD4 in Visual Paradigm</w:t>
      </w:r>
      <w:r w:rsidR="005B0645">
        <w:t>)</w:t>
      </w:r>
      <w:r>
        <w:t>, Visual-Paradigm-Projekt und Konsistenzprüfung der Sequenzdiagramme gegen das Klassendiagramm, Sprint-Rituale und Trello-Board</w:t>
      </w:r>
      <w:r w:rsidR="00D23E44">
        <w:t>.</w:t>
      </w:r>
    </w:p>
    <w:p w14:paraId="6A9E1432" w14:textId="0C719843" w:rsidR="00570CD3" w:rsidRDefault="004E0540">
      <w:pPr>
        <w:pStyle w:val="Listenabsatz"/>
        <w:numPr>
          <w:ilvl w:val="0"/>
          <w:numId w:val="2"/>
        </w:numPr>
        <w:spacing w:after="60" w:line="264" w:lineRule="auto"/>
      </w:pPr>
      <w:r>
        <w:rPr>
          <w:b/>
          <w:bCs/>
        </w:rPr>
        <w:t xml:space="preserve">Maximilian Ewald: </w:t>
      </w:r>
      <w:r w:rsidR="00DC3BD1">
        <w:t xml:space="preserve">Erstellung </w:t>
      </w:r>
      <w:r>
        <w:t>der BPMN-Diagramme 01 und 02, alle zehn BPMN-Dateien im Camunda Modeler (Anreicherung für Camunda 8, Prüfung im Problems-Panel, PNG-Export), Prozesskennzahlen und Beschreibung der Prozesse</w:t>
      </w:r>
      <w:r w:rsidR="00960812">
        <w:t>, Erstellung der PowerPoint</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r w:rsidR="00D23E44">
        <w:t>.</w:t>
      </w:r>
    </w:p>
    <w:p w14:paraId="1F43506A" w14:textId="77777777" w:rsidR="00D23E44" w:rsidRDefault="00D23E44" w:rsidP="00D23E44">
      <w:pPr>
        <w:pStyle w:val="Listenabsatz"/>
        <w:spacing w:after="60" w:line="264" w:lineRule="auto"/>
        <w:ind w:left="540"/>
      </w:pP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77777777" w:rsidR="00570CD3" w:rsidRDefault="004D5BBB">
      <w:pPr>
        <w:spacing w:after="120" w:line="276" w:lineRule="auto"/>
        <w:jc w:val="both"/>
      </w:pPr>
      <w:r>
        <w:t>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Einen belegten Funktionsvergleich mit bestehenden Werkstattlösungen haben wir nicht erstellt.</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Abbildung 1 stellt den Systemkontext und die Systemgrenze dar. 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lastRenderedPageBreak/>
        <w:drawing>
          <wp:inline distT="0" distB="0" distL="0" distR="0" wp14:anchorId="5524A09C" wp14:editId="593FF88E">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3247EABE" w14:textId="77777777" w:rsidR="00570CD3" w:rsidRDefault="004E0540">
      <w:pPr>
        <w:pStyle w:val="berschrift1"/>
        <w:keepNext/>
        <w:spacing w:after="120"/>
      </w:pPr>
      <w:r>
        <w:lastRenderedPageBreak/>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shd w:val="clear" w:color="auto" w:fill="FFF2A8"/>
              </w:rPr>
              <w:t xml:space="preserve"> </w:t>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angenommen“).</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77777777" w:rsidR="00570CD3" w:rsidRDefault="004E0540">
      <w:pPr>
        <w:pStyle w:val="Listenabsatz"/>
        <w:numPr>
          <w:ilvl w:val="0"/>
          <w:numId w:val="2"/>
        </w:numPr>
        <w:spacing w:after="60" w:line="264" w:lineRule="auto"/>
      </w:pPr>
      <w:r>
        <w:t>Die Beteiligten erscheinen in BPMN als Pool (Kunde) oder Lane (Service / Annahme, Techniker, Ersatzteil-Disposition, Werkstattleitung), im Use-Case-Diagramm als Rollen mit genau einem Use Case je Rolle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lastRenderedPageBreak/>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77777777"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14:paraId="361B5E70" w14:textId="77777777" w:rsidR="00570CD3" w:rsidRDefault="004E0540">
      <w:pPr>
        <w:pStyle w:val="berschrift2"/>
        <w:keepNext/>
      </w:pPr>
      <w:r>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 xml:space="preserve">QA-Befunde behoben, Zuständigkeiten für die Fertigstellung festgelegt, Use-Case-Diagramm nach dem Dozentenhinweis auf Rollen umgestellt. </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E4069DE" w:rsidR="00570CD3" w:rsidRPr="00C067BF" w:rsidRDefault="00C067BF">
            <w:pPr>
              <w:keepNext/>
              <w:spacing w:after="40" w:line="252" w:lineRule="auto"/>
              <w:rPr>
                <w:sz w:val="19"/>
                <w:szCs w:val="19"/>
                <w:lang w:val="de-DE"/>
              </w:rPr>
            </w:pPr>
            <w:r w:rsidRPr="00C067BF">
              <w:rPr>
                <w:sz w:val="19"/>
                <w:szCs w:val="19"/>
                <w:lang w:val="de-DE"/>
              </w:rPr>
              <w:t>UI-Umbau</w:t>
            </w:r>
            <w:r w:rsidR="00FB4BC1" w:rsidRPr="00C067BF">
              <w:rPr>
                <w:sz w:val="19"/>
                <w:szCs w:val="19"/>
                <w:lang w:val="de-DE"/>
              </w:rPr>
              <w:t xml:space="preserve"> nach dem Gespräch am 22.10. </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636A40CD" w:rsidR="00570CD3" w:rsidRPr="005351C4" w:rsidRDefault="004E0540">
            <w:pPr>
              <w:keepNext/>
              <w:spacing w:after="40" w:line="252" w:lineRule="auto"/>
              <w:rPr>
                <w:lang w:val="de-DE"/>
              </w:rPr>
            </w:pPr>
            <w:r>
              <w:rPr>
                <w:color w:val="000000"/>
                <w:sz w:val="19"/>
                <w:szCs w:val="19"/>
              </w:rPr>
              <w:t>Präsentation am 27.10.2026 in Raum B458, Abgabe bis 13.11.2026 über Moodle.</w:t>
            </w:r>
            <w:r w:rsidR="005351C4">
              <w:rPr>
                <w:color w:val="000000"/>
                <w:sz w:val="19"/>
                <w:szCs w:val="19"/>
                <w:lang w:val="de-DE"/>
              </w:rPr>
              <w:t xml:space="preserve"> Weitere Anpassungen in VP</w:t>
            </w:r>
            <w:r w:rsidR="00942490">
              <w:rPr>
                <w:color w:val="000000"/>
                <w:sz w:val="19"/>
                <w:szCs w:val="19"/>
                <w:lang w:val="de-DE"/>
              </w:rPr>
              <w:t>.</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lastRenderedPageBreak/>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77777777" w:rsidR="00570CD3" w:rsidRDefault="004E0540">
      <w:pPr>
        <w:spacing w:after="120" w:line="276" w:lineRule="auto"/>
        <w:jc w:val="both"/>
      </w:pPr>
      <w:r>
        <w:t xml:space="preserve">Wir haben zehn Soll-Prozesse unseres Pilotkunden als Kollaborationsdiagramme modelliert (Tabelle 6). Zusammen enthalten sie 133 Aktivitäten im Werkstatt-Pool, im Schnitt 13,3 je Diagramm. Hinzu </w:t>
      </w:r>
      <w:r>
        <w:lastRenderedPageBreak/>
        <w:t>kommen 26 Aktivitäten in den Abläufen des Kunden, 42 Nachrichtenflüsse sowie 51 Datenobjekte und 12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12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Kunde erschienen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4 (33 %)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5 (42 %)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7 (64 %)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(80 %)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9 (60 %)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5 (38 %)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(53 %)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8 (73 %)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lastRenderedPageBreak/>
        <w:t xml:space="preserve">01 KI-Sofortdiagnose und Voranmeldung. </w:t>
      </w:r>
      <w:r>
        <w:t>Aus Foto, Video oder Ton des Kunden entstehen Voranmeldung, KI-Diagnosevorschlag, vorläufiger KVA und Terminvorschlag. Nicht auswertbare Medien fordert das System neu an. Ohne Antwort binnen sieben Tagen wird die Voranmeldung verworfen.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oder nach zwei erfolglosen Mahnungen wird storniert und ein anderer Lieferant gesucht.</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ohne Antwort nach der Eskalation wird das Teil abgeschrieben.</w:t>
      </w:r>
    </w:p>
    <w:p w14:paraId="02664DF2" w14:textId="77777777" w:rsidR="00570CD3" w:rsidRDefault="00570CD3">
      <w:pPr>
        <w:jc w:val="center"/>
      </w:pPr>
      <w:r>
        <w:rPr>
          <w:noProof/>
        </w:rPr>
        <w:drawing>
          <wp:inline distT="0" distB="0" distL="0" distR="0" wp14:anchorId="19D2E60F" wp14:editId="4AD0833F">
            <wp:extent cx="5760000" cy="20631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sofortdiagnose.png"/>
                    <pic:cNvPicPr/>
                  </pic:nvPicPr>
                  <pic:blipFill>
                    <a:blip r:embed="rId8"/>
                    <a:stretch>
                      <a:fillRect/>
                    </a:stretch>
                  </pic:blipFill>
                  <pic:spPr>
                    <a:xfrm>
                      <a:off x="0" y="0"/>
                      <a:ext cx="5760000" cy="2063184"/>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77777777" w:rsidR="00570CD3" w:rsidRDefault="00570CD3">
      <w:pPr>
        <w:jc w:val="center"/>
      </w:pPr>
      <w:r>
        <w:rPr>
          <w:noProof/>
        </w:rPr>
        <w:lastRenderedPageBreak/>
        <w:drawing>
          <wp:inline distT="0" distB="0" distL="0" distR="0" wp14:anchorId="3C47F1C3" wp14:editId="2F129291">
            <wp:extent cx="5760000" cy="2323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kostenvoranschlag.png"/>
                    <pic:cNvPicPr/>
                  </pic:nvPicPr>
                  <pic:blipFill>
                    <a:blip r:embed="rId9"/>
                    <a:stretch>
                      <a:fillRect/>
                    </a:stretch>
                  </pic:blipFill>
                  <pic:spPr>
                    <a:xfrm>
                      <a:off x="0" y="0"/>
                      <a:ext cx="5760000" cy="2323330"/>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133 Aktivitäten sind 81 automatisiert, regelbasiert oder Nachrichten der Plattform, also rund 61 Prozent. 33 weitere sind Benutzer-Aktivitäten in der Plattform. Neun manuelle Aktivitäten liegen außerhalb der Software, neun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10200AE1" w14:textId="77777777" w:rsidR="00570CD3" w:rsidRDefault="004E0540">
      <w:pPr>
        <w:pStyle w:val="berschrift2"/>
        <w:keepNext/>
      </w:pPr>
      <w:r>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lastRenderedPageBreak/>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Nachrichtenfluss in Prozess 01</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2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20000"/>
                    </a:xfrm>
                    <a:prstGeom prst="rect">
                      <a:avLst/>
                    </a:prstGeom>
                  </pic:spPr>
                </pic:pic>
              </a:graphicData>
            </a:graphic>
          </wp:inline>
        </w:drawing>
      </w:r>
    </w:p>
    <w:p w14:paraId="75D8308D" w14:textId="77777777" w:rsidR="00570CD3" w:rsidRDefault="004E0540">
      <w:pPr>
        <w:spacing w:before="60" w:after="200"/>
        <w:jc w:val="center"/>
      </w:pPr>
      <w:r>
        <w:rPr>
          <w:i/>
          <w:iCs/>
          <w:color w:val="595959"/>
          <w:sz w:val="18"/>
          <w:szCs w:val="18"/>
        </w:rPr>
        <w:t>Abbildung 4: Use-Case-Diagramm RepairFlow</w:t>
      </w:r>
    </w:p>
    <w:p w14:paraId="558F1C3A" w14:textId="77777777" w:rsidR="00384D70" w:rsidRDefault="00384D70">
      <w:pPr>
        <w:pStyle w:val="berschrift2"/>
        <w:keepNext/>
        <w:rPr>
          <w:lang w:val="de-DE"/>
        </w:rPr>
      </w:pPr>
    </w:p>
    <w:p w14:paraId="01CB825E" w14:textId="6E3AD062" w:rsidR="00570CD3" w:rsidRDefault="004E0540">
      <w:pPr>
        <w:pStyle w:val="berschrift2"/>
        <w:keepNext/>
      </w:pPr>
      <w:r>
        <w:t>5.4 Klassendiagramm</w:t>
      </w:r>
    </w:p>
    <w:p w14:paraId="77550E43" w14:textId="04D290E1" w:rsidR="00570CD3" w:rsidRDefault="004E0540">
      <w:pPr>
        <w:spacing w:after="120" w:line="276" w:lineRule="auto"/>
        <w:jc w:val="both"/>
      </w:pPr>
      <w:r>
        <w:t>Das Klassendiagramm (Abbildung 5) umfasst 2</w:t>
      </w:r>
      <w:r w:rsidR="00A361F7">
        <w:rPr>
          <w:lang w:val="de-DE"/>
        </w:rPr>
        <w:t>9</w:t>
      </w:r>
      <w:r>
        <w:t xml:space="preserve"> Klassen, darunter die abstrakten Klassen Person und Mitarbeiter, sowie sieben Aufzählungen und </w:t>
      </w:r>
      <w:r w:rsidR="00E317C7">
        <w:rPr>
          <w:lang w:val="de-DE"/>
        </w:rPr>
        <w:t>40</w:t>
      </w:r>
      <w:r>
        <w:t xml:space="preserve">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14:paraId="67959204" w14:textId="2D880B5F" w:rsidR="00A2344A" w:rsidRPr="00A2344A" w:rsidRDefault="000102FA" w:rsidP="00251F30">
      <w:pPr>
        <w:pStyle w:val="Listenabsatz"/>
        <w:numPr>
          <w:ilvl w:val="0"/>
          <w:numId w:val="2"/>
        </w:numPr>
        <w:spacing w:after="60" w:line="264" w:lineRule="auto"/>
      </w:pPr>
      <w:r w:rsidRPr="00251F30">
        <w:rPr>
          <w:b/>
          <w:bCs/>
        </w:rPr>
        <w:t>Oberflächen als Klassen</w:t>
      </w:r>
      <w:r w:rsidRPr="000102FA">
        <w:t>. Zwischen den Benutzern und den Fachobjekten stehen zwei</w:t>
      </w:r>
      <w:r w:rsidR="00F53FB2">
        <w:t xml:space="preserve"> Oberflächenklassen: Der Kunde arbeitet in der </w:t>
      </w:r>
      <w:proofErr w:type="spellStart"/>
      <w:r w:rsidR="00F53FB2">
        <w:t>KundenApp</w:t>
      </w:r>
      <w:proofErr w:type="spellEnd"/>
      <w:r w:rsidR="00F53FB2">
        <w:t xml:space="preserve">, die Mitarbeiter in der Werkstattoberfläche. Ihre Methoden entsprechen den Aktionen der Benutzer, zum Beispiel </w:t>
      </w:r>
      <w:proofErr w:type="spellStart"/>
      <w:proofErr w:type="gramStart"/>
      <w:r w:rsidR="00F53FB2">
        <w:t>gibKvaFrei</w:t>
      </w:r>
      <w:proofErr w:type="spellEnd"/>
      <w:r w:rsidR="00F53FB2">
        <w:t>(</w:t>
      </w:r>
      <w:proofErr w:type="gramEnd"/>
      <w:r w:rsidR="00F53FB2">
        <w:t xml:space="preserve">) oder </w:t>
      </w:r>
      <w:proofErr w:type="spellStart"/>
      <w:proofErr w:type="gramStart"/>
      <w:r w:rsidR="00F53FB2">
        <w:t>meldeFertig</w:t>
      </w:r>
      <w:proofErr w:type="spellEnd"/>
      <w:r w:rsidR="00F53FB2">
        <w:t>(</w:t>
      </w:r>
      <w:proofErr w:type="gramEnd"/>
      <w:r w:rsidR="00F53FB2">
        <w:t>). Ein Benutzer gibt dabei keine Objekte ein, sondern Merkmale wie die Auftragsnummer. Die Oberfläche sucht das Objekt über den Werkstattbetrieb, der als Mandant alle Aufträge, Bestellungen und Reklamationen seiner Filialen kennt (</w:t>
      </w:r>
      <w:proofErr w:type="spellStart"/>
      <w:proofErr w:type="gramStart"/>
      <w:r w:rsidR="00F53FB2">
        <w:t>sucheAuftrag</w:t>
      </w:r>
      <w:proofErr w:type="spellEnd"/>
      <w:r w:rsidR="00F53FB2">
        <w:t>(</w:t>
      </w:r>
      <w:proofErr w:type="gramEnd"/>
      <w:r w:rsidR="00F53FB2">
        <w:t xml:space="preserve">)), und arbeitet mit dem zurückgegebenen Objekt weiter. Der Kunde findet über </w:t>
      </w:r>
      <w:proofErr w:type="spellStart"/>
      <w:r w:rsidR="00F53FB2">
        <w:t>sucheAuftrag</w:t>
      </w:r>
      <w:proofErr w:type="spellEnd"/>
      <w:r w:rsidR="00F53FB2">
        <w:t>() nur seine eigenen Auftr</w:t>
      </w:r>
      <w:r w:rsidR="00B91D3F">
        <w:t>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sidRPr="00251F30">
        <w:t xml:space="preserve">Nacharbeit als neuer Auftrag. </w:t>
      </w:r>
      <w:r>
        <w:t>Eine Reklamation verweist auf den Ursprungsauftrag und führt zu einem neuen Reparaturauftrag, dessen Attribut kostenfrei angibt, ob die Gewährleistung greift.</w:t>
      </w:r>
    </w:p>
    <w:p w14:paraId="79F667B7" w14:textId="77777777" w:rsidR="00CD0A81" w:rsidRDefault="004E0540">
      <w:pPr>
        <w:keepNext/>
        <w:spacing w:before="120"/>
        <w:jc w:val="center"/>
      </w:pPr>
      <w:r>
        <w:rPr>
          <w:noProof/>
        </w:rPr>
        <w:lastRenderedPageBreak/>
        <w:drawing>
          <wp:inline distT="0" distB="0" distL="0" distR="0" wp14:anchorId="51897684" wp14:editId="2194742E">
            <wp:extent cx="6984737" cy="5299904"/>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lassendiagramm.png"/>
                    <pic:cNvPicPr/>
                  </pic:nvPicPr>
                  <pic:blipFill>
                    <a:blip r:embed="rId13"/>
                    <a:stretch>
                      <a:fillRect/>
                    </a:stretch>
                  </pic:blipFill>
                  <pic:spPr>
                    <a:xfrm>
                      <a:off x="0" y="0"/>
                      <a:ext cx="6984737" cy="5299904"/>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w:t>
      </w:r>
      <w:r w:rsidR="004525F1">
        <w:rPr>
          <w:lang w:val="de-DE"/>
        </w:rPr>
        <w:t xml:space="preserve">Die Rolle spricht nie direkt mit dem Fachobjekt, sondern immer mit der Oberfläche </w:t>
      </w:r>
      <w:proofErr w:type="gramStart"/>
      <w:r w:rsidR="004525F1">
        <w:rPr>
          <w:lang w:val="de-DE"/>
        </w:rPr>
        <w:t>(:</w:t>
      </w:r>
      <w:proofErr w:type="spellStart"/>
      <w:r w:rsidR="004525F1">
        <w:rPr>
          <w:lang w:val="de-DE"/>
        </w:rPr>
        <w:t>KundenApp</w:t>
      </w:r>
      <w:proofErr w:type="spellEnd"/>
      <w:proofErr w:type="gramEnd"/>
      <w:r w:rsidR="004525F1">
        <w:rPr>
          <w:lang w:val="de-DE"/>
        </w:rPr>
        <w:t xml:space="preserve"> </w:t>
      </w:r>
      <w:proofErr w:type="gramStart"/>
      <w:r w:rsidR="004525F1">
        <w:rPr>
          <w:lang w:val="de-DE"/>
        </w:rPr>
        <w:t>oder :</w:t>
      </w:r>
      <w:proofErr w:type="spellStart"/>
      <w:r w:rsidR="004525F1">
        <w:rPr>
          <w:lang w:val="de-DE"/>
        </w:rPr>
        <w:t>Werkstattoberfl</w:t>
      </w:r>
      <w:r w:rsidR="001E65E7">
        <w:rPr>
          <w:lang w:val="de-DE"/>
        </w:rPr>
        <w:t>ae</w:t>
      </w:r>
      <w:r w:rsidR="004525F1">
        <w:rPr>
          <w:lang w:val="de-DE"/>
        </w:rPr>
        <w:t>che</w:t>
      </w:r>
      <w:proofErr w:type="spellEnd"/>
      <w:proofErr w:type="gramEnd"/>
      <w:r w:rsidR="001E65E7">
        <w:rPr>
          <w:lang w:val="de-DE"/>
        </w:rPr>
        <w:t>). Die Oberfläche öffnet das benötigte Objekt über seine Nummer, ruft dessen Operationen auf und zeigt das Ergebnis an (</w:t>
      </w:r>
      <w:proofErr w:type="spellStart"/>
      <w:proofErr w:type="gramStart"/>
      <w:r w:rsidR="001E65E7">
        <w:rPr>
          <w:lang w:val="de-DE"/>
        </w:rPr>
        <w:t>anzeigenErgebnis</w:t>
      </w:r>
      <w:proofErr w:type="spellEnd"/>
      <w:r w:rsidR="001E65E7">
        <w:rPr>
          <w:lang w:val="de-DE"/>
        </w:rPr>
        <w:t>(</w:t>
      </w:r>
      <w:proofErr w:type="gramEnd"/>
      <w:r w:rsidR="001E65E7">
        <w:rPr>
          <w:lang w:val="de-DE"/>
        </w:rPr>
        <w:t>))</w:t>
      </w:r>
      <w:r w:rsidR="0036328F">
        <w:rPr>
          <w:lang w:val="de-DE"/>
        </w:rPr>
        <w:t xml:space="preserve">. Wo zwischen </w:t>
      </w:r>
      <w:r w:rsidR="00A11B60">
        <w:rPr>
          <w:lang w:val="de-DE"/>
        </w:rPr>
        <w:t xml:space="preserve">zwei Schritten Zeit vergeht, etwa nach einer Nacharbeit, wird das Objekt neu gesucht. </w:t>
      </w:r>
      <w:r>
        <w:t>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77777777" w:rsidR="00570CD3" w:rsidRDefault="004E0540">
            <w:pPr>
              <w:keepNext/>
              <w:spacing w:after="40" w:line="252" w:lineRule="auto"/>
            </w:pPr>
            <w:r>
              <w:rPr>
                <w:color w:val="000000"/>
                <w:sz w:val="19"/>
                <w:szCs w:val="19"/>
              </w:rPr>
              <w:t>Medienprüfung mit Nachreichen, KI-Vorschlag, vorläufiger KVA, Terminvorschlag, Vorreservierung erst nach Bestätigung</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77777777" w:rsidR="00CD0A81" w:rsidRDefault="004E0540">
      <w:pPr>
        <w:keepNext/>
        <w:spacing w:before="120"/>
        <w:jc w:val="center"/>
      </w:pPr>
      <w:r>
        <w:rPr>
          <w:noProof/>
        </w:rPr>
        <w:lastRenderedPageBreak/>
        <w:drawing>
          <wp:inline distT="0" distB="0" distL="0" distR="0" wp14:anchorId="5739D476" wp14:editId="6098A535">
            <wp:extent cx="5760000" cy="504783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1-sofortdiagnose.png"/>
                    <pic:cNvPicPr/>
                  </pic:nvPicPr>
                  <pic:blipFill>
                    <a:blip r:embed="rId16"/>
                    <a:stretch>
                      <a:fillRect/>
                    </a:stretch>
                  </pic:blipFill>
                  <pic:spPr>
                    <a:xfrm>
                      <a:off x="0" y="0"/>
                      <a:ext cx="5760000" cy="5047830"/>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77777777" w:rsidR="00CD0A81" w:rsidRDefault="004E0540">
      <w:pPr>
        <w:keepNext/>
        <w:spacing w:before="120"/>
        <w:jc w:val="center"/>
      </w:pPr>
      <w:r>
        <w:rPr>
          <w:noProof/>
        </w:rPr>
        <w:lastRenderedPageBreak/>
        <w:drawing>
          <wp:inline distT="0" distB="0" distL="0" distR="0" wp14:anchorId="5B06C323" wp14:editId="2D78EA3C">
            <wp:extent cx="5760000" cy="404482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3-reservierung.png"/>
                    <pic:cNvPicPr/>
                  </pic:nvPicPr>
                  <pic:blipFill>
                    <a:blip r:embed="rId17"/>
                    <a:stretch>
                      <a:fillRect/>
                    </a:stretch>
                  </pic:blipFill>
                  <pic:spPr>
                    <a:xfrm>
                      <a:off x="0" y="0"/>
                      <a:ext cx="5760000" cy="4044820"/>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t>5.6 Konsistenz zwischen den Modellen</w:t>
      </w:r>
    </w:p>
    <w:p w14:paraId="0BA6B81A" w14:textId="77777777"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lastRenderedPageBreak/>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i/>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rsidR="00D7052E">
        <w:t xml:space="preserve">Eine </w:t>
      </w:r>
      <w:r w:rsidR="0006602E">
        <w:t>Kontrolle</w:t>
      </w:r>
      <w:r>
        <w:t xml:space="preserv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t>
      </w:r>
      <w:r w:rsidR="005B0494">
        <w:t>wir</w:t>
      </w:r>
      <w:r>
        <w:t xml:space="preserve"> </w:t>
      </w:r>
      <w:r>
        <w:lastRenderedPageBreak/>
        <w:t xml:space="preserve">konnten Visual Paradigm nicht nutzen. Die gesamte UML-Arbeit lag damit bei zwei Personen, die übrigen haben die Diagramme anhand der Exporte geprüft. Dazu kommt, dass der Teamwork-Server der DHBW nur über das Lehre-VPN erreichbar ist. </w:t>
      </w:r>
    </w:p>
    <w:p w14:paraId="736D1023" w14:textId="77777777" w:rsidR="0051613C" w:rsidRDefault="00371E82">
      <w:pPr>
        <w:spacing w:after="120" w:line="276" w:lineRule="auto"/>
        <w:jc w:val="both"/>
      </w:pPr>
      <w:r>
        <w:rPr>
          <w:b/>
          <w:bCs/>
        </w:rPr>
        <w:t xml:space="preserve">Überschriebene Diagramme. </w:t>
      </w:r>
      <w:r>
        <w:t>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w:t>
      </w:r>
      <w:r>
        <w:t xml:space="preserve"> Änderung sofort Commit, und nie zwei Personen gleichzeitig im selben Diagramm. </w:t>
      </w:r>
    </w:p>
    <w:p w14:paraId="3A10FC39" w14:textId="77777777" w:rsidR="0051613C" w:rsidRDefault="00371E82">
      <w:pPr>
        <w:spacing w:after="120" w:line="276" w:lineRule="auto"/>
        <w:jc w:val="both"/>
      </w:pPr>
      <w:r>
        <w:rPr>
          <w:b/>
          <w:bCs/>
        </w:rPr>
        <w:t xml:space="preserve">Camunda Modeler. </w:t>
      </w:r>
      <w:r>
        <w:t xml:space="preserve">Der Modeler meldet für Camunda 8 fehlende technische Angaben wie Task-Definitionen oder Timer-Ausdrücke als Fehler. Wir haben die Diagramme entsprechend ergänzt, bis das Problems-Panel keine Einträge mehr zeigte. </w:t>
      </w:r>
    </w:p>
    <w:p w14:paraId="38A8EF59" w14:textId="39C42B95" w:rsidR="00570CD3" w:rsidRDefault="004E0540">
      <w:pPr>
        <w:spacing w:after="120" w:line="276" w:lineRule="auto"/>
        <w:jc w:val="both"/>
      </w:pPr>
      <w:r>
        <w:rPr>
          <w:b/>
          <w:bCs/>
        </w:rPr>
        <w:t xml:space="preserve">Zusammenarbeit. </w:t>
      </w:r>
      <w:r>
        <w:t xml:space="preserve">Am 05.10.2026 legten zwei Pull Requests </w:t>
      </w:r>
      <w:r w:rsidR="002E473C">
        <w:t xml:space="preserve">in unserem privaten Repo </w:t>
      </w:r>
      <w:r>
        <w:t>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77777777" w:rsidR="00570CD3" w:rsidRDefault="004E0540">
      <w:pPr>
        <w:spacing w:after="120" w:line="276" w:lineRule="auto"/>
        <w:jc w:val="both"/>
        <w:rPr>
          <w:lang w:val="de-DE"/>
        </w:rPr>
      </w:pPr>
      <w:r>
        <w:t>Im Coaching am 15.10.2026 sah der Dozent das Use-Case-Diagramm als zu verbunden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pStyle w:val="p1"/>
        <w:jc w:val="both"/>
        <w:rPr>
          <w:rFonts w:ascii="Calibri" w:eastAsia="Calibri" w:hAnsi="Calibri" w:cs="Calibri"/>
          <w:color w:val="auto"/>
          <w:sz w:val="22"/>
          <w:szCs w:val="22"/>
          <w:lang w:eastAsia="en-GB"/>
        </w:rPr>
      </w:pPr>
      <w:r w:rsidRPr="00B86836">
        <w:rPr>
          <w:rFonts w:ascii="Calibri" w:eastAsia="Calibri" w:hAnsi="Calibri" w:cs="Calibri"/>
          <w:color w:val="auto"/>
          <w:sz w:val="22"/>
          <w:szCs w:val="22"/>
          <w:lang w:eastAsia="en-GB"/>
        </w:rPr>
        <w:t>Im Coaching am 22.10.2026 wies der Dozent darauf hin, dass in den Sequenzdiagrammen</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zwischen Akteur und Fachobjekt ein Objekt der Benutzeroberfläche fehlt und dass offen</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bleibt, wie die</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Oberfläche an das richtige Objekt kommt. Wir haben die Klassen</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KundenApp und Werkstattoberflaeche mit den Methoden der Benutzeraktionen ergänzt und den Werkstattbetrieb um Suchoperationen erweitert, die zu einer eingegebenen</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Nummer das Objekt liefern. Alle sechs Sequenzdiagramme folgen jetzt dem Muster Akteur,</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Oberfläche, Fachobjekt (Abschnitte 5.4 und 5.5).</w:t>
      </w:r>
    </w:p>
    <w:p w14:paraId="3E7EF910" w14:textId="77777777" w:rsidR="00B86836" w:rsidRPr="00B86836" w:rsidRDefault="00B86836">
      <w:pPr>
        <w:spacing w:after="120" w:line="276" w:lineRule="auto"/>
        <w:jc w:val="both"/>
        <w:rPr>
          <w:lang w:val="de-DE"/>
        </w:rPr>
      </w:pP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 </w:t>
      </w:r>
    </w:p>
    <w:p w14:paraId="230C4E1F" w14:textId="77777777" w:rsidR="00570CD3" w:rsidRDefault="004E0540">
      <w:pPr>
        <w:spacing w:after="120" w:line="276" w:lineRule="auto"/>
        <w:jc w:val="both"/>
      </w:pPr>
      <w:r>
        <w:lastRenderedPageBreak/>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E0081B" w14:textId="77777777" w:rsidR="00371E82" w:rsidRDefault="00371E82">
      <w:r>
        <w:separator/>
      </w:r>
    </w:p>
  </w:endnote>
  <w:endnote w:type="continuationSeparator" w:id="0">
    <w:p w14:paraId="68188D60" w14:textId="77777777" w:rsidR="00371E82" w:rsidRDefault="00371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252E8F" w14:textId="77777777" w:rsidR="00371E82" w:rsidRDefault="00371E82">
      <w:r>
        <w:separator/>
      </w:r>
    </w:p>
  </w:footnote>
  <w:footnote w:type="continuationSeparator" w:id="0">
    <w:p w14:paraId="7B4DCE38" w14:textId="77777777" w:rsidR="00371E82" w:rsidRDefault="00371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424E"/>
    <w:rsid w:val="0006602E"/>
    <w:rsid w:val="000A3650"/>
    <w:rsid w:val="000B0265"/>
    <w:rsid w:val="001E559C"/>
    <w:rsid w:val="001E65E7"/>
    <w:rsid w:val="00251F30"/>
    <w:rsid w:val="002E473C"/>
    <w:rsid w:val="0036328F"/>
    <w:rsid w:val="00371E82"/>
    <w:rsid w:val="00384D70"/>
    <w:rsid w:val="003B4F98"/>
    <w:rsid w:val="004525F1"/>
    <w:rsid w:val="00480D10"/>
    <w:rsid w:val="004D5BBB"/>
    <w:rsid w:val="004E0540"/>
    <w:rsid w:val="0051613C"/>
    <w:rsid w:val="00534278"/>
    <w:rsid w:val="005351C4"/>
    <w:rsid w:val="00570CD3"/>
    <w:rsid w:val="005B0494"/>
    <w:rsid w:val="005B0645"/>
    <w:rsid w:val="005F742F"/>
    <w:rsid w:val="0063602B"/>
    <w:rsid w:val="0066320F"/>
    <w:rsid w:val="0067678D"/>
    <w:rsid w:val="006E2535"/>
    <w:rsid w:val="00783578"/>
    <w:rsid w:val="008414F7"/>
    <w:rsid w:val="00854237"/>
    <w:rsid w:val="00857288"/>
    <w:rsid w:val="008A0A91"/>
    <w:rsid w:val="008D0564"/>
    <w:rsid w:val="008E49F1"/>
    <w:rsid w:val="00933CE5"/>
    <w:rsid w:val="00942490"/>
    <w:rsid w:val="00960812"/>
    <w:rsid w:val="00991087"/>
    <w:rsid w:val="00A11B60"/>
    <w:rsid w:val="00A2344A"/>
    <w:rsid w:val="00A361F7"/>
    <w:rsid w:val="00A55A24"/>
    <w:rsid w:val="00B766BB"/>
    <w:rsid w:val="00B864F5"/>
    <w:rsid w:val="00B86836"/>
    <w:rsid w:val="00B91495"/>
    <w:rsid w:val="00B91D3F"/>
    <w:rsid w:val="00C067BF"/>
    <w:rsid w:val="00CD0A81"/>
    <w:rsid w:val="00D238E9"/>
    <w:rsid w:val="00D23E44"/>
    <w:rsid w:val="00D522E7"/>
    <w:rsid w:val="00D7052E"/>
    <w:rsid w:val="00DA24C3"/>
    <w:rsid w:val="00DC3BD1"/>
    <w:rsid w:val="00E027F7"/>
    <w:rsid w:val="00E317C7"/>
    <w:rsid w:val="00E33AD1"/>
    <w:rsid w:val="00E726A8"/>
    <w:rsid w:val="00E8753E"/>
    <w:rsid w:val="00EF5796"/>
    <w:rsid w:val="00F53FB2"/>
    <w:rsid w:val="00F60257"/>
    <w:rsid w:val="00FA2074"/>
    <w:rsid w:val="00FB4BC1"/>
    <w:rsid w:val="00FF3BA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21</Pages>
  <Words>5294</Words>
  <Characters>33353</Characters>
  <Application>Microsoft Office Word</Application>
  <DocSecurity>0</DocSecurity>
  <Lines>277</Lines>
  <Paragraphs>77</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65</cp:revision>
  <dcterms:created xsi:type="dcterms:W3CDTF">2026-10-05T09:30:00Z</dcterms:created>
  <dcterms:modified xsi:type="dcterms:W3CDTF">2026-10-22T09:25:00Z</dcterms:modified>
</cp:coreProperties>
</file>