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900"/>
      </w:pP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5</w:t>
      </w:r>
    </w:p>
    <w:p>
      <w:pPr>
        <w:tabs>
          <w:tab w:val="right" w:pos="9026" w:leader="dot"/>
        </w:tabs>
        <w:spacing w:after="40"/>
        <w:ind w:left="0"/>
      </w:pPr>
      <w:r>
        <w:rPr>
          <w:rFonts w:ascii="Calibri" w:cs="Calibri" w:eastAsia="Calibri" w:hAnsi="Calibri"/>
          <w:b/>
          <w:bCs/>
          <w:sz w:val="22"/>
          <w:szCs w:val="22"/>
        </w:rPr>
        <w:t xml:space="preserve">3 Vorgehen bei der Umsetzung	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 xml:space="preserve">4 Projektmanagement	7</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7</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8</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8</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 xml:space="preserve">5 Überblick über die erstellten Artefakte	9</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9</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10</w:t>
      </w:r>
    </w:p>
    <w:p>
      <w:pPr>
        <w:tabs>
          <w:tab w:val="right" w:pos="9026" w:leader="dot"/>
        </w:tabs>
        <w:spacing w:after="40"/>
        <w:ind w:left="800"/>
      </w:pPr>
      <w:r>
        <w:rPr>
          <w:rFonts w:ascii="Calibri" w:cs="Calibri" w:eastAsia="Calibri" w:hAnsi="Calibri"/>
          <w:b w:val="false"/>
          <w:bCs w:val="false"/>
          <w:sz w:val="20"/>
          <w:szCs w:val="20"/>
        </w:rPr>
        <w:t xml:space="preserve">5.1.2 Die zehn Prozesse	11</w:t>
      </w:r>
    </w:p>
    <w:p>
      <w:pPr>
        <w:tabs>
          <w:tab w:val="right" w:pos="9026" w:leader="dot"/>
        </w:tabs>
        <w:spacing w:after="40"/>
        <w:ind w:left="400"/>
      </w:pPr>
      <w:r>
        <w:rPr>
          <w:rFonts w:ascii="Calibri" w:cs="Calibri" w:eastAsia="Calibri" w:hAnsi="Calibri"/>
          <w:b w:val="false"/>
          <w:bCs w:val="false"/>
          <w:sz w:val="20"/>
          <w:szCs w:val="20"/>
        </w:rPr>
        <w:t xml:space="preserve">5.2 Automatisierungspotential	12</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12</w:t>
      </w:r>
    </w:p>
    <w:p>
      <w:pPr>
        <w:tabs>
          <w:tab w:val="right" w:pos="9026" w:leader="dot"/>
        </w:tabs>
        <w:spacing w:after="40"/>
        <w:ind w:left="800"/>
      </w:pPr>
      <w:r>
        <w:rPr>
          <w:rFonts w:ascii="Calibri" w:cs="Calibri" w:eastAsia="Calibri" w:hAnsi="Calibri"/>
          <w:b w:val="false"/>
          <w:bCs w:val="false"/>
          <w:sz w:val="20"/>
          <w:szCs w:val="20"/>
        </w:rPr>
        <w:t xml:space="preserve">5.3.1 Use-Case-Diagramm	12</w:t>
      </w:r>
    </w:p>
    <w:p>
      <w:pPr>
        <w:tabs>
          <w:tab w:val="right" w:pos="9026" w:leader="dot"/>
        </w:tabs>
        <w:spacing w:after="40"/>
        <w:ind w:left="800"/>
      </w:pPr>
      <w:r>
        <w:rPr>
          <w:rFonts w:ascii="Calibri" w:cs="Calibri" w:eastAsia="Calibri" w:hAnsi="Calibri"/>
          <w:b w:val="false"/>
          <w:bCs w:val="false"/>
          <w:sz w:val="20"/>
          <w:szCs w:val="20"/>
        </w:rPr>
        <w:t xml:space="preserve">5.3.2 Klassendiagramm	13</w:t>
      </w:r>
    </w:p>
    <w:p>
      <w:pPr>
        <w:tabs>
          <w:tab w:val="right" w:pos="9026" w:leader="dot"/>
        </w:tabs>
        <w:spacing w:after="40"/>
        <w:ind w:left="800"/>
      </w:pPr>
      <w:r>
        <w:rPr>
          <w:rFonts w:ascii="Calibri" w:cs="Calibri" w:eastAsia="Calibri" w:hAnsi="Calibri"/>
          <w:b w:val="false"/>
          <w:bCs w:val="false"/>
          <w:sz w:val="20"/>
          <w:szCs w:val="20"/>
        </w:rPr>
        <w:t xml:space="preserve">5.3.3 Sequenzdiagramme	15</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21</w:t>
      </w:r>
    </w:p>
    <w:p>
      <w:pPr>
        <w:tabs>
          <w:tab w:val="right" w:pos="9026" w:leader="dot"/>
        </w:tabs>
        <w:spacing w:after="40"/>
        <w:ind w:left="0"/>
      </w:pPr>
      <w:r>
        <w:rPr>
          <w:rFonts w:ascii="Calibri" w:cs="Calibri" w:eastAsia="Calibri" w:hAnsi="Calibri"/>
          <w:b/>
          <w:bCs/>
          <w:sz w:val="22"/>
          <w:szCs w:val="22"/>
        </w:rPr>
        <w:t xml:space="preserve">6 Probleme und Herausforderungen	22</w:t>
      </w:r>
    </w:p>
    <w:p>
      <w:pPr>
        <w:tabs>
          <w:tab w:val="right" w:pos="9026" w:leader="dot"/>
        </w:tabs>
        <w:spacing w:after="40"/>
        <w:ind w:left="0"/>
      </w:pPr>
      <w:r>
        <w:rPr>
          <w:rFonts w:ascii="Calibri" w:cs="Calibri" w:eastAsia="Calibri" w:hAnsi="Calibri"/>
          <w:b/>
          <w:bCs/>
          <w:sz w:val="22"/>
          <w:szCs w:val="22"/>
        </w:rPr>
        <w:t xml:space="preserve">7 Feedback	23</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23</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23</w:t>
      </w:r>
    </w:p>
    <w:p>
      <w:pPr>
        <w:tabs>
          <w:tab w:val="right" w:pos="9026" w:leader="dot"/>
        </w:tabs>
        <w:spacing w:after="40"/>
        <w:ind w:left="0"/>
      </w:pPr>
      <w:r>
        <w:rPr>
          <w:rFonts w:ascii="Calibri" w:cs="Calibri" w:eastAsia="Calibri" w:hAnsi="Calibri"/>
          <w:b/>
          <w:bCs/>
          <w:sz w:val="22"/>
          <w:szCs w:val="22"/>
        </w:rPr>
        <w:t xml:space="preserve">Anhang A: Abgabestruktur	23</w:t>
      </w:r>
    </w:p>
    <w:p>
      <w:pPr>
        <w:tabs>
          <w:tab w:val="right" w:pos="9026" w:leader="dot"/>
        </w:tabs>
        <w:spacing w:after="40"/>
        <w:ind w:left="0"/>
      </w:pPr>
      <w:r>
        <w:rPr>
          <w:rFonts w:ascii="Calibri" w:cs="Calibri" w:eastAsia="Calibri" w:hAnsi="Calibri"/>
          <w:b/>
          <w:bCs/>
          <w:sz w:val="22"/>
          <w:szCs w:val="22"/>
        </w:rPr>
        <w:t xml:space="preserve">Anhang B: Die zehn BPMN-Kollaborationsdiagramme	25</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wurde von sechs Studierenden des Kurses WWI25B4 bearbeitet. Das Team hat sich zu Beginn des Semesters konstituiert und die Zuständigkeiten nach dem Scrum-Vorgehensmodell verteilt (Kapitel 4): Jedes Artefakt hat eine verantwortliche Person, die Projektleitung ist Ansprechpartnerin für den Dozenten, und die Qualitätssicherung übernimmt eine Person, die nicht selbst modelliert.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Ansprechpartnerin für den Dozenten, 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Camunda, VP-Server), Termine, Abgabe-Check</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Klassen- und Sequenzdiagramme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Camunda-Repository,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60"/>
      </w:pPr>
    </w:p>
    <w:p>
      <w:pPr>
        <w:spacing w:after="120" w:line="276"/>
        <w:jc w:val="both"/>
      </w:pPr>
      <w:r>
        <w:rPr>
          <w:rFonts w:ascii="Calibri" w:cs="Calibri" w:eastAsia="Calibri" w:hAnsi="Calibri"/>
          <w:sz w:val="22"/>
          <w:szCs w:val="22"/>
        </w:rPr>
        <w:t xml:space="preserve">Als „Dokumanager" haben wir zusätzlich das KI-Werkzeug Claude (Anthropic) eingesetzt: für Struktur und Formulierungsvorschläge dieser Dokumentation, für die Pflege des Entscheidungslogs im Git-Repository, für Konsistenzprüfungen zwischen den Modellen und für die Erzeugung der BPMN-Rohdiagramme aus unserer Prozessspezifikation. Die fachlichen Modellierungsentscheidungen, die finalen Modelle in Camunda Modeler und Visual Paradigm und die Präsentation hat das Team erarbeitet und verantwortet es. </w:t>
      </w:r>
      <w:r>
        <w:rPr>
          <w:rFonts w:ascii="Calibri" w:cs="Calibri" w:eastAsia="Calibri" w:hAnsi="Calibri"/>
          <w:i/>
          <w:iCs/>
          <w:sz w:val="22"/>
          <w:szCs w:val="22"/>
          <w:shd w:fill="FFF2A8" w:color="auto" w:val="clear"/>
        </w:rPr>
        <w:t xml:space="preserve">[Gruppe: Falls eine KI-Nutzungserklärung verlangt wird: geforderten Wortlaut einsetzen]</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Unabhängige Reparaturwerkstätten für Fahrräder, E-Bikes und Consumer-Elektronik arbeiten heute oft mit Papier-Auftragszetteln, Excel-Listen und Telefon. Das Reparaturgeschäft wächst, weil E-Bikes wartungsintensiv sind und das Recht auf Reparatur die Nachfrage nach Elektronikreparaturen stützt. Die Abläufe in den Werkstätten halten damit nicht Schritt.</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Aus Gesprächen mit dem Werkstattleiter und aus dem Ist-Ablauf ergeben sich vier wiederkehrende Probleme:</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Plattform entwickelt haben.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Werkstattsoftware gibt es bereits, meist entweder für Fahrradwerkstätten (fixdesk, RO App, Repero) oder für Elektronikreparaturen (RepairDesk, RepairShopr). Keine der verbreiteten Lösungen kombiniert beide Reparaturwelten oder deckt die Ersatzteilversorgung über mehrere Filialen ab. RepairFlow unterscheidet sich in drei Punkten: eine Plattform für Fahrrad, E-Bike und Elektronik mit gemeinsamem Ersatzteillager; eine filialübergreifende Ersatzteil-Disposition mit Beständen, Reservierungen und Umlagerungen über alle Standorte; und die KI-Sofortdiagnose, die dem Kunden einen Diagnosevorschlag mit vorläufigem Kostenvoranschlag liefert, bevor er die Werkstatt betritt (Abschnitt 2.6).</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574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Er durchläuft einen festen Lebenszyklus, den alle Modelle gemeinsam verwenden: angenommen, in Diagnose, KVA offen, freigegeben oder abgelehnt, Teile bestellt, in Reparatur, fertig, abgeholt. Die zehn Geschäftsprozesse in Kapitel 5 sind die Übergänge dieses Automaten, das Klassendiagramm führt ihn als Attribut status mit der Aufzählung AuftragStatus, und die Sequenzdiagramme markieren jeden Statuswechsel. Abbildung 2 zeigt den Zustandsautomaten als UML-Zustandsdiagramm.</w:t>
      </w:r>
    </w:p>
    <w:p>
      <w:pPr>
        <w:keepNext/>
        <w:spacing w:after="0" w:before="120"/>
        <w:jc w:val="center"/>
      </w:pPr>
      <w:r>
        <w:drawing>
          <wp:inline distT="0" distB="0" distL="0" distR="0">
            <wp:extent cx="409575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7720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entsteht eine Voranmeldung, und die benötigten Teile werden bereits vorreserviert. Bei der Annahme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Medien werden nur mit Einwilligung des Kunden verarbeitet und nach Abschluss des Auftrags gelöscht.</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2600"/>
        <w:gridCol w:w="6160"/>
      </w:tblGrid>
      <w:tr>
        <w:trPr>
          <w:tblHeader/>
        </w:trPr>
        <w:tc>
          <w:tcPr>
            <w:tcW w:type="dxa" w:w="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Rückmeldung: Perspektive klären (Betreiber oder Solution Provider) und ein Alleinstellungsmerkmal ergänzen. Entscheidung für Solution Provider und KI-Sofortdiagnose, dokumentiert im Entscheidungslog. </w:t>
            </w:r>
            <w:r>
              <w:rPr>
                <w:rFonts w:ascii="Calibri" w:cs="Calibri" w:eastAsia="Calibri" w:hAnsi="Calibri"/>
                <w:i/>
                <w:iCs/>
                <w:sz w:val="22"/>
                <w:szCs w:val="22"/>
                <w:shd w:fill="FFF2A8" w:color="auto" w:val="clear"/>
              </w:rPr>
              <w:t xml:space="preserve">[Gruppe: Datum des Pitches prüfen]</w:t>
            </w:r>
          </w:p>
        </w:tc>
      </w:tr>
      <w:tr>
        <w:trPr>
          <w:cantSplit/>
        </w:trPr>
        <w:tc>
          <w:tcPr>
            <w:tcW w:type="dxa" w:w="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Aufnahme der Ist-Abläufe beim Pilotkunden, Ableitung der Soll-Prozesse mit RepairFlow, Festlegung der Prozessliste mit zehn Kollaborationsdiagrammen und der Namenskonventionen als Single Source of Truth.</w:t>
            </w:r>
          </w:p>
        </w:tc>
      </w:tr>
      <w:tr>
        <w:trPr>
          <w:cantSplit/>
        </w:trPr>
        <w:tc>
          <w:tcPr>
            <w:tcW w:type="dxa" w:w="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Empty Pools für Kunde und Lieferant, Datenobjekte und Datenspeicher. Prüfung mit dem Linter des Camunda Modelers.</w:t>
            </w:r>
          </w:p>
        </w:tc>
      </w:tr>
      <w:tr>
        <w:trPr>
          <w:cantSplit/>
        </w:trPr>
        <w:tc>
          <w:tcPr>
            <w:tcW w:type="dxa" w:w="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fünf Sequenzdiagramme zu den interaktionsreichsten Use Cases, Zustandsdiagramm des Reparaturauftrags. Umsetzung in Visual Paradigm mit Teamwork-Server.</w:t>
            </w:r>
          </w:p>
        </w:tc>
      </w:tr>
      <w:tr>
        <w:trPr>
          <w:cantSplit/>
        </w:trPr>
        <w:tc>
          <w:tcPr>
            <w:tcW w:type="dxa" w:w="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Abschlusspräsentation mit Zuordnung der Vortragenden, Zusammenstellung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Diagramme sind so angereichert, dass das Problems-Panel des Modelers keine Fehler meldet: Task-Definitionen für automatisierte Aktivitäten, Message-Subscriptions für empfangende Elemente, ISO-Dauern für Timer und FEEL-Bedingungen an allen Gateway-Ausgängen.</w:t>
      </w:r>
    </w:p>
    <w:p>
      <w:pPr>
        <w:pStyle w:val="ListParagraph"/>
        <w:numPr>
          <w:ilvl w:val="0"/>
          <w:numId w:val="2"/>
        </w:numPr>
        <w:spacing w:after="60" w:line="264"/>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Use-Case-, Klassen- und Sequenzdiagramme, mit dem Teamwork-Server der DHBW als gemeinsamem Repository (WWI25B4G1). Das Klassen- und Use-Case-Modell haben wir zusätzlich als XMI vorgehalten, damit es tool-unabhängig importierbar bleibt.</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Zwischenform der UML-Modelle. Aus einer gemeinsamen Modellbeschreibung entstehen Diagrammbilder für Dokumentation und Präsentation sowie die XMI-Datei für Visual Paradigm; so bleiben Klassennamen, Attribute und Operationen an allen Stellen identisch.</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ein Start- und ein Endereignis;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Techniker, Disponent und Werkstattleiter sind in BPMN Lanes beziehungsweise Pools, im Use-Case-Diagramm Akteure und in den Sequenzdiagrammen Akteure.</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Ablage im Git-Repository über einen Pull Request mit Review durch eine zweite Person, Ablage im jeweiligen Fach-Repository (Camunda beziehungsweise VP-Teamwork-Server), Einhaltung der Namens- und Modellierungskonventionen und Abnahme über die QA-Checkliste des Qualitätsmanagers. Die BPMN-Dateien prüfen wir zusätzlich automatisiert mit zwei Werkzeugen: dem Linter des Camunda Modelers (Problems-Panel, Regelsatz Camunda 8.7) und dem allgemeinen bpmnlint-Regelsatz „recommended". Geprüft werden unter anderem: genau ein Startereignis, kein Flussobjekt ohne Ein- und Ausgang, Bedingungen an allen Ausgängen exklusiver Gateways, keine Zusammenführung mit einem Verzweigungs-Gateway, Beschriftung aller Aktivitäten und Ereignisse, gültige Endpunkte aller Nachrichtenflüsse. Beide Prüfungen laufen für alle zehn Diagramme ohne Befund.</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die Abweichungen und ihre Korrekturen stehen in Kapitel 6.</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eine Projektleitung als Ansprechpartnerin für den Dozenten, wie es die Aufgabenstellung verlangt.</w:t>
      </w:r>
    </w:p>
    <w:p>
      <w:pPr>
        <w:spacing w:after="120" w:line="276"/>
        <w:jc w:val="both"/>
      </w:pPr>
      <w:r>
        <w:rPr>
          <w:rFonts w:ascii="Calibri" w:cs="Calibri" w:eastAsia="Calibri" w:hAnsi="Calibri"/>
          <w:sz w:val="22"/>
          <w:szCs w:val="22"/>
        </w:rPr>
        <w:t xml:space="preserve">Als Sprint-Takt dienen die Gruppentermine in Präsenz (jeweils 4:15 Stunden): Jeder Termin beginnt mit Sprint Review und Retrospektive des vorangegangenen Sprints und dem Sprint Planning des nächsten; das Feedback des Dozenten aus dem Coaching wird direkt im Planning eingeplant. Zwischen den Terminen arbeiten wir asynchron über das Repository und stimmen uns in einem wöchentlichen Kurz-Meeting online ab. </w:t>
      </w:r>
      <w:r>
        <w:rPr>
          <w:rFonts w:ascii="Calibri" w:cs="Calibri" w:eastAsia="Calibri" w:hAnsi="Calibri"/>
          <w:i/>
          <w:iCs/>
          <w:sz w:val="22"/>
          <w:szCs w:val="22"/>
          <w:shd w:fill="FFF2A8" w:color="auto" w:val="clear"/>
        </w:rPr>
        <w:t xml:space="preserve">[Gruppe: Kommunikationskanal und Wochentag des Online-Meetings eintragen]</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Trello-Board; zehn BPMN-Diagramme je zwei Personen zugeordnet und vom Teampartner gegen die QA-Checkliste geprüft; Use-Case- und Klassendiagramm für Visual Paradigm vorbereitet;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Review-Befunde in den BPMN-Dateien einarbeiten, Modelle im Camunda Modeler nachziehen, Sequenzdiagramme als Unterdiagramme der Use Cases in Visual Paradigm, Dokumentationskapitel 1 bis 4</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BPMN-Freeze mit BPMN-Archiv, UML-Freeze mit VPP-Datei, Dokumentation fertig, Folien mit finalen Diagrammen, Sprechtexte</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 bis 20 Minuten im Plenum, alle Gruppenmitglieder tragen vor; Kapitel 6 und 7 abschließen; Abgabe-Archiv Fallstudie-WWI25B4-Gruppe1.zip über Moodle, jede Person lädt es selbst hoch</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Am ersten Gruppentermin waren das zehn Karten für die BPMN-Diagramme (je zwei pro Person),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Screenshot des Trello-Boards (Stand 05.10.) einfügen;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keine direkten Commits auf main, ein Branch je Aufgabe, Pull Request mit Beschreibung, Review durch ein anderes Teammitglied, Definition of Done.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mit Datum, Begründung und Auswirkung im Entscheidungslog, Rückmeldungen des Dozenten in einer eigenen Datei.</w:t>
      </w:r>
    </w:p>
    <w:p>
      <w:pPr>
        <w:spacing w:after="120" w:line="276"/>
        <w:jc w:val="both"/>
      </w:pPr>
      <w:r>
        <w:rPr>
          <w:rFonts w:ascii="Calibri" w:cs="Calibri" w:eastAsia="Calibri" w:hAnsi="Calibri"/>
          <w:sz w:val="22"/>
          <w:szCs w:val="22"/>
        </w:rPr>
        <w:t xml:space="preserve">Die Modellierungswerkzeuge haben jeweils ein eigenes Repository (Camunda beziehungsweise VP-Teamwork-Server); zusätzlich liegen Exporte und lokale Sicherungen (BPMN-XML, PlantUML, XMI, VPP) im Git, damit jederzeit ein vollständiger Stand wiederhergestellt werden kann. Office-Dateien lassen sich nicht mergen; wer Dokumentation oder Folien bearbeitet, stimmt das vorher im Team ab.</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Lehre-VPN eingerichtet, regelmäßige lokale Sicherung der VPP-Datei über „Save Project As", XMI-Export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0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Jeder Teil der Präsentation hat eine Vertretung, Folien liegen im Repository</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Teilprozesse für Reklamation und Retoure. Tabelle 1 fasst die Prozesse zusammen, Anhang B zeigt alle Diagramme in voller Größe. Die Diagramme liegen im Repository unter bpmn/p01-sofortdiagnose.bpmn bis bpmn/p10-retoure.bpmn und als XML-Export in BPMN-WWI25B4-Gruppe1.zip.</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(45 %)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(67 %)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(77 %)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Fehlteile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eingegangen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(62 %)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verfügbar</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(36 %)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(67 %)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(54 %)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 (55 %)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 xml:space="preserve">Insgesamt enthalten die zehn Diagramme 120 Aktivitäten, im Durchschnitt also 12.0 je Diagramm, dazu 31 Nachrichtenflüsse zwischen den Pools und 47 Datenobjekte und Datenspeicher. Jeder Prozess hat genau ein Start- und ein Endereignis; alternative Ausgänge werden mit exklusiven Gateways zusammengeführt.</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Unternehmen und deshalb eigene Pools, als Empty Pools ohne innere Logik, mit denen ausschließlich über Nachrichtenflüsse kommuniziert wird.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Auftragsbestätigung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RepairFlow prüft die Medien, lässt sie vom KI-Dienst auswerten, berechnet einen vorläufigen Kostenvoranschlag, prüft die Teileverfügbarkeit in allen Filialen und schlägt Filiale und Termin vor. Bestätigt der Kunde, entsteht eine Voranmeldung mit vorreservierten Teilen.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und dokumentiert den Fehlerbefund samt Ersatzteilbedarf. RepairFlow bewertet die Wirtschaftlichkeit der Reparatur; bei einem wirtschaftlichen Totalschaden wird der Kunde informiert und der Auftrag geschlossen.</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RepairFlow sendet ihn an den Kunden und wartet mit einem ereignisbasierten Gateway auf Freigabe, Ablehnung oder Fristablauf. Bleibt die Reaktion aus, wird der KVA mit Erinnerung erneut gesendet. Nach Freigabe startet die Disposition, nach Ablehnung die Abrechnung der Diagnosepauschale.</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oder per Umlagerung angefordert, Fehlteile für die Bestellung markiert. Ein unterschrittener Meldebestand erzeugt einen Nachbestellvorschlag. Der Kunde erhält den voraussichtlichen Reparaturbeginn.</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Fehlteile werden gebündelt und beim Lieferanten bestellt, bei Überschreitung der Freigabegrenze nach Freigabe durch die Werkstattleitung. Nach Auftragsbestätigung wird der Liefertermin am Auftrag hinterlegt und der Kunde bei Verzögerung informiert. Der Wareneingang wird geprüft und gebucht, mangelhafte Lieferungen gehen in die Retoure.</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in einer Schleife mit Zeiterfassung ab. Ein Zusatzbefund führt zu einem Nachtrags-KVA, den der Kunde freigeben muss. Nach Endkontrolle und Prüfprotokoll wird der Auftrag auf „fertig" gesetzt, bei Mängeln folgt Nacharbeit.</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RepairFlow erstellt die Rechnung aus KVA und Arbeitszeiten und benachrichtigt den Kunden. Wird das Gerät nicht abgeholt, erinnert das System nach 14 Tagen. Bei der Abholung werden Gerät und Rechnung übergeben, die Zahlung erfasst, der Auftrag geschlossen und die Bestände abgeschlossen. Zum Schluss bittet RepairFlow um eine Bewertung.</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dem Ursprungsauftrag zugeordnet. Der Techniker prüft den Mangel, RepairFlow bewertet den Gewährleistungsfall. Im Gewährleistungsfall gibt die Werkstattleitung die kostenfreie Nacharbeit frei, sonst erhält der Kunde ein kostenpflichtiges Angebot. Defekte Lieferantenteile gehen in die Retoure.</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aus, eskaliert die Werkstattleitung. Nach der Freigabe wird das Teil versendet, der Bestand korrigiert und je nach Rückmeldung eine Ersatzlieferung gebucht oder eine Gutschrift verbucht. Wartet eine Reparatur auf das Teil, wird sie fortgesetzt.</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120 Aktivitäten sind 72 automatisierte, regelbasierte, sendende oder empfangende Aktivitäten, also 60 Prozent, die RepairFlow ohne manuelle Arbeit ausführt. Weitere 32 Benutzer-Aktivitäten laufen in der Oberfläche der Plattform. Nur 10 Aktivitäten sind manuell und liegen außerhalb der Systemgrenze. Die Software, die wir in der objektorientierten Analyse entwerfen, automatisiert damit den Reparaturauftrags-Lebenszyklus als zentrales Werkstatt-Management-System:</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und Erinnerungen.</w:t>
      </w:r>
    </w:p>
    <w:p>
      <w:pPr>
        <w:pStyle w:val="ListParagraph"/>
        <w:numPr>
          <w:ilvl w:val="0"/>
          <w:numId w:val="2"/>
        </w:numPr>
        <w:spacing w:after="60" w:line="264"/>
      </w:pPr>
      <w:r>
        <w:rPr>
          <w:rFonts w:ascii="Calibri" w:cs="Calibri" w:eastAsia="Calibri" w:hAnsi="Calibri"/>
          <w:sz w:val="22"/>
          <w:szCs w:val="22"/>
        </w:rPr>
        <w:t xml:space="preserve">Kundenkommunikation an jedem Statusübergang: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je Use Case ein Interaktionsdiagramm, Klassendiagramm, Zustandsdiagramm je Klasse mit Lebenszyklus. Alle Diagramme liegen im Visual-Paradigm-Projekt UML-WWI25B4-Gruppe1.vpp; die Sequenzdiagramme sind dort als Unterdiagramme der zugehörigen Use Cases angelegt.</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18 Use Cases in vier Bereichen (Kundenportal, Auftrag und Werkstatt, Ersatzteil-Disposition, Administration) und sieben Akteure. Primäre Akteure sind Kunde, Techniker, Disponent, Werkstattleiter und Werkstattinhaber; Lieferant und KI-Diagnosedienst sind sekundäre, externe Akteure.</w:t>
      </w:r>
    </w:p>
    <w:p>
      <w:pPr>
        <w:keepNext/>
        <w:spacing w:after="0" w:before="120"/>
        <w:jc w:val="center"/>
      </w:pPr>
      <w:r>
        <w:drawing>
          <wp:inline distT="0" distB="0" distL="0" distR="0">
            <wp:extent cx="55816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5334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schließt „KVA erstellen" immer „Diagnosebefund erfassen" ein, „Ersatzteil reservieren" immer „Ersatzteil-Verfügbarkeit prüfen" und „Rechnung erstellen und Zahlung erfassen" immer die Fertigmeldung. „Voranmeldung bestätigen" erweitert die Sofortdiagnose nur dann, wenn der Kunde den Vorschlag annimmt; „Diagnosevorschlag prüfen" erweitert die Befunderfassung nur, wenn ein KI-Vorschlag vorliegt; „Nachbestellvorschlag bei Meldebestand" erweitert die Verfügbarkeitsprüfung nur bei unterschrittenem Meldebestand; „Reklamation bearbeiten" erweitert den Abschluss nur im Ausnahmefall.</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26 Klassen, darunter die abstrakten Klassen Person und Mitarbeiter, sowie sieben Aufzählungen und 34 Assoziationen. Das vollständige Diagramm liegt im Repository (uml/klassen.png) und im Visual-Paradigm-Projekt; die folgenden zwei Abbildungen zeigen die Ausschnitte Kundenkontakt und Auftragsabwicklung.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Gerät, Fehlerbefund, Kostenvoranschlag und Reparaturschritte existieren nur mit ihrem Auftrag und sind deshalb Kompositionen.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Technikern;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Techniker, Disponent und Werkstattleiter entspricht den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keepNext/>
        <w:spacing w:after="0" w:before="120"/>
        <w:jc w:val="center"/>
      </w:pPr>
      <w:r>
        <w:drawing>
          <wp:inline distT="0" distB="0" distL="0" distR="0">
            <wp:extent cx="571500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95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Klassendiagramm, Ausschnitt Kundenkontakt und KI-Sofortdiagnose</w:t>
      </w:r>
    </w:p>
    <w:p>
      <w:pPr>
        <w:keepNext/>
        <w:spacing w:after="0" w:before="12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Klassendiagramm, Ausschnitt Auftragsabwicklung</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sind Objekte der Klassen aus dem Klassendiagramm, die Botschaften entsprechen deren Operationen, und die kombinierten Fragmente alt, opt und loop bilden Verzweigungen, optionale Schritte und Schleifen ab.</w:t>
      </w:r>
    </w:p>
    <w:p>
      <w:pPr>
        <w:keepNext/>
        <w:spacing w:after="0" w:before="120"/>
        <w:jc w:val="center"/>
      </w:pPr>
      <w:r>
        <w:drawing>
          <wp:inline distT="0" distB="0" distL="0" distR="0">
            <wp:extent cx="5476875"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768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SD1 – Sofortdiagnose anfordern (UC01)</w:t>
      </w:r>
    </w:p>
    <w:p>
      <w:pPr>
        <w:spacing w:after="120" w:line="276"/>
        <w:jc w:val="both"/>
      </w:pPr>
      <w:r>
        <w:rPr>
          <w:rFonts w:ascii="Calibri" w:cs="Calibri" w:eastAsia="Calibri" w:hAnsi="Calibri"/>
          <w:sz w:val="22"/>
          <w:szCs w:val="22"/>
        </w:rPr>
        <w:t xml:space="preserve">SD1 zeigt den Kern des Alleinstellungsmerkmals: Die Voranmeldung lässt jeden Medienanhang analysieren, erzeugt über den KIDiagnosevorschlag einen vorläufigen Kostenvoranschlag, prüft je Ersatzteil und Filiale den Lagerbestand und holt freie Termine der Filiale. Das äußere alt unterscheidet auswertbare von nicht auswertbaren Medien, das innere alt die Bestätigung des Kunden vom Fristablauf; das opt reserviert Teile nur, wenn sie verfügbar sind.</w:t>
      </w:r>
    </w:p>
    <w:p>
      <w:pPr>
        <w:keepNext/>
        <w:spacing w:after="0" w:before="120"/>
        <w:jc w:val="center"/>
      </w:pPr>
      <w:r>
        <w:drawing>
          <wp:inline distT="0" distB="0" distL="0" distR="0">
            <wp:extent cx="36385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38550"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SD2 – KVA freigeben / ablehnen (UC07)</w:t>
      </w:r>
    </w:p>
    <w:p>
      <w:pPr>
        <w:spacing w:after="120" w:line="276"/>
        <w:jc w:val="both"/>
      </w:pPr>
      <w:r>
        <w:rPr>
          <w:rFonts w:ascii="Calibri" w:cs="Calibri" w:eastAsia="Calibri" w:hAnsi="Calibri"/>
          <w:sz w:val="22"/>
          <w:szCs w:val="22"/>
        </w:rPr>
        <w:t xml:space="preserve">SD2 beschreibt die Freigabeschleife: Der Techniker baut den Kostenvoranschlag aus Positionen auf, der Auftrag wechselt auf „KVA offen", die loop erinnert den Kunden bis zur Reaktion, und das alt verzweigt in Freigabe (Start der Disposition) oder Ablehnung (Abholaufforderung ohne Reparatur).</w:t>
      </w:r>
    </w:p>
    <w:p>
      <w:pPr>
        <w:keepNext/>
        <w:spacing w:after="0" w:before="120"/>
        <w:jc w:val="center"/>
      </w:pPr>
      <w:r>
        <w:drawing>
          <wp:inline distT="0" distB="0" distL="0" distR="0">
            <wp:extent cx="50673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67300"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SD3 – Ersatzteil reservieren, filialübergreifend (UC09)</w:t>
      </w:r>
    </w:p>
    <w:p>
      <w:pPr>
        <w:spacing w:after="120" w:line="276"/>
        <w:jc w:val="both"/>
      </w:pPr>
      <w:r>
        <w:rPr>
          <w:rFonts w:ascii="Calibri" w:cs="Calibri" w:eastAsia="Calibri" w:hAnsi="Calibri"/>
          <w:sz w:val="22"/>
          <w:szCs w:val="22"/>
        </w:rPr>
        <w:t xml:space="preserve">SD3 ist der fachliche Mehrwert der Disposition: Je Teil prüft der Disponent zuerst den eigenen Lagerbestand, dann in einer Schleife die anderen Filialen. Das verschachtelte alt entscheidet zwischen lokaler Reservierung, Reservierung mit Umlagerung und Fehlteilmeldung; das opt erzeugt bei unterschrittenem Meldebestand einen Nachbestellvorschlag.</w:t>
      </w:r>
    </w:p>
    <w:p>
      <w:pPr>
        <w:keepNext/>
        <w:spacing w:after="0" w:before="120"/>
        <w:jc w:val="center"/>
      </w:pPr>
      <w:r>
        <w:drawing>
          <wp:inline distT="0" distB="0" distL="0" distR="0">
            <wp:extent cx="55435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43550"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SD4 – Auftrag fertigmelden und Kunde benachrichtigen (UC14)</w:t>
      </w:r>
    </w:p>
    <w:p>
      <w:pPr>
        <w:spacing w:after="120" w:line="276"/>
        <w:jc w:val="both"/>
      </w:pPr>
      <w:r>
        <w:rPr>
          <w:rFonts w:ascii="Calibri" w:cs="Calibri" w:eastAsia="Calibri" w:hAnsi="Calibri"/>
          <w:sz w:val="22"/>
          <w:szCs w:val="22"/>
        </w:rPr>
        <w:t xml:space="preserve">SD4 knüpft den Statuswechsel auf „fertig" an die Bedingung, dass alle Reparaturschritte abgeschlossen sind. Erst dann entsteht die Rechnung und der Kunde wird benachrichtigt, wahlweise zusätzlich per Push-Nachricht der App.</w:t>
      </w:r>
    </w:p>
    <w:p>
      <w:pPr>
        <w:keepNext/>
        <w:spacing w:after="0" w:before="12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14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SD5 – Reklamation bearbeiten (UC16)</w:t>
      </w:r>
    </w:p>
    <w:p>
      <w:pPr>
        <w:spacing w:after="120" w:line="276"/>
        <w:jc w:val="both"/>
      </w:pPr>
      <w:r>
        <w:rPr>
          <w:rFonts w:ascii="Calibri" w:cs="Calibri" w:eastAsia="Calibri" w:hAnsi="Calibri"/>
          <w:sz w:val="22"/>
          <w:szCs w:val="22"/>
        </w:rPr>
        <w:t xml:space="preserve">SD5 zeigt die Gewährleistungsentscheidung anhand von Reparatur- und Rechnungsdatum. Im Gewährleistungsfall startet ein neuer, kostenfreier Auftragszyklus; sonst erhält der Kunde ein Angebot, das in einen neuen Kostenvoranschlag und damit zurück in SD2 mündet oder zur Schließung ohne Reparatur führt.</w:t>
      </w:r>
    </w:p>
    <w:p>
      <w:pPr>
        <w:keepNext/>
        <w:spacing w:after="0" w:before="120"/>
        <w:jc w:val="center"/>
      </w:pPr>
      <w:r>
        <w:drawing>
          <wp:inline distT="0" distB="0" distL="0" distR="0">
            <wp:extent cx="56007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00700"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SD6 – Nachbestellvorschlag bei Meldebestand und Lieferantenbestellung auslösen (UC12, UC10)</w:t>
      </w:r>
    </w:p>
    <w:p>
      <w:pPr>
        <w:spacing w:after="120" w:line="276"/>
        <w:jc w:val="both"/>
      </w:pPr>
      <w:r>
        <w:rPr>
          <w:rFonts w:ascii="Calibri" w:cs="Calibri" w:eastAsia="Calibri" w:hAnsi="Calibri"/>
          <w:sz w:val="22"/>
          <w:szCs w:val="22"/>
        </w:rPr>
        <w:t xml:space="preserve">SD6 verbindet Disposition und Beschaffung: Ein Abgang am Lagerbestand löst die Meldebestandsprüfung aus. Ist der Meldebestand unterschritten, erhält der Disponent einen Nachbestellvorschlag, ermittelt den Vorzugslieferanten und ergänzt entweder eine offene Bestellung oder löst eine neue aus. Das opt holt oberhalb der Freigabegrenze die Freigabe des Werkstattleiters ein, bevor die Bestellung übermittelt und mit dem Liefertermin des Lieferanten bestätigt wird; das entspricht Prozess 06.</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drei Modelle sind über drei Klammern verbunden: Erstens tragen die Datenobjekte der BPMN-Diagramme die Klassennamen des Klassendiagramms, teilweise mit dem Zustand in eckigen Klammern. Zweitens entsprechen die Lanes und Pools der Prozesse den Akteuren des Use-Case-Diagramms und den Unterklassen von Mitarbeiter beziehungsweise der Klasse Kunde. Drittens folgen Sequenzdiagramme, Datenobjekt-Zustände und Zustandsdiagramm demselben Zustandsautomaten, sodass jeder Statuswechsel in genau einem Prozess, einer Operation und einem Zustandsübergang wiederzufinden ist. Tabelle 2 zeigt die Zuordnung.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Lagerbestand, ErsatzteilReservierung, Reparaturauftrag [Teile bestellt]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UC14, 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Werkstattleiter</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beide Linter ohne Befund passieren;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je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Wir haben eine gemeinsame Modellbeschreibung eingeführt, aus der Klassendiagramm, XMI und die Namen in den anderen Modellen stammen.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das entspricht dem in der Vorlesung beschriebenen Weg vom fachlichen zum ausführbaren Modell.</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nur aus der obersten Zeile einer Lane nach außen laufen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Fallstudie hat uns gezeigt, wie viel Abstimmung nötig ist, damit Prozessmodell, Use Cases und Klassenmodell zusammenpassen. Das Wechselspiel aus Coaching-Terminen und eigenständiger Arbeit hat gut funktioniert, weil wir das Feedback direkt einarbeiten konnten. Hilfreich wäre aus unserer Sicht eine frühere Klarstellung gewesen, wie streng die Vorgabe „durchschnittlich zehn Aktivitäten" gemeint ist und ob die Camunda Cloud als Repository verpflichtend ist oder ein eigenes Git-Repository genügt.</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r>
        <w:rPr>
          <w:rFonts w:ascii="Calibri" w:cs="Calibri" w:eastAsia="Calibri" w:hAnsi="Calibri"/>
          <w:sz w:val="22"/>
          <w:szCs w:val="22"/>
        </w:rPr>
        <w:t xml:space="preserve">Das Abgabe-Archiv Fallstudie-WWI25B4-Gruppe1.zip enthält: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(p01-sofortdiagnose.bpmn bis p10-retoure.bpmn), Export aus dem Camunda Modeler (im Repository: bpmn/)</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Visual-Paradigm-Projekt mit Use-Case-, Klassen-, sechs Sequenz- und einem Zustandsdiagramm (im Repository: uml/ als PlantUML, PNG und XMI)</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7"/>
          <w:footerReference w:type="default" r:id="rId8"/>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3086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01 KI-Sofortdiagnose und Voranmeldung (Pools: Werkstattbetrieb, Kunde)</w:t>
      </w:r>
    </w:p>
    <w:p>
      <w:r>
        <w:br w:type="page"/>
      </w:r>
    </w:p>
    <w:p>
      <w:pPr>
        <w:keepNext/>
        <w:spacing w:after="0" w:before="120"/>
        <w:jc w:val="center"/>
      </w:pPr>
      <w:r>
        <w:drawing>
          <wp:inline distT="0" distB="0" distL="0" distR="0">
            <wp:extent cx="9144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1813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02 Auftragsannahme, Geräteregistrierung und Terminplanung (Pools: Werkstattbetrieb, Kunde)</w:t>
      </w:r>
    </w:p>
    <w:p>
      <w:r>
        <w:br w:type="page"/>
      </w:r>
    </w:p>
    <w:p>
      <w:pPr>
        <w:keepNext/>
        <w:spacing w:after="0" w:before="120"/>
        <w:jc w:val="center"/>
      </w:pPr>
      <w:r>
        <w:drawing>
          <wp:inline distT="0" distB="0" distL="0" distR="0">
            <wp:extent cx="9144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981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03 Fehlerdiagnose (Pools: Werkstattbetrieb, Kunde)</w:t>
      </w:r>
    </w:p>
    <w:p>
      <w:r>
        <w:br w:type="page"/>
      </w:r>
    </w:p>
    <w:p>
      <w:pPr>
        <w:keepNext/>
        <w:spacing w:after="0" w:before="120"/>
        <w:jc w:val="center"/>
      </w:pPr>
      <w:r>
        <w:drawing>
          <wp:inline distT="0" distB="0" distL="0" distR="0">
            <wp:extent cx="9144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6479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04 Kostenvoranschlag und Kundenfreigabe (Pools: Werkstattbetrieb, Kunde)</w:t>
      </w:r>
    </w:p>
    <w:p>
      <w:r>
        <w:br w:type="page"/>
      </w:r>
    </w:p>
    <w:p>
      <w:pPr>
        <w:keepNext/>
        <w:spacing w:after="0" w:before="120"/>
        <w:jc w:val="center"/>
      </w:pPr>
      <w:r>
        <w:drawing>
          <wp:inline distT="0" distB="0" distL="0" distR="0">
            <wp:extent cx="914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381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05 Ersatzteil-Verfügbarkeit und Reservierung (Pools: Werkstattbetrieb, Kunde)</w:t>
      </w:r>
    </w:p>
    <w:p>
      <w:r>
        <w:br w:type="page"/>
      </w:r>
    </w:p>
    <w:p>
      <w:pPr>
        <w:keepNext/>
        <w:spacing w:after="0" w:before="120"/>
        <w:jc w:val="center"/>
      </w:pPr>
      <w:r>
        <w:drawing>
          <wp:inline distT="0" distB="0" distL="0" distR="0">
            <wp:extent cx="914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743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06 Ersatzteil-Bestellung beim Lieferanten (Pools: Werkstattbetrieb, Lieferant, Kunde)</w:t>
      </w:r>
    </w:p>
    <w:p>
      <w:r>
        <w:br w:type="page"/>
      </w:r>
    </w:p>
    <w:p>
      <w:pPr>
        <w:keepNext/>
        <w:spacing w:after="0" w:before="120"/>
        <w:jc w:val="center"/>
      </w:pPr>
      <w:r>
        <w:drawing>
          <wp:inline distT="0" distB="0" distL="0" distR="0">
            <wp:extent cx="9144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27908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07 Reparaturdurchführung und Arbeitszeiterfassung (Pools: Werkstattbetrieb, Kunde)</w:t>
      </w:r>
    </w:p>
    <w:p>
      <w:r>
        <w:br w:type="page"/>
      </w:r>
    </w:p>
    <w:p>
      <w:pPr>
        <w:keepNext/>
        <w:spacing w:after="0" w:before="120"/>
        <w:jc w:val="center"/>
      </w:pPr>
      <w:r>
        <w:drawing>
          <wp:inline distT="0" distB="0" distL="0" distR="0">
            <wp:extent cx="9144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219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08 Abholung, Rechnung und Zahlung (Pools: Werkstattbetrieb, Kunde)</w:t>
      </w:r>
    </w:p>
    <w:p>
      <w:r>
        <w:br w:type="page"/>
      </w:r>
    </w:p>
    <w:p>
      <w:pPr>
        <w:keepNext/>
        <w:spacing w:after="0" w:before="120"/>
        <w:jc w:val="center"/>
      </w:pPr>
      <w:r>
        <w:drawing>
          <wp:inline distT="0" distB="0" distL="0" distR="0">
            <wp:extent cx="914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144000" cy="29241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Prozess 09 Reklamation und Gewährleistung (Pools: Werkstattbetrieb, Kunde)</w:t>
      </w:r>
    </w:p>
    <w:p>
      <w:r>
        <w:br w:type="page"/>
      </w:r>
    </w:p>
    <w:p>
      <w:pPr>
        <w:keepNext/>
        <w:spacing w:after="0" w:before="120"/>
        <w:jc w:val="center"/>
      </w:pPr>
      <w:r>
        <w:drawing>
          <wp:inline distT="0" distB="0" distL="0" distR="0">
            <wp:extent cx="9144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144000" cy="20288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21: Prozess 10 Ersatzteil-Retoure und Lieferanten-Reklamation (Pools: Werkstattbetrieb, Lieferant)</w:t>
      </w:r>
    </w:p>
    <w:sectPr>
      <w:headerReference w:type="default" r:id="rId9"/>
      <w:footerReference w:type="default" r:id="rId10"/>
      <w:pgSz w:w="16838" w:h="11906" w:orient="landscape"/>
      <w:pgMar w:top="10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b3a986c0cce0c40cbac6dc30ca3b4639f4bc4d6.png"/><Relationship Id="rId12" Type="http://schemas.openxmlformats.org/officeDocument/2006/relationships/image" Target="media/ad11507d153b60288170c928e54086d6cb286c1c.png"/><Relationship Id="rId13" Type="http://schemas.openxmlformats.org/officeDocument/2006/relationships/image" Target="media/79abbbed86394fd05a83f511c67fdb59cf9000fe.png"/><Relationship Id="rId14" Type="http://schemas.openxmlformats.org/officeDocument/2006/relationships/image" Target="media/8908606e8ae6b80077e45409e18e73f01b6f94a3.png"/><Relationship Id="rId15" Type="http://schemas.openxmlformats.org/officeDocument/2006/relationships/image" Target="media/6e736e5a92bda50768e65cfba3c070b57c6b6478.png"/><Relationship Id="rId16" Type="http://schemas.openxmlformats.org/officeDocument/2006/relationships/image" Target="media/b86bdf09bb03ca2e2e944f1ce97195086a32e5d3.png"/><Relationship Id="rId17" Type="http://schemas.openxmlformats.org/officeDocument/2006/relationships/image" Target="media/956efe5cb6f8cf1fcc6364e7959bb7099abf651c.png"/><Relationship Id="rId18" Type="http://schemas.openxmlformats.org/officeDocument/2006/relationships/image" Target="media/6af9f3d49bc62792d01e580a4c1cbfd151f3de30.png"/><Relationship Id="rId19" Type="http://schemas.openxmlformats.org/officeDocument/2006/relationships/image" Target="media/22547423f105cabf62a899a0effca394ded05d38.png"/><Relationship Id="rId20" Type="http://schemas.openxmlformats.org/officeDocument/2006/relationships/image" Target="media/89bab2aef1754734af081418dfced375bc32534e.png"/><Relationship Id="rId21" Type="http://schemas.openxmlformats.org/officeDocument/2006/relationships/image" Target="media/f10b2dac69ad964a1e58a3ff616d80c48c639318.png"/><Relationship Id="rId22" Type="http://schemas.openxmlformats.org/officeDocument/2006/relationships/image" Target="media/4d38ab3e90e946b592fd44a2aa6f59782dd9605b.png"/><Relationship Id="rId23" Type="http://schemas.openxmlformats.org/officeDocument/2006/relationships/image" Target="media/a3545175bf931eca237b37832a1b583afe7664fa.png"/><Relationship Id="rId24" Type="http://schemas.openxmlformats.org/officeDocument/2006/relationships/image" Target="media/bd1a859739d4dc36ea81fa0f436aa3623b0c0b6e.png"/><Relationship Id="rId25" Type="http://schemas.openxmlformats.org/officeDocument/2006/relationships/image" Target="media/70aebb755ddc9352722904a06b2d4a61122a7008.png"/><Relationship Id="rId26" Type="http://schemas.openxmlformats.org/officeDocument/2006/relationships/image" Target="media/f69c02fca4ede9a94cc55220c9f2c7aaa947574e.png"/><Relationship Id="rId27" Type="http://schemas.openxmlformats.org/officeDocument/2006/relationships/image" Target="media/6759df7239a7d721f2f51d8934a9662c64a51826.png"/><Relationship Id="rId28" Type="http://schemas.openxmlformats.org/officeDocument/2006/relationships/image" Target="media/69ab219075ece2fa86f600d72e39233b23d0172a.png"/><Relationship Id="rId29" Type="http://schemas.openxmlformats.org/officeDocument/2006/relationships/image" Target="media/36ea5cddf19b8a6a6334de0fcde2294730b7d206.png"/><Relationship Id="rId30" Type="http://schemas.openxmlformats.org/officeDocument/2006/relationships/image" Target="media/810a1da43016964810d40af777e70730872b454e.png"/><Relationship Id="rId31" Type="http://schemas.openxmlformats.org/officeDocument/2006/relationships/image" Target="media/2c5e242c0ec304afee5c220b0164e6b957ba650d.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Un-named</cp:lastModifiedBy>
  <cp:revision>1</cp:revision>
  <dcterms:created xsi:type="dcterms:W3CDTF">2026-09-02T14:37:07.373Z</dcterms:created>
  <dcterms:modified xsi:type="dcterms:W3CDTF">2026-09-02T14:37:07.373Z</dcterms:modified>
</cp:coreProperties>
</file>

<file path=docProps/custom.xml><?xml version="1.0" encoding="utf-8"?>
<Properties xmlns="http://schemas.openxmlformats.org/officeDocument/2006/custom-properties" xmlns:vt="http://schemas.openxmlformats.org/officeDocument/2006/docPropsVTypes"/>
</file>