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rFonts w:ascii="Calibri" w:cs="Calibri" w:eastAsia="Calibri" w:hAnsi="Calibri"/>
          <w:color w:val="595959"/>
          <w:sz w:val="24"/>
          <w:szCs w:val="24"/>
        </w:rPr>
        <w:t xml:space="preserve">Duale Hochschule Baden-Württemberg Karlsruhe</w:t>
      </w:r>
    </w:p>
    <w:p>
      <w:pPr>
        <w:spacing w:after="120"/>
        <w:jc w:val="center"/>
      </w:pPr>
      <w:r>
        <w:rPr>
          <w:rFonts w:ascii="Calibri" w:cs="Calibri" w:eastAsia="Calibri" w:hAnsi="Calibri"/>
          <w:color w:val="595959"/>
          <w:sz w:val="22"/>
          <w:szCs w:val="22"/>
        </w:rPr>
        <w:t xml:space="preserve">Studiengang Wirtschaftsinformatik · Modul Methoden der Wirtschaftsinformatik</w:t>
      </w:r>
    </w:p>
    <w:p>
      <w:pPr>
        <w:spacing w:after="120"/>
        <w:jc w:val="center"/>
      </w:pPr>
      <w:r>
        <w:rPr>
          <w:rFonts w:ascii="Calibri" w:cs="Calibri" w:eastAsia="Calibri" w:hAnsi="Calibri"/>
          <w:color w:val="595959"/>
          <w:sz w:val="22"/>
          <w:szCs w:val="22"/>
        </w:rPr>
        <w:t xml:space="preserve">Fallstudie Systemanalyse · 3. Semester</w:t>
      </w:r>
    </w:p>
    <w:p>
      <w:pPr>
        <w:spacing w:after="900"/>
      </w:pPr>
    </w:p>
    <w:p>
      <w:pPr>
        <w:spacing w:after="120"/>
        <w:jc w:val="center"/>
      </w:pPr>
      <w:r>
        <w:rPr>
          <w:rFonts w:ascii="Calibri" w:cs="Calibri" w:eastAsia="Calibri" w:hAnsi="Calibri"/>
          <w:b/>
          <w:bCs/>
          <w:color w:val="1F3864"/>
          <w:sz w:val="64"/>
          <w:szCs w:val="64"/>
        </w:rPr>
        <w:t xml:space="preserve">RepairFlow</w:t>
      </w:r>
    </w:p>
    <w:p>
      <w:pPr>
        <w:spacing w:after="120"/>
        <w:jc w:val="center"/>
      </w:pPr>
      <w:r>
        <w:rPr>
          <w:rFonts w:ascii="Calibri" w:cs="Calibri" w:eastAsia="Calibri" w:hAnsi="Calibri"/>
          <w:color w:val="1F3864"/>
          <w:sz w:val="30"/>
          <w:szCs w:val="30"/>
        </w:rPr>
        <w:t xml:space="preserve">Werkstatt-Management als SaaS-Plattform mit KI-Sofortdiagnose</w:t>
      </w:r>
    </w:p>
    <w:p>
      <w:pPr>
        <w:spacing w:after="400"/>
      </w:pPr>
    </w:p>
    <w:p>
      <w:pPr>
        <w:spacing w:after="120"/>
        <w:jc w:val="center"/>
      </w:pPr>
      <w:r>
        <w:rPr>
          <w:rFonts w:ascii="Calibri" w:cs="Calibri" w:eastAsia="Calibri" w:hAnsi="Calibri"/>
          <w:b/>
          <w:bCs/>
          <w:sz w:val="28"/>
          <w:szCs w:val="28"/>
        </w:rPr>
        <w:t xml:space="preserve">Projektdokumentation</w:t>
      </w:r>
    </w:p>
    <w:p>
      <w:pPr>
        <w:spacing w:after="900"/>
      </w:pPr>
    </w:p>
    <w:p>
      <w:pPr>
        <w:spacing w:after="120"/>
        <w:jc w:val="center"/>
      </w:pPr>
      <w:r>
        <w:rPr>
          <w:rFonts w:ascii="Calibri" w:cs="Calibri" w:eastAsia="Calibri" w:hAnsi="Calibri"/>
          <w:b/>
          <w:bCs/>
          <w:sz w:val="26"/>
          <w:szCs w:val="26"/>
        </w:rPr>
        <w:t xml:space="preserve">Kurs WWI25B4 · Gruppe 1</w:t>
      </w:r>
    </w:p>
    <w:p>
      <w:pPr>
        <w:spacing w:after="200"/>
      </w:pPr>
    </w:p>
    <w:p>
      <w:pPr>
        <w:spacing w:after="120"/>
        <w:jc w:val="center"/>
      </w:pPr>
      <w:r>
        <w:rPr>
          <w:rFonts w:ascii="Calibri" w:cs="Calibri" w:eastAsia="Calibri" w:hAnsi="Calibri"/>
          <w:sz w:val="24"/>
          <w:szCs w:val="24"/>
        </w:rPr>
        <w:t xml:space="preserve">Maximilian Ewald · David Leismann · Kilian Platter</w:t>
      </w:r>
    </w:p>
    <w:p>
      <w:pPr>
        <w:spacing w:after="120"/>
        <w:jc w:val="center"/>
      </w:pPr>
      <w:r>
        <w:rPr>
          <w:rFonts w:ascii="Calibri" w:cs="Calibri" w:eastAsia="Calibri" w:hAnsi="Calibri"/>
          <w:sz w:val="24"/>
          <w:szCs w:val="24"/>
        </w:rPr>
        <w:t xml:space="preserve">Nina Sattler · Jakob Schwan · Adrian Wenzler</w:t>
      </w:r>
    </w:p>
    <w:p>
      <w:pPr>
        <w:spacing w:after="120"/>
        <w:jc w:val="center"/>
      </w:pPr>
      <w:r>
        <w:rPr>
          <w:rFonts w:ascii="Calibri" w:hAnsi="Calibri"/>
          <w:sz w:val="20"/>
        </w:rPr>
        <w:t>Bearbeitungsstand: 12. Oktober 2026</w:t>
      </w:r>
    </w:p>
    <w:p>
      <w:pPr>
        <w:spacing w:after="120"/>
        <w:jc w:val="center"/>
      </w:pPr>
      <w:r>
        <w:rPr>
          <w:rFonts w:ascii="Calibri" w:cs="Calibri" w:eastAsia="Calibri" w:hAnsi="Calibri"/>
          <w:sz w:val="22"/>
          <w:szCs w:val="22"/>
        </w:rPr>
        <w:t xml:space="preserve">Betreuender Dozent: Prof. Dr. Thomas Freytag</w:t>
      </w:r>
    </w:p>
    <w:p>
      <w:pPr>
        <w:spacing w:after="120"/>
        <w:jc w:val="center"/>
      </w:pPr>
      <w:r>
        <w:rPr>
          <w:rFonts w:ascii="Calibri" w:cs="Calibri" w:eastAsia="Calibri" w:hAnsi="Calibri"/>
          <w:sz w:val="22"/>
          <w:szCs w:val="22"/>
        </w:rPr>
        <w:t xml:space="preserve">Abgabe: 13. November 2026</w:t>
      </w:r>
    </w:p>
    <w:p>
      <w:r>
        <w:br w:type="page"/>
      </w:r>
    </w:p>
    <w:p>
      <w:pPr>
        <w:sectPr>
          <w:pgSz w:w="11906" w:h="16838" w:orient="portrait"/>
          <w:pgMar w:top="1300" w:right="1400" w:bottom="1200" w:left="1400" w:header="708" w:footer="708" w:gutter="0"/>
          <w:pgNumType/>
          <w:docGrid w:linePitch="360"/>
        </w:sectPr>
      </w:pPr>
    </w:p>
    <w:p>
      <w:pPr>
        <w:pStyle w:val="Heading1"/>
        <w:spacing w:after="240"/>
      </w:pPr>
      <w:r>
        <w:rPr>
          <w:rFonts w:ascii="Calibri" w:cs="Calibri" w:eastAsia="Calibri" w:hAnsi="Calibri"/>
        </w:rPr>
        <w:t xml:space="preserve">Inhaltsverzeichnis</w:t>
      </w:r>
    </w:p>
    <w:p>
      <w:pPr>
        <w:tabs>
          <w:tab w:val="right" w:pos="9026" w:leader="dot"/>
        </w:tabs>
        <w:spacing w:after="40"/>
        <w:ind w:left="0"/>
      </w:pPr>
      <w:r>
        <w:rPr>
          <w:rFonts w:ascii="Calibri" w:cs="Calibri" w:eastAsia="Calibri" w:hAnsi="Calibri"/>
          <w:b/>
          <w:bCs/>
          <w:sz w:val="22"/>
          <w:szCs w:val="22"/>
        </w:rPr>
        <w:t>1 Mitglieder der Gruppe und Rollen</w:t>
        <w:tab/>
        <w:t>2</w:t>
      </w:r>
    </w:p>
    <w:p>
      <w:pPr>
        <w:tabs>
          <w:tab w:val="right" w:pos="9026" w:leader="dot"/>
        </w:tabs>
        <w:spacing w:after="40"/>
        <w:ind w:left="0"/>
      </w:pPr>
      <w:r>
        <w:rPr>
          <w:rFonts w:ascii="Calibri" w:cs="Calibri" w:eastAsia="Calibri" w:hAnsi="Calibri"/>
          <w:b/>
          <w:bCs/>
          <w:sz w:val="22"/>
          <w:szCs w:val="22"/>
        </w:rPr>
        <w:t>2 Das Projekt RepairFlow</w:t>
        <w:tab/>
        <w:t>3</w:t>
      </w:r>
    </w:p>
    <w:p>
      <w:pPr>
        <w:tabs>
          <w:tab w:val="right" w:pos="9026" w:leader="dot"/>
        </w:tabs>
        <w:spacing w:after="40"/>
        <w:ind w:left="400"/>
      </w:pPr>
      <w:r>
        <w:rPr>
          <w:rFonts w:ascii="Calibri" w:cs="Calibri" w:eastAsia="Calibri" w:hAnsi="Calibri"/>
          <w:b w:val="false"/>
          <w:bCs w:val="false"/>
          <w:sz w:val="20"/>
          <w:szCs w:val="20"/>
        </w:rPr>
        <w:t>2.1 Ausgangslage und Problem</w:t>
        <w:tab/>
        <w:t>3</w:t>
      </w:r>
    </w:p>
    <w:p>
      <w:pPr>
        <w:tabs>
          <w:tab w:val="right" w:pos="9026" w:leader="dot"/>
        </w:tabs>
        <w:spacing w:after="40"/>
        <w:ind w:left="400"/>
      </w:pPr>
      <w:r>
        <w:rPr>
          <w:rFonts w:ascii="Calibri" w:cs="Calibri" w:eastAsia="Calibri" w:hAnsi="Calibri"/>
          <w:b w:val="false"/>
          <w:bCs w:val="false"/>
          <w:sz w:val="20"/>
          <w:szCs w:val="20"/>
        </w:rPr>
        <w:t>2.2 RepairFlow als Solution Provider</w:t>
        <w:tab/>
        <w:t>3</w:t>
      </w:r>
    </w:p>
    <w:p>
      <w:pPr>
        <w:tabs>
          <w:tab w:val="right" w:pos="9026" w:leader="dot"/>
        </w:tabs>
        <w:spacing w:after="40"/>
        <w:ind w:left="400"/>
      </w:pPr>
      <w:r>
        <w:rPr>
          <w:rFonts w:ascii="Calibri" w:cs="Calibri" w:eastAsia="Calibri" w:hAnsi="Calibri"/>
          <w:b w:val="false"/>
          <w:bCs w:val="false"/>
          <w:sz w:val="20"/>
          <w:szCs w:val="20"/>
        </w:rPr>
        <w:t>2.3 Systemkontext und Systemgrenze</w:t>
        <w:tab/>
        <w:t>3</w:t>
      </w:r>
    </w:p>
    <w:p>
      <w:pPr>
        <w:tabs>
          <w:tab w:val="right" w:pos="9026" w:leader="dot"/>
        </w:tabs>
        <w:spacing w:after="40"/>
        <w:ind w:left="400"/>
      </w:pPr>
      <w:r>
        <w:rPr>
          <w:rFonts w:ascii="Calibri" w:cs="Calibri" w:eastAsia="Calibri" w:hAnsi="Calibri"/>
          <w:b w:val="false"/>
          <w:bCs w:val="false"/>
          <w:sz w:val="20"/>
          <w:szCs w:val="20"/>
        </w:rPr>
        <w:t>2.4 Der Reparaturauftrag als roter Faden</w:t>
        <w:tab/>
        <w:t>4</w:t>
      </w:r>
    </w:p>
    <w:p>
      <w:pPr>
        <w:tabs>
          <w:tab w:val="right" w:pos="9026" w:leader="dot"/>
        </w:tabs>
        <w:spacing w:after="40"/>
        <w:ind w:left="400"/>
      </w:pPr>
      <w:r>
        <w:rPr>
          <w:rFonts w:ascii="Calibri" w:cs="Calibri" w:eastAsia="Calibri" w:hAnsi="Calibri"/>
          <w:b w:val="false"/>
          <w:bCs w:val="false"/>
          <w:sz w:val="20"/>
          <w:szCs w:val="20"/>
        </w:rPr>
        <w:t>2.5 Alleinstellungsmerkmal: die KI-Sofortdiagnose</w:t>
        <w:tab/>
        <w:t>4</w:t>
      </w:r>
    </w:p>
    <w:p>
      <w:pPr>
        <w:tabs>
          <w:tab w:val="right" w:pos="9026" w:leader="dot"/>
        </w:tabs>
        <w:spacing w:after="40"/>
        <w:ind w:left="0"/>
      </w:pPr>
      <w:r>
        <w:rPr>
          <w:rFonts w:ascii="Calibri" w:cs="Calibri" w:eastAsia="Calibri" w:hAnsi="Calibri"/>
          <w:b/>
          <w:bCs/>
          <w:sz w:val="22"/>
          <w:szCs w:val="22"/>
        </w:rPr>
        <w:t>3 Vorgehen bei der Umsetzung</w:t>
        <w:tab/>
        <w:t>5</w:t>
      </w:r>
    </w:p>
    <w:p>
      <w:pPr>
        <w:tabs>
          <w:tab w:val="right" w:pos="9026" w:leader="dot"/>
        </w:tabs>
        <w:spacing w:after="40"/>
        <w:ind w:left="400"/>
      </w:pPr>
      <w:r>
        <w:rPr>
          <w:rFonts w:ascii="Calibri" w:cs="Calibri" w:eastAsia="Calibri" w:hAnsi="Calibri"/>
          <w:b w:val="false"/>
          <w:bCs w:val="false"/>
          <w:sz w:val="20"/>
          <w:szCs w:val="20"/>
        </w:rPr>
        <w:t>3.1 Werkzeuge und Konventionen</w:t>
        <w:tab/>
        <w:t>5</w:t>
      </w:r>
    </w:p>
    <w:p>
      <w:pPr>
        <w:tabs>
          <w:tab w:val="right" w:pos="9026" w:leader="dot"/>
        </w:tabs>
        <w:spacing w:after="40"/>
        <w:ind w:left="400"/>
      </w:pPr>
      <w:r>
        <w:rPr>
          <w:rFonts w:ascii="Calibri" w:cs="Calibri" w:eastAsia="Calibri" w:hAnsi="Calibri"/>
          <w:b w:val="false"/>
          <w:bCs w:val="false"/>
          <w:sz w:val="20"/>
          <w:szCs w:val="20"/>
        </w:rPr>
        <w:t>3.2 Qualitätssicherung</w:t>
        <w:tab/>
        <w:t>6</w:t>
      </w:r>
    </w:p>
    <w:p>
      <w:pPr>
        <w:tabs>
          <w:tab w:val="right" w:pos="9026" w:leader="dot"/>
        </w:tabs>
        <w:spacing w:after="40"/>
        <w:ind w:left="0"/>
      </w:pPr>
      <w:r>
        <w:rPr>
          <w:rFonts w:ascii="Calibri" w:cs="Calibri" w:eastAsia="Calibri" w:hAnsi="Calibri"/>
          <w:b/>
          <w:bCs/>
          <w:sz w:val="22"/>
          <w:szCs w:val="22"/>
        </w:rPr>
        <w:t>4 Projektmanagement</w:t>
        <w:tab/>
        <w:t>6</w:t>
      </w:r>
    </w:p>
    <w:p>
      <w:pPr>
        <w:tabs>
          <w:tab w:val="right" w:pos="9026" w:leader="dot"/>
        </w:tabs>
        <w:spacing w:after="40"/>
        <w:ind w:left="400"/>
      </w:pPr>
      <w:r>
        <w:rPr>
          <w:rFonts w:ascii="Calibri" w:cs="Calibri" w:eastAsia="Calibri" w:hAnsi="Calibri"/>
          <w:b w:val="false"/>
          <w:bCs w:val="false"/>
          <w:sz w:val="20"/>
          <w:szCs w:val="20"/>
        </w:rPr>
        <w:t>4.1 Vorgehensmodell und Kommunikation</w:t>
        <w:tab/>
        <w:t>6</w:t>
      </w:r>
    </w:p>
    <w:p>
      <w:pPr>
        <w:tabs>
          <w:tab w:val="right" w:pos="9026" w:leader="dot"/>
        </w:tabs>
        <w:spacing w:after="40"/>
        <w:ind w:left="400"/>
      </w:pPr>
      <w:r>
        <w:rPr>
          <w:rFonts w:ascii="Calibri" w:cs="Calibri" w:eastAsia="Calibri" w:hAnsi="Calibri"/>
          <w:b w:val="false"/>
          <w:bCs w:val="false"/>
          <w:sz w:val="20"/>
          <w:szCs w:val="20"/>
        </w:rPr>
        <w:t>4.2 Sprintplan und Verlauf</w:t>
        <w:tab/>
        <w:t>7</w:t>
      </w:r>
    </w:p>
    <w:p>
      <w:pPr>
        <w:tabs>
          <w:tab w:val="right" w:pos="9026" w:leader="dot"/>
        </w:tabs>
        <w:spacing w:after="40"/>
        <w:ind w:left="400"/>
      </w:pPr>
      <w:r>
        <w:rPr>
          <w:rFonts w:ascii="Calibri" w:cs="Calibri" w:eastAsia="Calibri" w:hAnsi="Calibri"/>
          <w:b w:val="false"/>
          <w:bCs w:val="false"/>
          <w:sz w:val="20"/>
          <w:szCs w:val="20"/>
        </w:rPr>
        <w:t>4.3 Aufgabensteuerung und Repository</w:t>
        <w:tab/>
        <w:t>7</w:t>
      </w:r>
    </w:p>
    <w:p>
      <w:pPr>
        <w:tabs>
          <w:tab w:val="right" w:pos="9026" w:leader="dot"/>
        </w:tabs>
        <w:spacing w:after="40"/>
        <w:ind w:left="400"/>
      </w:pPr>
      <w:r>
        <w:rPr>
          <w:rFonts w:ascii="Calibri" w:cs="Calibri" w:eastAsia="Calibri" w:hAnsi="Calibri"/>
          <w:b w:val="false"/>
          <w:bCs w:val="false"/>
          <w:sz w:val="20"/>
          <w:szCs w:val="20"/>
        </w:rPr>
        <w:t>4.4 Risiken</w:t>
        <w:tab/>
        <w:t>7</w:t>
      </w:r>
    </w:p>
    <w:p>
      <w:pPr>
        <w:tabs>
          <w:tab w:val="right" w:pos="9026" w:leader="dot"/>
        </w:tabs>
        <w:spacing w:after="40"/>
        <w:ind w:left="0"/>
      </w:pPr>
      <w:r>
        <w:rPr>
          <w:rFonts w:ascii="Calibri" w:cs="Calibri" w:eastAsia="Calibri" w:hAnsi="Calibri"/>
          <w:b/>
          <w:bCs/>
          <w:sz w:val="22"/>
          <w:szCs w:val="22"/>
        </w:rPr>
        <w:t>5 Überblick über die erstellten Artefakte</w:t>
        <w:tab/>
        <w:t>8</w:t>
      </w:r>
    </w:p>
    <w:p>
      <w:pPr>
        <w:tabs>
          <w:tab w:val="right" w:pos="9026" w:leader="dot"/>
        </w:tabs>
        <w:spacing w:after="40"/>
        <w:ind w:left="400"/>
      </w:pPr>
      <w:r>
        <w:rPr>
          <w:rFonts w:ascii="Calibri" w:cs="Calibri" w:eastAsia="Calibri" w:hAnsi="Calibri"/>
          <w:b w:val="false"/>
          <w:bCs w:val="false"/>
          <w:sz w:val="20"/>
          <w:szCs w:val="20"/>
        </w:rPr>
        <w:t>5.1 Geschäftsprozessmodell (BPMN)</w:t>
        <w:tab/>
        <w:t>8</w:t>
      </w:r>
    </w:p>
    <w:p>
      <w:pPr>
        <w:tabs>
          <w:tab w:val="right" w:pos="9026" w:leader="dot"/>
        </w:tabs>
        <w:spacing w:after="40"/>
        <w:ind w:left="400"/>
      </w:pPr>
      <w:r>
        <w:rPr>
          <w:rFonts w:ascii="Calibri" w:cs="Calibri" w:eastAsia="Calibri" w:hAnsi="Calibri"/>
          <w:b w:val="false"/>
          <w:bCs w:val="false"/>
          <w:sz w:val="20"/>
          <w:szCs w:val="20"/>
        </w:rPr>
        <w:t>5.2 Automatisierungspotential</w:t>
        <w:tab/>
        <w:t>11</w:t>
      </w:r>
    </w:p>
    <w:p>
      <w:pPr>
        <w:tabs>
          <w:tab w:val="right" w:pos="9026" w:leader="dot"/>
        </w:tabs>
        <w:spacing w:after="40"/>
        <w:ind w:left="400"/>
      </w:pPr>
      <w:r>
        <w:rPr>
          <w:rFonts w:ascii="Calibri" w:cs="Calibri" w:eastAsia="Calibri" w:hAnsi="Calibri"/>
          <w:b w:val="false"/>
          <w:bCs w:val="false"/>
          <w:sz w:val="20"/>
          <w:szCs w:val="20"/>
        </w:rPr>
        <w:t>5.3 Use-Case-Diagramm</w:t>
        <w:tab/>
        <w:t>11</w:t>
      </w:r>
    </w:p>
    <w:p>
      <w:pPr>
        <w:tabs>
          <w:tab w:val="right" w:pos="9026" w:leader="dot"/>
        </w:tabs>
        <w:spacing w:after="40"/>
        <w:ind w:left="400"/>
      </w:pPr>
      <w:r>
        <w:rPr>
          <w:rFonts w:ascii="Calibri" w:cs="Calibri" w:eastAsia="Calibri" w:hAnsi="Calibri"/>
          <w:b w:val="false"/>
          <w:bCs w:val="false"/>
          <w:sz w:val="20"/>
          <w:szCs w:val="20"/>
        </w:rPr>
        <w:t>5.4 Klassendiagramm</w:t>
        <w:tab/>
        <w:t>12</w:t>
      </w:r>
    </w:p>
    <w:p>
      <w:pPr>
        <w:tabs>
          <w:tab w:val="right" w:pos="9026" w:leader="dot"/>
        </w:tabs>
        <w:spacing w:after="40"/>
        <w:ind w:left="400"/>
      </w:pPr>
      <w:r>
        <w:rPr>
          <w:rFonts w:ascii="Calibri" w:cs="Calibri" w:eastAsia="Calibri" w:hAnsi="Calibri"/>
          <w:b w:val="false"/>
          <w:bCs w:val="false"/>
          <w:sz w:val="20"/>
          <w:szCs w:val="20"/>
        </w:rPr>
        <w:t>5.5 Sequenzdiagramme</w:t>
        <w:tab/>
        <w:t>13</w:t>
      </w:r>
    </w:p>
    <w:p>
      <w:pPr>
        <w:tabs>
          <w:tab w:val="right" w:pos="9026" w:leader="dot"/>
        </w:tabs>
        <w:spacing w:after="40"/>
        <w:ind w:left="400"/>
      </w:pPr>
      <w:r>
        <w:rPr>
          <w:rFonts w:ascii="Calibri" w:cs="Calibri" w:eastAsia="Calibri" w:hAnsi="Calibri"/>
          <w:b w:val="false"/>
          <w:bCs w:val="false"/>
          <w:sz w:val="20"/>
          <w:szCs w:val="20"/>
        </w:rPr>
        <w:t>5.6 Konsistenz zwischen den Modellen</w:t>
        <w:tab/>
        <w:t>15</w:t>
      </w:r>
    </w:p>
    <w:p>
      <w:pPr>
        <w:tabs>
          <w:tab w:val="right" w:pos="9026" w:leader="dot"/>
        </w:tabs>
        <w:spacing w:after="40"/>
        <w:ind w:left="0"/>
      </w:pPr>
      <w:r>
        <w:rPr>
          <w:rFonts w:ascii="Calibri" w:cs="Calibri" w:eastAsia="Calibri" w:hAnsi="Calibri"/>
          <w:b/>
          <w:bCs/>
          <w:sz w:val="22"/>
          <w:szCs w:val="22"/>
        </w:rPr>
        <w:t>6 Probleme und Herausforderungen</w:t>
        <w:tab/>
        <w:t>16</w:t>
      </w:r>
    </w:p>
    <w:p>
      <w:pPr>
        <w:tabs>
          <w:tab w:val="right" w:pos="9026" w:leader="dot"/>
        </w:tabs>
        <w:spacing w:after="40"/>
        <w:ind w:left="0"/>
      </w:pPr>
      <w:r>
        <w:rPr>
          <w:rFonts w:ascii="Calibri" w:cs="Calibri" w:eastAsia="Calibri" w:hAnsi="Calibri"/>
          <w:b/>
          <w:bCs/>
          <w:sz w:val="22"/>
          <w:szCs w:val="22"/>
        </w:rPr>
        <w:t>7 Feedback</w:t>
        <w:tab/>
        <w:t>16</w:t>
      </w:r>
    </w:p>
    <w:p>
      <w:pPr>
        <w:tabs>
          <w:tab w:val="right" w:pos="9026" w:leader="dot"/>
        </w:tabs>
        <w:spacing w:after="40"/>
        <w:ind w:left="400"/>
      </w:pPr>
      <w:r>
        <w:rPr>
          <w:rFonts w:ascii="Calibri" w:cs="Calibri" w:eastAsia="Calibri" w:hAnsi="Calibri"/>
          <w:b w:val="false"/>
          <w:bCs w:val="false"/>
          <w:sz w:val="20"/>
          <w:szCs w:val="20"/>
        </w:rPr>
        <w:t>7.1 Feedback des Dozenten und Umsetzung</w:t>
        <w:tab/>
        <w:t>16</w:t>
      </w:r>
    </w:p>
    <w:p>
      <w:pPr>
        <w:tabs>
          <w:tab w:val="right" w:pos="9026" w:leader="dot"/>
        </w:tabs>
        <w:spacing w:after="40"/>
        <w:ind w:left="400"/>
      </w:pPr>
      <w:r>
        <w:rPr>
          <w:rFonts w:ascii="Calibri" w:cs="Calibri" w:eastAsia="Calibri" w:hAnsi="Calibri"/>
          <w:b w:val="false"/>
          <w:bCs w:val="false"/>
          <w:sz w:val="20"/>
          <w:szCs w:val="20"/>
        </w:rPr>
        <w:t>7.2 Unser Feedback zur Fallstudie</w:t>
        <w:tab/>
        <w:t>17</w:t>
      </w:r>
    </w:p>
    <w:p>
      <w:r>
        <w:br w:type="page"/>
      </w:r>
    </w:p>
    <w:p>
      <w:pPr>
        <w:pStyle w:val="Heading1"/>
        <w:keepNext/>
        <w:spacing w:after="120" w:before="360"/>
      </w:pPr>
      <w:r>
        <w:rPr>
          <w:rFonts w:ascii="Calibri" w:cs="Calibri" w:eastAsia="Calibri" w:hAnsi="Calibri"/>
        </w:rPr>
        <w:t>1 Mitglieder der Gruppe und Rollen</w:t>
      </w:r>
    </w:p>
    <w:p>
      <w:pPr>
        <w:spacing w:after="120" w:line="276"/>
        <w:jc w:val="both"/>
      </w:pPr>
      <w:r>
        <w:rPr>
          <w:rFonts w:ascii="Calibri" w:cs="Calibri" w:eastAsia="Calibri" w:hAnsi="Calibri"/>
          <w:sz w:val="22"/>
          <w:szCs w:val="22"/>
        </w:rPr>
        <w:t>Die Fallstudie bearbeiten sechs Studierende des Kurses WWI25B4. Beim ersten Gruppentermin am 02.09.2026 haben wir die Rollen nach dem Scrum-Vorgehen verteilt (Kapitel 4). Jedes Artefakt hat eine verantwortliche Person (Tabelle 1), und jedes Diagramm prüft eine zweite Person.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2200"/>
        <w:gridCol w:w="4960"/>
      </w:tblGrid>
      <w:tr>
        <w:trPr>
          <w:tblHeader/>
          <w:cantSplit/>
        </w:trPr>
        <w:tc>
          <w:tcPr>
            <w:tcW w:type="dxa" w:w="2200"/>
            <w:shd w:fill="1F3864" w:color="auto" w:val="clear"/>
            <w:tcMar>
              <w:top w:type="dxa" w:w="50"/>
              <w:left w:type="dxa" w:w="90"/>
              <w:bottom w:type="dxa" w:w="50"/>
              <w:right w:type="dxa" w:w="90"/>
            </w:tcMar>
            <w:vAlign w:val="top"/>
          </w:tcPr>
          <w:p>
            <w:pPr>
              <w:keepNext/>
              <w:spacing w:after="40" w:line="252"/>
              <w:jc w:val="left"/>
            </w:pPr>
            <w:r>
              <w:rPr>
                <w:rFonts w:ascii="Calibri" w:cs="Calibri" w:eastAsia="Calibri" w:hAnsi="Calibri"/>
                <w:b/>
                <w:bCs/>
                <w:color w:val="FFFFFF"/>
                <w:sz w:val="19"/>
                <w:szCs w:val="19"/>
              </w:rPr>
              <w:t>Name</w:t>
            </w:r>
          </w:p>
        </w:tc>
        <w:tc>
          <w:tcPr>
            <w:tcW w:type="dxa" w:w="2200"/>
            <w:shd w:fill="1F3864" w:color="auto" w:val="clear"/>
            <w:tcMar>
              <w:top w:type="dxa" w:w="50"/>
              <w:left w:type="dxa" w:w="90"/>
              <w:bottom w:type="dxa" w:w="50"/>
              <w:right w:type="dxa" w:w="90"/>
            </w:tcMar>
            <w:vAlign w:val="top"/>
          </w:tcPr>
          <w:p>
            <w:pPr>
              <w:keepNext/>
              <w:spacing w:after="40" w:line="252"/>
              <w:jc w:val="left"/>
            </w:pPr>
            <w:r>
              <w:rPr>
                <w:rFonts w:ascii="Calibri" w:cs="Calibri" w:eastAsia="Calibri" w:hAnsi="Calibri"/>
                <w:b/>
                <w:bCs/>
                <w:color w:val="FFFFFF"/>
                <w:sz w:val="19"/>
                <w:szCs w:val="19"/>
              </w:rPr>
              <w:t>Rolle</w:t>
            </w:r>
          </w:p>
        </w:tc>
        <w:tc>
          <w:tcPr>
            <w:tcW w:type="dxa" w:w="4960"/>
            <w:shd w:fill="1F3864" w:color="auto" w:val="clear"/>
            <w:tcMar>
              <w:top w:type="dxa" w:w="50"/>
              <w:left w:type="dxa" w:w="90"/>
              <w:bottom w:type="dxa" w:w="50"/>
              <w:right w:type="dxa" w:w="90"/>
            </w:tcMar>
            <w:vAlign w:val="top"/>
          </w:tcPr>
          <w:p>
            <w:pPr>
              <w:keepNext/>
              <w:spacing w:after="40" w:line="252"/>
              <w:jc w:val="left"/>
            </w:pPr>
            <w:r>
              <w:rPr>
                <w:rFonts w:ascii="Calibri" w:cs="Calibri" w:eastAsia="Calibri" w:hAnsi="Calibri"/>
                <w:b/>
                <w:bCs/>
                <w:color w:val="FFFFFF"/>
                <w:sz w:val="19"/>
                <w:szCs w:val="19"/>
              </w:rPr>
              <w:t>Zuständigkeit</w:t>
            </w:r>
          </w:p>
        </w:tc>
      </w:tr>
      <w:tr>
        <w:trPr>
          <w:cantSplit/>
        </w:trPr>
        <w:tc>
          <w:tcPr>
            <w:tcW w:type="dxa" w:w="22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Nina Sattler</w:t>
            </w:r>
          </w:p>
        </w:tc>
        <w:tc>
          <w:tcPr>
            <w:tcW w:type="dxa" w:w="22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Projektleiterin</w:t>
            </w:r>
          </w:p>
        </w:tc>
        <w:tc>
          <w:tcPr>
            <w:tcW w:type="dxa" w:w="49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Gesamtplanung, Termine, Abgabe-Archiv</w:t>
            </w:r>
          </w:p>
        </w:tc>
      </w:tr>
      <w:tr>
        <w:trPr>
          <w:cantSplit/>
        </w:trPr>
        <w:tc>
          <w:tcPr>
            <w:tcW w:type="dxa" w:w="22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David Leismann</w:t>
            </w:r>
          </w:p>
        </w:tc>
        <w:tc>
          <w:tcPr>
            <w:tcW w:type="dxa" w:w="22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Stellvertretende Projektleitung, Backup-Beauftragter</w:t>
            </w:r>
          </w:p>
        </w:tc>
        <w:tc>
          <w:tcPr>
            <w:tcW w:type="dxa" w:w="49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Sicherung von Git-Repository und VP-Server, Abgabe-Check; Sequenzdiagramme SD2, SD4, SD5 und SD6 in Visual Paradigm</w:t>
            </w:r>
          </w:p>
        </w:tc>
      </w:tr>
      <w:tr>
        <w:trPr>
          <w:cantSplit/>
        </w:trPr>
        <w:tc>
          <w:tcPr>
            <w:tcW w:type="dxa" w:w="22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Adrian Wenzler</w:t>
            </w:r>
          </w:p>
        </w:tc>
        <w:tc>
          <w:tcPr>
            <w:tcW w:type="dxa" w:w="22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Product Owner</w:t>
            </w:r>
          </w:p>
        </w:tc>
        <w:tc>
          <w:tcPr>
            <w:tcW w:type="dxa" w:w="49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Fachliche Entscheidungen zu Umfang, Prioritäten und KI-Sofortdiagnose; Abnahme im Sprint Review</w:t>
            </w:r>
          </w:p>
        </w:tc>
      </w:tr>
      <w:tr>
        <w:trPr>
          <w:cantSplit/>
        </w:trPr>
        <w:tc>
          <w:tcPr>
            <w:tcW w:type="dxa" w:w="22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Kilian Platter</w:t>
            </w:r>
          </w:p>
        </w:tc>
        <w:tc>
          <w:tcPr>
            <w:tcW w:type="dxa" w:w="22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Scrum Master, UML-Verantwortlicher</w:t>
            </w:r>
          </w:p>
        </w:tc>
        <w:tc>
          <w:tcPr>
            <w:tcW w:type="dxa" w:w="49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Sprint-Rituale und Trello-Board; Use-Case- und Klassendiagramm, SD1 und SD3 in Visual Paradigm</w:t>
            </w:r>
          </w:p>
        </w:tc>
      </w:tr>
      <w:tr>
        <w:trPr>
          <w:cantSplit/>
        </w:trPr>
        <w:tc>
          <w:tcPr>
            <w:tcW w:type="dxa" w:w="22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Maximilian Ewald</w:t>
            </w:r>
          </w:p>
        </w:tc>
        <w:tc>
          <w:tcPr>
            <w:tcW w:type="dxa" w:w="22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BPMN-Verantwortlicher</w:t>
            </w:r>
          </w:p>
        </w:tc>
        <w:tc>
          <w:tcPr>
            <w:tcW w:type="dxa" w:w="49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Die zehn Kollaborationsdiagramme im Camunda Modeler und ihr Export</w:t>
            </w:r>
          </w:p>
        </w:tc>
      </w:tr>
      <w:tr>
        <w:trPr>
          <w:cantSplit/>
        </w:trPr>
        <w:tc>
          <w:tcPr>
            <w:tcW w:type="dxa" w:w="22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Jakob Schwan</w:t>
            </w:r>
          </w:p>
        </w:tc>
        <w:tc>
          <w:tcPr>
            <w:tcW w:type="dxa" w:w="22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Qualitätsmanager</w:t>
            </w:r>
          </w:p>
        </w:tc>
        <w:tc>
          <w:tcPr>
            <w:tcW w:type="dxa" w:w="49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Reviews gegen die Anforderungen, Konsistenz von BPMN, UML und Dokumentation, Präsentation, Abgabe-Check</w:t>
            </w:r>
          </w:p>
        </w:tc>
      </w:tr>
    </w:tbl>
    <w:p>
      <w:pPr>
        <w:spacing w:after="200" w:before="60"/>
        <w:jc w:val="center"/>
      </w:pPr>
      <w:r>
        <w:rPr>
          <w:rFonts w:ascii="Calibri" w:cs="Calibri" w:eastAsia="Calibri" w:hAnsi="Calibri"/>
          <w:i/>
          <w:iCs/>
          <w:color w:val="595959"/>
          <w:sz w:val="18"/>
          <w:szCs w:val="18"/>
        </w:rPr>
        <w:t>Tabelle 1: Rollen und Zuständigkeiten</w:t>
      </w:r>
    </w:p>
    <w:p>
      <w:pPr>
        <w:spacing w:after="120" w:line="276"/>
        <w:jc w:val="both"/>
      </w:pPr>
      <w:r>
        <w:rPr>
          <w:rFonts w:ascii="Calibri" w:cs="Calibri" w:eastAsia="Calibri" w:hAnsi="Calibri"/>
          <w:sz w:val="22"/>
          <w:szCs w:val="22"/>
        </w:rPr>
        <w:t>Die Gruppenmitglieder haben folgende Beiträge erarbeitet. Grundlage sind die Aufgabenverteilungen vom 02.09. und 05.10.2026 und die Historie des Repositories.</w:t>
      </w:r>
    </w:p>
    <w:p>
      <w:pPr>
        <w:pStyle w:val="ListParagraph"/>
        <w:numPr>
          <w:ilvl w:val="0"/>
          <w:numId w:val="2"/>
        </w:numPr>
        <w:spacing w:after="60" w:line="264"/>
      </w:pPr>
      <w:r>
        <w:rPr>
          <w:rFonts w:ascii="Calibri" w:cs="Calibri" w:eastAsia="Calibri" w:hAnsi="Calibri"/>
          <w:b/>
          <w:bCs/>
          <w:sz w:val="22"/>
          <w:szCs w:val="22"/>
        </w:rPr>
        <w:t xml:space="preserve">Nina Sattler: </w:t>
      </w:r>
      <w:r>
        <w:rPr>
          <w:rFonts w:ascii="Calibri" w:cs="Calibri" w:eastAsia="Calibri" w:hAnsi="Calibri"/>
          <w:sz w:val="22"/>
          <w:szCs w:val="22"/>
        </w:rPr>
        <w:t>Prüfung der BPMN-Diagramme 07 und 08 in Sprint 1, Gesamtplanung, Folien 1–2 und 18–19.</w:t>
      </w:r>
    </w:p>
    <w:p>
      <w:pPr>
        <w:pStyle w:val="ListParagraph"/>
        <w:numPr>
          <w:ilvl w:val="0"/>
          <w:numId w:val="2"/>
        </w:numPr>
        <w:spacing w:after="60" w:line="264"/>
      </w:pPr>
      <w:r>
        <w:rPr>
          <w:rFonts w:ascii="Calibri" w:cs="Calibri" w:eastAsia="Calibri" w:hAnsi="Calibri"/>
          <w:b/>
          <w:bCs/>
          <w:sz w:val="22"/>
          <w:szCs w:val="22"/>
        </w:rPr>
        <w:t xml:space="preserve">David Leismann: </w:t>
      </w:r>
      <w:r>
        <w:rPr>
          <w:rFonts w:ascii="Calibri" w:cs="Calibri" w:eastAsia="Calibri" w:hAnsi="Calibri"/>
          <w:sz w:val="22"/>
          <w:szCs w:val="22"/>
        </w:rPr>
        <w:t>Prüfung der BPMN-Diagramme 03 und 04, Abgleich der Use Cases und Sequenzdiagramme mit den Prozessen (E-18), Überarbeitung der Prozesse 05 und 06 (E-20), Abgleich der Dokumentation mit dem Modellstand, Folien 3 und 16.</w:t>
      </w:r>
    </w:p>
    <w:p>
      <w:pPr>
        <w:pStyle w:val="ListParagraph"/>
        <w:numPr>
          <w:ilvl w:val="0"/>
          <w:numId w:val="2"/>
        </w:numPr>
        <w:spacing w:after="60" w:line="264"/>
      </w:pPr>
      <w:r>
        <w:rPr>
          <w:rFonts w:ascii="Calibri" w:cs="Calibri" w:eastAsia="Calibri" w:hAnsi="Calibri"/>
          <w:b/>
          <w:bCs/>
          <w:sz w:val="22"/>
          <w:szCs w:val="22"/>
        </w:rPr>
        <w:t xml:space="preserve">Adrian Wenzler: </w:t>
      </w:r>
      <w:r>
        <w:rPr>
          <w:rFonts w:ascii="Calibri" w:cs="Calibri" w:eastAsia="Calibri" w:hAnsi="Calibri"/>
          <w:sz w:val="22"/>
          <w:szCs w:val="22"/>
        </w:rPr>
        <w:t>Prüfung der BPMN-Diagramme 05 und 06, fachliche Abnahme, zuständig für die Bestätigung der Prozessänderungen E-19, E-20 und E-22 durch die Gruppe, Folien 4–6 und 11.</w:t>
      </w:r>
    </w:p>
    <w:p>
      <w:pPr>
        <w:pStyle w:val="ListParagraph"/>
        <w:numPr>
          <w:ilvl w:val="0"/>
          <w:numId w:val="2"/>
        </w:numPr>
        <w:spacing w:after="60" w:line="264"/>
      </w:pPr>
      <w:r>
        <w:rPr>
          <w:rFonts w:ascii="Calibri" w:cs="Calibri" w:eastAsia="Calibri" w:hAnsi="Calibri"/>
          <w:b/>
          <w:bCs/>
          <w:sz w:val="22"/>
          <w:szCs w:val="22"/>
        </w:rPr>
        <w:t xml:space="preserve">Kilian Platter: </w:t>
      </w:r>
      <w:r>
        <w:rPr>
          <w:rFonts w:ascii="Calibri" w:cs="Calibri" w:eastAsia="Calibri" w:hAnsi="Calibri"/>
          <w:sz w:val="22"/>
          <w:szCs w:val="22"/>
        </w:rPr>
        <w:t>eigener Entwurf V2 und dessen Zusammenführung mit dem Solution-Provider-Entwurf gemeinsam mit David (E-10), Gesamtprüfungen vom 26.09. und 05.10.2026 (E-15, E-17), Abschluss der QA-Befunde (E-22), Use-Case-Diagramm in Visual Paradigm, Folien 12–14.</w:t>
      </w:r>
    </w:p>
    <w:p>
      <w:pPr>
        <w:pStyle w:val="ListParagraph"/>
        <w:numPr>
          <w:ilvl w:val="0"/>
          <w:numId w:val="2"/>
        </w:numPr>
        <w:spacing w:after="60" w:line="264"/>
      </w:pPr>
      <w:r>
        <w:rPr>
          <w:rFonts w:ascii="Calibri" w:cs="Calibri" w:eastAsia="Calibri" w:hAnsi="Calibri"/>
          <w:b/>
          <w:bCs/>
          <w:sz w:val="22"/>
          <w:szCs w:val="22"/>
        </w:rPr>
        <w:t xml:space="preserve">Maximilian Ewald: </w:t>
      </w:r>
      <w:r>
        <w:rPr>
          <w:rFonts w:ascii="Calibri" w:cs="Calibri" w:eastAsia="Calibri" w:hAnsi="Calibri"/>
          <w:sz w:val="22"/>
          <w:szCs w:val="22"/>
        </w:rPr>
        <w:t>Prüfung der BPMN-Diagramme 01 und 02, verantwortlich für alle zehn BPMN-Dateien, ihre Prüfung im Camunda Modeler und den Export (E-21), Folien 7–10.</w:t>
      </w:r>
    </w:p>
    <w:p>
      <w:pPr>
        <w:pStyle w:val="ListParagraph"/>
        <w:numPr>
          <w:ilvl w:val="0"/>
          <w:numId w:val="2"/>
        </w:numPr>
        <w:spacing w:after="60" w:line="264"/>
      </w:pPr>
      <w:r>
        <w:rPr>
          <w:rFonts w:ascii="Calibri" w:cs="Calibri" w:eastAsia="Calibri" w:hAnsi="Calibri"/>
          <w:b/>
          <w:bCs/>
          <w:sz w:val="22"/>
          <w:szCs w:val="22"/>
        </w:rPr>
        <w:t xml:space="preserve">Jakob Schwan: </w:t>
      </w:r>
      <w:r>
        <w:rPr>
          <w:rFonts w:ascii="Calibri" w:cs="Calibri" w:eastAsia="Calibri" w:hAnsi="Calibri"/>
          <w:sz w:val="22"/>
          <w:szCs w:val="22"/>
        </w:rPr>
        <w:t>Review der Prozesse 09 und 10, Behebung der Logikfehler in den Prozessen 07 und 08 (E-19), QA-Checkliste, Folien 15 und 17.</w:t>
      </w:r>
    </w:p>
    <w:p>
      <w:pPr>
        <w:spacing w:after="120" w:line="276"/>
        <w:jc w:val="both"/>
      </w:pPr>
      <w:r>
        <w:rPr>
          <w:rFonts w:ascii="Calibri" w:cs="Calibri" w:eastAsia="Calibri" w:hAnsi="Calibri"/>
          <w:i/>
          <w:sz w:val="22"/>
          <w:szCs w:val="22"/>
          <w:shd w:val="clear" w:color="auto" w:fill="FFF2A8"/>
        </w:rPr>
        <w:t>[Gruppe: Jede Person prüft ihre Zeile in Tabelle 1 und in der Liste und ergänzt fehlende Beiträge. Danach diesen Hinweis löschen.]</w:t>
      </w:r>
    </w:p>
    <w:p>
      <w:pPr>
        <w:pStyle w:val="Heading1"/>
        <w:keepNext/>
        <w:spacing w:after="120" w:before="360"/>
      </w:pPr>
      <w:r>
        <w:rPr>
          <w:rFonts w:ascii="Calibri" w:cs="Calibri" w:eastAsia="Calibri" w:hAnsi="Calibri"/>
        </w:rPr>
        <w:t>2 Das Projekt RepairFlow</w:t>
      </w:r>
    </w:p>
    <w:p>
      <w:pPr>
        <w:pStyle w:val="Heading2"/>
        <w:keepNext/>
        <w:spacing w:after="120" w:before="240"/>
      </w:pPr>
      <w:r>
        <w:rPr>
          <w:rFonts w:ascii="Calibri" w:cs="Calibri" w:eastAsia="Calibri" w:hAnsi="Calibri"/>
        </w:rPr>
        <w:t>2.1 Ausgangslage und Problem</w:t>
      </w:r>
    </w:p>
    <w:p>
      <w:pPr>
        <w:spacing w:after="120" w:line="276"/>
        <w:jc w:val="both"/>
      </w:pPr>
      <w:r>
        <w:rPr>
          <w:rFonts w:ascii="Calibri" w:cs="Calibri" w:eastAsia="Calibri" w:hAnsi="Calibri"/>
          <w:sz w:val="22"/>
          <w:szCs w:val="22"/>
        </w:rPr>
        <w:t>Unser Beispielszenario ist die FixWerk GmbH, eine fiktive Werkstattkette mit vier Filialen in der Region Karlsruhe. Sie repariert Fahrräder und E-Bikes ebenso wie Smartphones, Laptops und Kleingeräte. Wir nehmen an, dass dort mit Papier-Auftragszetteln, Excel-Listen und Telefon gearbeitet wird, und gehen von vier wiederkehrenden Problemen aus:</w:t>
      </w:r>
    </w:p>
    <w:p>
      <w:pPr>
        <w:pStyle w:val="ListParagraph"/>
        <w:numPr>
          <w:ilvl w:val="0"/>
          <w:numId w:val="2"/>
        </w:numPr>
        <w:spacing w:after="60" w:line="264"/>
      </w:pPr>
      <w:r>
        <w:rPr>
          <w:rFonts w:ascii="Calibri" w:cs="Calibri" w:eastAsia="Calibri" w:hAnsi="Calibri"/>
          <w:sz w:val="22"/>
          <w:szCs w:val="22"/>
        </w:rPr>
        <w:t>Kunden erfahren nicht zuverlässig, wann ein Kostenvoranschlag freizugeben oder ein Gerät abholbereit ist. Es gibt viele Rückfragen per Telefon, und Geräte bleiben wochenlang im Lager.</w:t>
      </w:r>
    </w:p>
    <w:p>
      <w:pPr>
        <w:pStyle w:val="ListParagraph"/>
        <w:numPr>
          <w:ilvl w:val="0"/>
          <w:numId w:val="2"/>
        </w:numPr>
        <w:spacing w:after="60" w:line="264"/>
      </w:pPr>
      <w:r>
        <w:rPr>
          <w:rFonts w:ascii="Calibri" w:cs="Calibri" w:eastAsia="Calibri" w:hAnsi="Calibri"/>
          <w:sz w:val="22"/>
          <w:szCs w:val="22"/>
        </w:rPr>
        <w:t>Es gibt keinen zentralen Status je Auftrag. Wer wissen will, wo ein Gerät steht, fragt in der Werkstatt nach.</w:t>
      </w:r>
    </w:p>
    <w:p>
      <w:pPr>
        <w:pStyle w:val="ListParagraph"/>
        <w:numPr>
          <w:ilvl w:val="0"/>
          <w:numId w:val="2"/>
        </w:numPr>
        <w:spacing w:after="60" w:line="264"/>
      </w:pPr>
      <w:r>
        <w:rPr>
          <w:rFonts w:ascii="Calibri" w:cs="Calibri" w:eastAsia="Calibri" w:hAnsi="Calibri"/>
          <w:sz w:val="22"/>
          <w:szCs w:val="22"/>
        </w:rPr>
        <w:t>Jede Filiale bestellt Ersatzteile für sich, auch wenn das Teil in einer Nachbarfiliale liegt.</w:t>
      </w:r>
    </w:p>
    <w:p>
      <w:pPr>
        <w:pStyle w:val="ListParagraph"/>
        <w:numPr>
          <w:ilvl w:val="0"/>
          <w:numId w:val="2"/>
        </w:numPr>
        <w:spacing w:after="60" w:line="264"/>
      </w:pPr>
      <w:r>
        <w:rPr>
          <w:rFonts w:ascii="Calibri" w:cs="Calibri" w:eastAsia="Calibri" w:hAnsi="Calibri"/>
          <w:sz w:val="22"/>
          <w:szCs w:val="22"/>
        </w:rPr>
        <w:t>Die Auslastung der Techniker ist nicht sichtbar, Termine werden nach Gefühl zugesagt.</w:t>
      </w:r>
    </w:p>
    <w:p>
      <w:pPr>
        <w:pStyle w:val="Heading2"/>
        <w:keepNext/>
        <w:spacing w:after="120" w:before="240"/>
      </w:pPr>
      <w:r>
        <w:rPr>
          <w:rFonts w:ascii="Calibri" w:cs="Calibri" w:eastAsia="Calibri" w:hAnsi="Calibri"/>
        </w:rPr>
        <w:t>2.2 RepairFlow als Solution Provider</w:t>
      </w:r>
    </w:p>
    <w:p>
      <w:pPr>
        <w:spacing w:after="120" w:line="276"/>
        <w:jc w:val="both"/>
      </w:pPr>
      <w:r>
        <w:rPr>
          <w:rFonts w:ascii="Calibri" w:cs="Calibri" w:eastAsia="Calibri" w:hAnsi="Calibri"/>
          <w:sz w:val="22"/>
          <w:szCs w:val="22"/>
        </w:rPr>
        <w:t>RepairFlow ist ein Software-Startup, das Werkstätten eine Cloud-Plattform für den gesamten Reparaturablauf anbietet, von der Anfrage des Kunden über Diagnose, Kostenvoranschlag (KVA), Ersatzteil-Disposition und Reparatur bis zu Abholung, Rechnung und Reklamation. Wir treten als Softwareanbieter auf. Die FixWerk GmbH ist unser Pilotkunde, an dessen Abläufen wir die Anforderungen an die Plattform modellieren.</w:t>
      </w:r>
    </w:p>
    <w:p>
      <w:pPr>
        <w:spacing w:after="120" w:line="276"/>
        <w:jc w:val="both"/>
      </w:pPr>
      <w:r>
        <w:rPr>
          <w:rFonts w:ascii="Calibri" w:cs="Calibri" w:eastAsia="Calibri" w:hAnsi="Calibri"/>
          <w:sz w:val="22"/>
          <w:szCs w:val="22"/>
        </w:rPr>
        <w:t>Die Plattform hat vier Module: Kundenportal mit App, Auftrags- und Werkstattmodul, Dispositionsmodul für die filialübergreifende Ersatzteilversorgung und Abrechnung mit Schnittstelle zur Buchhaltung. Zielkunden sind unabhängige Werkstätten und kleine Ketten mit zwei bis zehn Filialen im deutschsprachigen Raum. Abgerechnet wird ein monatliches Abonnement je Filiale in den Stufen Basis (Auftragsverwaltung und Kundenkommunikation) und Pro (zusätzlich filialübergreifende Disposition und KI-Sofortdiagnose). Unser Entwurf verbindet Fahrrad-, E-Bike- und Elektronikreparaturen in einer Plattform mit gemeinsamem Ersatzteillager. Einen belegten Funktionsvergleich mit bestehenden Werkstattlösungen haben wir nicht erstellt.</w:t>
      </w:r>
    </w:p>
    <w:p>
      <w:pPr>
        <w:pStyle w:val="Heading2"/>
        <w:keepNext/>
        <w:spacing w:after="120" w:before="240"/>
      </w:pPr>
      <w:r>
        <w:rPr>
          <w:rFonts w:ascii="Calibri" w:cs="Calibri" w:eastAsia="Calibri" w:hAnsi="Calibri"/>
        </w:rPr>
        <w:t>2.3 Systemkontext und Systemgrenze</w:t>
      </w:r>
    </w:p>
    <w:p>
      <w:pPr>
        <w:spacing w:after="120" w:line="276"/>
        <w:jc w:val="both"/>
      </w:pPr>
      <w:r>
        <w:rPr>
          <w:rFonts w:ascii="Calibri" w:cs="Calibri" w:eastAsia="Calibri" w:hAnsi="Calibri"/>
          <w:sz w:val="22"/>
          <w:szCs w:val="22"/>
        </w:rPr>
        <w:t>Abbildung 1 zeigt den Systemkontext. Innerhalb der Systemgrenze liegt die RepairFlow-Plattform. Der Werkstattbetrieb ist als Mandant angebunden, seine Rollen Service/Annahme, Techniker, Werkstattleitung und Ersatzteil-Disposition arbeiten in der Oberfläche der Plattform. Der Kunde nutzt das Kundenportal. Mit dem Lieferanten tauscht RepairFlow Bestellungen, Bestätigungen, Lieferungen und Retouren aus. Der KI-Diagnosedienst ist ein externer Dienst, den die Plattform zur Auswertung von Foto, Video und Ton aufruft. Außerhalb der Systemgrenze liegen die physische Reparatur, die Systeme der Lieferanten und die Buchhaltung, an die nur über eine Exportschnittstelle übergeben wird.</w:t>
      </w:r>
    </w:p>
    <w:p>
      <w:pPr>
        <w:keepNext/>
        <w:spacing w:after="0" w:before="120"/>
        <w:jc w:val="center"/>
      </w:pPr>
      <w:r>
        <w:drawing>
          <wp:inline distT="0" distB="0" distL="0" distR="0">
            <wp:extent cx="5257800" cy="339128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57800" cy="3391281"/>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Abbildung 1: Systemkontext der RepairFlow-Plattform</w:t>
      </w:r>
    </w:p>
    <w:p>
      <w:pPr>
        <w:pStyle w:val="Heading2"/>
        <w:keepNext/>
        <w:spacing w:after="120" w:before="240"/>
      </w:pPr>
      <w:r>
        <w:rPr>
          <w:rFonts w:ascii="Calibri" w:cs="Calibri" w:eastAsia="Calibri" w:hAnsi="Calibri"/>
        </w:rPr>
        <w:t>2.4 Der Reparaturauftrag als roter Faden</w:t>
      </w:r>
    </w:p>
    <w:p>
      <w:pPr>
        <w:spacing w:after="120" w:line="276"/>
        <w:jc w:val="both"/>
      </w:pPr>
      <w:r>
        <w:rPr>
          <w:rFonts w:ascii="Calibri" w:cs="Calibri" w:eastAsia="Calibri" w:hAnsi="Calibri"/>
          <w:sz w:val="22"/>
          <w:szCs w:val="22"/>
        </w:rPr>
        <w:t>Alle Modelle verwenden für den Reparaturauftrag dieselben Zustände: angenommen, in Diagnose, KVA offen, freigegeben, abgelehnt, Teile bestellt, in Reparatur, fertig und abgeholt. Im Klassendiagramm sind sie die Werte der Aufzählung AuftragStatus. Die Prozesse 02 bis 08 bilden die Übergänge zwischen diesen Zuständen ab. Prozess 01 (Sofortdiagnose) geht dem Auftrag voraus, Prozess 09 (Reklamation) und Prozess 10 (Retoure) schließen daran an. Nicht jeder Auftrag durchläuft alle Zustände: Ohne Fehlteile entfällt „Teile bestellt“, und ein Nacharbeitsauftrag aus einer Reklamation beginnt ohne erneute Diagnose.</w:t>
      </w:r>
    </w:p>
    <w:p>
      <w:pPr>
        <w:pStyle w:val="Heading2"/>
        <w:keepNext/>
        <w:spacing w:after="120" w:before="240"/>
      </w:pPr>
      <w:r>
        <w:rPr>
          <w:rFonts w:ascii="Calibri" w:cs="Calibri" w:eastAsia="Calibri" w:hAnsi="Calibri"/>
        </w:rPr>
        <w:t>2.5 Alleinstellungsmerkmal: die KI-Sofortdiagnose</w:t>
      </w:r>
    </w:p>
    <w:p>
      <w:pPr>
        <w:spacing w:after="120" w:line="276"/>
        <w:jc w:val="both"/>
      </w:pPr>
      <w:r>
        <w:rPr>
          <w:rFonts w:ascii="Calibri" w:cs="Calibri" w:eastAsia="Calibri" w:hAnsi="Calibri"/>
          <w:sz w:val="22"/>
          <w:szCs w:val="22"/>
        </w:rPr>
        <w:t>Bei der Konzeptvorstellung hat uns der Dozent geraten, dem Produkt ein Merkmal zu geben, das es von anderen abhebe und ruhig visionär sein dürfe. Wir haben uns für die KI-Sofortdiagnose entschieden. Sie setzt bei der Ungewissheit an, die Werkstattkunden vor einer Reparatur haben: Was kostet die Reparatur, und wie lange dauert sie?</w:t>
      </w:r>
    </w:p>
    <w:p>
      <w:pPr>
        <w:spacing w:after="120" w:line="276"/>
        <w:jc w:val="both"/>
      </w:pPr>
      <w:r>
        <w:rPr>
          <w:rFonts w:ascii="Calibri" w:cs="Calibri" w:eastAsia="Calibri" w:hAnsi="Calibri"/>
          <w:sz w:val="22"/>
          <w:szCs w:val="22"/>
        </w:rPr>
        <w:t>In der App lädt der Kunde ein Foto des Schadens, ein Video oder eine Tonaufnahme hoch, etwa das Klackern eines E-Bike-Motors. RepairFlow legt daraus eine Voranmeldung an. Der KI-Diagnosedienst schlägt Gerätetyp, wahrscheinliche Fehlerursache und benötigte Ersatzteile vor. Daraus berechnet RepairFlow einen vorläufigen KVA, prüft die Teileverfügbarkeit in allen Filialen und schlägt Filiale und Termin vor. Bestätigt der Kunde, werden die Teile vorreserviert. In der Werkstatt prüft der Techniker den Vorschlag und bestätigt oder korrigiert ihn.</w:t>
      </w:r>
    </w:p>
    <w:p>
      <w:pPr>
        <w:spacing w:after="120" w:line="276"/>
        <w:jc w:val="both"/>
      </w:pPr>
      <w:r>
        <w:rPr>
          <w:rFonts w:ascii="Calibri" w:cs="Calibri" w:eastAsia="Calibri" w:hAnsi="Calibri"/>
          <w:sz w:val="22"/>
          <w:szCs w:val="22"/>
        </w:rPr>
        <w:t>Ein Teil davon ist heute machbar, etwa das Erkennen sichtbarer Schäden wie eines gebrochenen Displays per Bildanalyse. Die Auswertung von Motorgeräuschen und die Schätzung von Arbeitszeiten aus einem Video sind Vision. Deshalb bleibt der Vorschlag im Modell unverbindlich: Der KVA hat den Status „vorläufig“, und bei nicht auswertbaren Medien fragt das System nach einer besseren Aufnahme. In den Modellen erscheint das Merkmal als Prozess 01, als Use Cases „Sofortdiagnose anfordern“, „Voranmeldung bestätigen“ und „Diagnosevorschlag prüfen“, als Klassen Voranmeldung, Medienanhang und KIDiagnosevorschlag sowie als Sequenzdiagramm SD1.</w:t>
      </w:r>
    </w:p>
    <w:p>
      <w:pPr>
        <w:pStyle w:val="Heading1"/>
        <w:keepNext/>
        <w:spacing w:after="120" w:before="360"/>
      </w:pPr>
      <w:r>
        <w:rPr>
          <w:rFonts w:ascii="Calibri" w:cs="Calibri" w:eastAsia="Calibri" w:hAnsi="Calibri"/>
        </w:rPr>
        <w:t>3 Vorgehen bei der Umsetzung</w:t>
      </w:r>
    </w:p>
    <w:p>
      <w:pPr>
        <w:spacing w:after="120" w:line="276"/>
        <w:jc w:val="both"/>
      </w:pPr>
      <w:r>
        <w:rPr>
          <w:rFonts w:ascii="Calibri" w:cs="Calibri" w:eastAsia="Calibri" w:hAnsi="Calibri"/>
          <w:sz w:val="22"/>
          <w:szCs w:val="22"/>
        </w:rPr>
        <w:t>Wir sind in sechs Schritten vorgegangen (Tabelle 2). Die Reihenfolge folgt der Vorlesung: zuerst die Geschäftsprozessanalyse, dann das Automatisierungspotential, danach die objektorientierte Analyse.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800"/>
        <w:gridCol w:w="2400"/>
        <w:gridCol w:w="6160"/>
      </w:tblGrid>
      <w:tr>
        <w:trPr>
          <w:tblHeader/>
          <w:cantSplit/>
        </w:trPr>
        <w:tc>
          <w:tcPr>
            <w:tcW w:type="dxa" w:w="800"/>
            <w:shd w:fill="1F3864" w:color="auto" w:val="clear"/>
            <w:tcMar>
              <w:top w:type="dxa" w:w="50"/>
              <w:left w:type="dxa" w:w="90"/>
              <w:bottom w:type="dxa" w:w="50"/>
              <w:right w:type="dxa" w:w="90"/>
            </w:tcMar>
            <w:vAlign w:val="top"/>
          </w:tcPr>
          <w:p>
            <w:pPr>
              <w:keepNext/>
              <w:spacing w:after="40" w:line="252"/>
              <w:jc w:val="left"/>
            </w:pPr>
            <w:r>
              <w:rPr>
                <w:rFonts w:ascii="Calibri" w:cs="Calibri" w:eastAsia="Calibri" w:hAnsi="Calibri"/>
                <w:b/>
                <w:bCs/>
                <w:color w:val="FFFFFF"/>
                <w:sz w:val="19"/>
                <w:szCs w:val="19"/>
              </w:rPr>
              <w:t>Schritt</w:t>
            </w:r>
          </w:p>
        </w:tc>
        <w:tc>
          <w:tcPr>
            <w:tcW w:type="dxa" w:w="2400"/>
            <w:shd w:fill="1F3864" w:color="auto" w:val="clear"/>
            <w:tcMar>
              <w:top w:type="dxa" w:w="50"/>
              <w:left w:type="dxa" w:w="90"/>
              <w:bottom w:type="dxa" w:w="50"/>
              <w:right w:type="dxa" w:w="90"/>
            </w:tcMar>
            <w:vAlign w:val="top"/>
          </w:tcPr>
          <w:p>
            <w:pPr>
              <w:keepNext/>
              <w:spacing w:after="40" w:line="252"/>
              <w:jc w:val="left"/>
            </w:pPr>
            <w:r>
              <w:rPr>
                <w:rFonts w:ascii="Calibri" w:cs="Calibri" w:eastAsia="Calibri" w:hAnsi="Calibri"/>
                <w:b/>
                <w:bCs/>
                <w:color w:val="FFFFFF"/>
                <w:sz w:val="19"/>
                <w:szCs w:val="19"/>
              </w:rPr>
              <w:t>Phase</w:t>
            </w:r>
          </w:p>
        </w:tc>
        <w:tc>
          <w:tcPr>
            <w:tcW w:type="dxa" w:w="6160"/>
            <w:shd w:fill="1F3864" w:color="auto" w:val="clear"/>
            <w:tcMar>
              <w:top w:type="dxa" w:w="50"/>
              <w:left w:type="dxa" w:w="90"/>
              <w:bottom w:type="dxa" w:w="50"/>
              <w:right w:type="dxa" w:w="90"/>
            </w:tcMar>
            <w:vAlign w:val="top"/>
          </w:tcPr>
          <w:p>
            <w:pPr>
              <w:keepNext/>
              <w:spacing w:after="40" w:line="252"/>
              <w:jc w:val="left"/>
            </w:pPr>
            <w:r>
              <w:rPr>
                <w:rFonts w:ascii="Calibri" w:cs="Calibri" w:eastAsia="Calibri" w:hAnsi="Calibri"/>
                <w:b/>
                <w:bCs/>
                <w:color w:val="FFFFFF"/>
                <w:sz w:val="19"/>
                <w:szCs w:val="19"/>
              </w:rPr>
              <w:t>Inhalt und Ergebnis</w:t>
            </w:r>
          </w:p>
        </w:tc>
      </w:tr>
      <w:tr>
        <w:trPr>
          <w:cantSplit/>
        </w:trPr>
        <w:tc>
          <w:tcPr>
            <w:tcW w:type="dxa" w:w="8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1</w:t>
            </w:r>
          </w:p>
        </w:tc>
        <w:tc>
          <w:tcPr>
            <w:tcW w:type="dxa" w:w="24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Themenfindung</w:t>
            </w:r>
          </w:p>
        </w:tc>
        <w:tc>
          <w:tcPr>
            <w:tcW w:type="dxa" w:w="61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Startup-Ideen gesammelt und nach Prozessreichtum und Automatisierungspotential bewertet; Entscheidung für das Werkstatt-Szenario.</w:t>
            </w:r>
          </w:p>
        </w:tc>
      </w:tr>
      <w:tr>
        <w:trPr>
          <w:cantSplit/>
        </w:trPr>
        <w:tc>
          <w:tcPr>
            <w:tcW w:type="dxa" w:w="8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2</w:t>
            </w:r>
          </w:p>
        </w:tc>
        <w:tc>
          <w:tcPr>
            <w:tcW w:type="dxa" w:w="24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Konzeptvorstellung</w:t>
            </w:r>
          </w:p>
        </w:tc>
        <w:tc>
          <w:tcPr>
            <w:tcW w:type="dxa" w:w="61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Kickoff-Pitch am 31.08.2026. Rückmeldung des Dozenten: Perspektive klären und ein Alleinstellungsmerkmal ergänzen. Ergebnis: Solution Provider mit KI-Sofortdiagnose.</w:t>
            </w:r>
          </w:p>
        </w:tc>
      </w:tr>
      <w:tr>
        <w:trPr>
          <w:cantSplit/>
        </w:trPr>
        <w:tc>
          <w:tcPr>
            <w:tcW w:type="dxa" w:w="8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3</w:t>
            </w:r>
          </w:p>
        </w:tc>
        <w:tc>
          <w:tcPr>
            <w:tcW w:type="dxa" w:w="24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Prozessanalyse</w:t>
            </w:r>
          </w:p>
        </w:tc>
        <w:tc>
          <w:tcPr>
            <w:tcW w:type="dxa" w:w="61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Abläufe im Pilotbetrieb beschrieben, Soll-Prozesse mit RepairFlow abgeleitet, Prozessliste und Namenskonventionen festgelegt.</w:t>
            </w:r>
          </w:p>
        </w:tc>
      </w:tr>
      <w:tr>
        <w:trPr>
          <w:cantSplit/>
        </w:trPr>
        <w:tc>
          <w:tcPr>
            <w:tcW w:type="dxa" w:w="8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4</w:t>
            </w:r>
          </w:p>
        </w:tc>
        <w:tc>
          <w:tcPr>
            <w:tcW w:type="dxa" w:w="24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BPMN-Modellierung</w:t>
            </w:r>
          </w:p>
        </w:tc>
        <w:tc>
          <w:tcPr>
            <w:tcW w:type="dxa" w:w="61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 xml:space="preserve">Zehn Kollaborationsdiagramme mit Pools, Lanes, Datenobjekten und Datenspeichern; Prüfung im Zweierteam und mit dem Camunda-Linter. </w:t>
            </w:r>
            <w:r>
              <w:rPr>
                <w:rFonts w:ascii="Calibri" w:cs="Calibri" w:eastAsia="Calibri" w:hAnsi="Calibri"/>
                <w:b w:val="false"/>
                <w:bCs w:val="false"/>
                <w:i/>
                <w:color w:val="000000"/>
                <w:sz w:val="19"/>
                <w:szCs w:val="19"/>
                <w:shd w:val="clear" w:color="auto" w:fill="FFF2A8"/>
              </w:rPr>
              <w:t>[Nach dem 15.10. ergänzen: Prüfung im Camunda Modeler]</w:t>
            </w:r>
          </w:p>
        </w:tc>
      </w:tr>
      <w:tr>
        <w:trPr>
          <w:cantSplit/>
        </w:trPr>
        <w:tc>
          <w:tcPr>
            <w:tcW w:type="dxa" w:w="8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5</w:t>
            </w:r>
          </w:p>
        </w:tc>
        <w:tc>
          <w:tcPr>
            <w:tcW w:type="dxa" w:w="24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Objektorientierte Analyse</w:t>
            </w:r>
          </w:p>
        </w:tc>
        <w:tc>
          <w:tcPr>
            <w:tcW w:type="dxa" w:w="61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Use-Case-Diagramm aus der Systemgrenze, Klassendiagramm aus den Datenobjekten, sechs Sequenzdiagramme; Umsetzung in Visual Paradigm.</w:t>
            </w:r>
          </w:p>
        </w:tc>
      </w:tr>
      <w:tr>
        <w:trPr>
          <w:cantSplit/>
        </w:trPr>
        <w:tc>
          <w:tcPr>
            <w:tcW w:type="dxa" w:w="8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6</w:t>
            </w:r>
          </w:p>
        </w:tc>
        <w:tc>
          <w:tcPr>
            <w:tcW w:type="dxa" w:w="24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Dokumentation und Präsentation</w:t>
            </w:r>
          </w:p>
        </w:tc>
        <w:tc>
          <w:tcPr>
            <w:tcW w:type="dxa" w:w="61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Projektdokumentation, Abschlusspräsentation mit Zuordnung der Vortragenden, Abgabe-Archiv.</w:t>
            </w:r>
          </w:p>
        </w:tc>
      </w:tr>
    </w:tbl>
    <w:p>
      <w:pPr>
        <w:spacing w:after="200" w:before="60"/>
        <w:jc w:val="center"/>
      </w:pPr>
      <w:r>
        <w:rPr>
          <w:rFonts w:ascii="Calibri" w:cs="Calibri" w:eastAsia="Calibri" w:hAnsi="Calibri"/>
          <w:i/>
          <w:iCs/>
          <w:color w:val="595959"/>
          <w:sz w:val="18"/>
          <w:szCs w:val="18"/>
        </w:rPr>
        <w:t>Tabelle 2: Vorgehen in sechs Schritten</w:t>
      </w:r>
    </w:p>
    <w:p>
      <w:pPr>
        <w:pStyle w:val="Heading2"/>
        <w:keepNext/>
        <w:spacing w:after="120" w:before="240"/>
      </w:pPr>
      <w:r>
        <w:rPr>
          <w:rFonts w:ascii="Calibri" w:cs="Calibri" w:eastAsia="Calibri" w:hAnsi="Calibri"/>
        </w:rPr>
        <w:t>3.1 Werkzeuge und Konventionen</w:t>
      </w:r>
    </w:p>
    <w:p>
      <w:pPr>
        <w:spacing w:after="120" w:line="276"/>
        <w:jc w:val="both"/>
      </w:pPr>
      <w:r>
        <w:rPr>
          <w:rFonts w:ascii="Calibri" w:cs="Calibri" w:eastAsia="Calibri" w:hAnsi="Calibri"/>
          <w:sz w:val="22"/>
          <w:szCs w:val="22"/>
        </w:rPr>
        <w:t>Die BPMN-Diagramme haben wir im Camunda Modeler (Camunda 8) erstellt. Automatisierte Aktivitäten tragen Task-Definitionen, Timer haben ISO-Dauern und Verzweigungen FEEL-Bedingungen, damit der Modeler die Diagramme ohne Fehlermeldung prüft. Das UML-Modell liegt in Visual Paradigm 18 auf dem Teamwork-Server der DHBW (Repository WWI25B4G1). Die Sequenzdiagramme sind dort als Unterdiagramme ihrer Use Cases angelegt. Als gemeinsame Ablage für BPMN-Dateien, Dokumentation, Entscheidungslog und Präsentation nutzen wir ein GitHub-Repository. Die Aufgaben steuern wir über ein Trello-Board.</w:t>
      </w:r>
    </w:p>
    <w:p>
      <w:pPr>
        <w:spacing w:after="120" w:line="276"/>
        <w:jc w:val="both"/>
      </w:pPr>
      <w:r>
        <w:rPr>
          <w:rFonts w:ascii="Calibri" w:cs="Calibri" w:eastAsia="Calibri" w:hAnsi="Calibri"/>
          <w:i/>
          <w:sz w:val="22"/>
          <w:szCs w:val="22"/>
          <w:shd w:val="clear" w:color="auto" w:fill="FFF2A8"/>
        </w:rPr>
        <w:t>[Nach Fertigstellung prüfen: Sind alle sechs Sequenzdiagramme in VP als Unterdiagramme angelegt und liegt UML-WWI25B4-Gruppe1.vpp in uml/ (betrifft auch 4.3 und Tabelle 5)? Dann diesen Hinweis löschen.]</w:t>
      </w:r>
    </w:p>
    <w:p>
      <w:pPr>
        <w:spacing w:after="120" w:line="276"/>
        <w:jc w:val="both"/>
      </w:pPr>
      <w:r>
        <w:rPr>
          <w:rFonts w:ascii="Calibri" w:cs="Calibri" w:eastAsia="Calibri" w:hAnsi="Calibri"/>
          <w:sz w:val="22"/>
          <w:szCs w:val="22"/>
        </w:rPr>
        <w:t>Damit die Modelle zusammenpassen, haben wir uns in Sprint 1 auf gemeinsame Regeln geeinigt:</w:t>
      </w:r>
    </w:p>
    <w:p>
      <w:pPr>
        <w:pStyle w:val="ListParagraph"/>
        <w:numPr>
          <w:ilvl w:val="0"/>
          <w:numId w:val="2"/>
        </w:numPr>
        <w:spacing w:after="60" w:line="264"/>
      </w:pPr>
      <w:r>
        <w:rPr>
          <w:rFonts w:ascii="Calibri" w:cs="Calibri" w:eastAsia="Calibri" w:hAnsi="Calibri"/>
          <w:sz w:val="22"/>
          <w:szCs w:val="22"/>
        </w:rPr>
        <w:t>BPMN-Datenobjekte tragen die Klassennamen des Klassendiagramms, im Diagramm zur Lesbarkeit mit Bindestrich getrennt und bei Bedarf mit Zustand in eckigen Klammern, zum Beispiel „Reparatur-auftrag [freigegeben]“.</w:t>
      </w:r>
    </w:p>
    <w:p>
      <w:pPr>
        <w:pStyle w:val="ListParagraph"/>
        <w:numPr>
          <w:ilvl w:val="0"/>
          <w:numId w:val="2"/>
        </w:numPr>
        <w:spacing w:after="60" w:line="264"/>
      </w:pPr>
      <w:r>
        <w:rPr>
          <w:rFonts w:ascii="Calibri" w:cs="Calibri" w:eastAsia="Calibri" w:hAnsi="Calibri"/>
          <w:sz w:val="22"/>
          <w:szCs w:val="22"/>
        </w:rPr>
        <w:t>Aktivitäten heißen Verb mit Objekt („Kundendaten erfassen“), Ereignisse stehen im Partizip Perfekt („Auftrag angenommen“).</w:t>
      </w:r>
    </w:p>
    <w:p>
      <w:pPr>
        <w:pStyle w:val="ListParagraph"/>
        <w:numPr>
          <w:ilvl w:val="0"/>
          <w:numId w:val="2"/>
        </w:numPr>
        <w:spacing w:after="60" w:line="264"/>
      </w:pPr>
      <w:r>
        <w:rPr>
          <w:rFonts w:ascii="Calibri" w:cs="Calibri" w:eastAsia="Calibri" w:hAnsi="Calibri"/>
          <w:sz w:val="22"/>
          <w:szCs w:val="22"/>
        </w:rPr>
        <w:t>Jeder Prozess hat auf Prozessebene genau ein Start- und ein Endereignis. Alternative Ausgänge werden vor dem Ende zusammengeführt.</w:t>
      </w:r>
    </w:p>
    <w:p>
      <w:pPr>
        <w:pStyle w:val="ListParagraph"/>
        <w:numPr>
          <w:ilvl w:val="0"/>
          <w:numId w:val="2"/>
        </w:numPr>
        <w:spacing w:after="60" w:line="264"/>
      </w:pPr>
      <w:r>
        <w:rPr>
          <w:rFonts w:ascii="Calibri" w:cs="Calibri" w:eastAsia="Calibri" w:hAnsi="Calibri"/>
          <w:sz w:val="22"/>
          <w:szCs w:val="22"/>
        </w:rPr>
        <w:t>Die Rollen erscheinen in BPMN als Pool (Kunde) oder Lane (Service / Annahme für den Servicemitarbeiter, Techniker, Ersatzteil-Disposition für den Disponenten, Werkstattleitung für den Werkstattleiter), im Use-Case-Diagramm und in den Sequenzdiagrammen als Akteure und im Klassendiagramm als Klassen.</w:t>
      </w:r>
    </w:p>
    <w:p>
      <w:pPr>
        <w:pStyle w:val="ListParagraph"/>
        <w:numPr>
          <w:ilvl w:val="0"/>
          <w:numId w:val="2"/>
        </w:numPr>
        <w:spacing w:after="60" w:line="264"/>
      </w:pPr>
      <w:r>
        <w:rPr>
          <w:rFonts w:ascii="Calibri" w:cs="Calibri" w:eastAsia="Calibri" w:hAnsi="Calibri"/>
          <w:sz w:val="22"/>
          <w:szCs w:val="22"/>
        </w:rPr>
        <w:t>Die Statuswerte des Reparaturauftrags entsprechen in allen Modellen der Aufzählung AuftragStatus.</w:t>
      </w:r>
    </w:p>
    <w:p>
      <w:pPr>
        <w:pStyle w:val="Heading2"/>
        <w:keepNext/>
        <w:spacing w:after="120" w:before="240"/>
      </w:pPr>
      <w:r>
        <w:rPr>
          <w:rFonts w:ascii="Calibri" w:cs="Calibri" w:eastAsia="Calibri" w:hAnsi="Calibri"/>
        </w:rPr>
        <w:t>3.2 Qualitätssicherung</w:t>
      </w:r>
    </w:p>
    <w:p>
      <w:pPr>
        <w:spacing w:after="120" w:line="276"/>
        <w:jc w:val="both"/>
      </w:pPr>
      <w:r>
        <w:rPr>
          <w:rFonts w:ascii="Calibri" w:cs="Calibri" w:eastAsia="Calibri" w:hAnsi="Calibri"/>
          <w:sz w:val="22"/>
          <w:szCs w:val="22"/>
        </w:rPr>
        <w:t>Jedes Artefakt durchläuft eine Definition of Done: eigener Branch, Pull Request, Review durch eine zweite Person und Abnahme anhand der QA-Checkliste. Jakob prüft die Änderungen gegen die QA-Checkliste, danach werden sie zusammengeführt. Für die UML-Modelle gilt außerdem die Regel „Botschaft = Operation der Klasse“: Jede Lebenslinie eines Sequenzdiagramms ist eine Klasse oder ein Akteur, jede Botschaft an ein Objekt eine Operation dieser Klasse.</w:t>
      </w:r>
    </w:p>
    <w:p>
      <w:pPr>
        <w:spacing w:after="120" w:line="276"/>
        <w:jc w:val="both"/>
      </w:pPr>
      <w:r>
        <w:rPr>
          <w:rFonts w:ascii="Calibri" w:cs="Calibri" w:eastAsia="Calibri" w:hAnsi="Calibri"/>
          <w:sz w:val="22"/>
          <w:szCs w:val="22"/>
        </w:rPr>
        <w:t>Bis zum 08.10.2026 gab es vier Prüfrunden. In Sprint 1 haben wir die Diagramme im Zweierteam geprüft. Die Gesamtprüfung am 26.09.2026 (E-15) fand fachliche Fehler unter anderem in den Prozessen 02, 05, 06, 08 und 09, Datenobjekte, deren Namen nicht zu den Klassen passten, und Botschaften in Sequenzdiagrammen, die keine Operation der Empfängerklasse waren. Der Komplettcheck am 05.10.2026 (E-17) ergab 39 Befunde, davon 12 zu BPMN und 14 zu UML. Typisch waren Warteschleifen ohne Ausstieg, abgelehnte Aufträge ohne Rückgabe des Geräts und vertauschte include- und extend-Beziehungen. Die QA-Prüfung am selben Tag führte acht weitere Punkte auf (Q1 bis Q8). Die drei noch offenen (Q1 zu Prozess 06, Q2 und Q3 zu SD4) und der zurückgestellte Befund B12 zu Prozess 10 wurden am 08.10.2026 behoben, SD6 wurde dabei angeglichen (E-22).</w:t>
      </w:r>
    </w:p>
    <w:p>
      <w:pPr>
        <w:spacing w:after="120" w:line="276"/>
        <w:jc w:val="both"/>
      </w:pPr>
      <w:r>
        <w:rPr>
          <w:rFonts w:ascii="Calibri" w:cs="Calibri" w:eastAsia="Calibri" w:hAnsi="Calibri"/>
          <w:i/>
          <w:sz w:val="22"/>
          <w:szCs w:val="22"/>
          <w:shd w:val="clear" w:color="auto" w:fill="FFF2A8"/>
        </w:rPr>
        <w:t>[Nach dem 15.10. ergänzen: Ergebnis der Prüfung aller zehn BPMN-Dateien im Camunda Modeler (Problems-Panel leer?). Danach diesen Hinweis löschen.]</w:t>
      </w:r>
    </w:p>
    <w:p>
      <w:pPr>
        <w:pStyle w:val="Heading1"/>
        <w:keepNext/>
        <w:spacing w:after="120" w:before="360"/>
      </w:pPr>
      <w:r>
        <w:rPr>
          <w:rFonts w:ascii="Calibri" w:cs="Calibri" w:eastAsia="Calibri" w:hAnsi="Calibri"/>
        </w:rPr>
        <w:t>4 Projektmanagement</w:t>
      </w:r>
    </w:p>
    <w:p>
      <w:pPr>
        <w:pStyle w:val="Heading2"/>
        <w:keepNext/>
        <w:spacing w:after="120" w:before="240"/>
      </w:pPr>
      <w:r>
        <w:rPr>
          <w:rFonts w:ascii="Calibri" w:cs="Calibri" w:eastAsia="Calibri" w:hAnsi="Calibri"/>
        </w:rPr>
        <w:t>4.1 Vorgehensmodell und Kommunikation</w:t>
      </w:r>
    </w:p>
    <w:p>
      <w:pPr>
        <w:spacing w:after="120" w:line="276"/>
        <w:jc w:val="both"/>
      </w:pPr>
      <w:r>
        <w:rPr>
          <w:rFonts w:ascii="Calibri" w:cs="Calibri" w:eastAsia="Calibri" w:hAnsi="Calibri"/>
          <w:sz w:val="22"/>
          <w:szCs w:val="22"/>
        </w:rPr>
        <w:t>Wir arbeiten nach Scrum. Der Product Owner priorisiert den Backlog und nimmt Ergebnisse im Sprint Review ab, der Scrum Master moderiert die Termine und pflegt das Board. Jede Aufgabe ist genau einer Person zugeordnet. Wie in der Aufgabenstellung vorgesehen, gibt es zusätzlich eine Projektleitung, die Planung und Termine koordiniert.</w:t>
      </w:r>
    </w:p>
    <w:p>
      <w:pPr>
        <w:spacing w:after="120" w:line="276"/>
        <w:jc w:val="both"/>
      </w:pPr>
      <w:r>
        <w:rPr>
          <w:rFonts w:ascii="Calibri" w:cs="Calibri" w:eastAsia="Calibri" w:hAnsi="Calibri"/>
          <w:sz w:val="22"/>
          <w:szCs w:val="22"/>
        </w:rPr>
        <w:t>Den Takt geben die vier Gruppentermine in Präsenz vor (jeweils 4:15 Stunden). Jeder Termin verbindet Review und Retrospektive des vergangenen Sprints mit dem Planning des nächsten, und Hinweise aus dem Coaching fließen direkt in die Planung ein. Zwischen den Terminen arbeiten wir asynchron. Abgestimmt wird in einer WhatsApp-Gruppe, Dateien teilen wir nur über das GitHub-Repository.</w:t>
      </w:r>
    </w:p>
    <w:p>
      <w:pPr>
        <w:pStyle w:val="Heading2"/>
        <w:keepNext/>
        <w:spacing w:after="120" w:before="240"/>
      </w:pPr>
      <w:r>
        <w:rPr>
          <w:rFonts w:ascii="Calibri" w:cs="Calibri" w:eastAsia="Calibri" w:hAnsi="Calibri"/>
        </w:rPr>
        <w:t>4.2 Sprintplan und Verlauf</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2000"/>
        <w:gridCol w:w="2000"/>
        <w:gridCol w:w="4060"/>
      </w:tblGrid>
      <w:tr>
        <w:trPr>
          <w:tblHeader/>
          <w:cantSplit/>
        </w:trPr>
        <w:tc>
          <w:tcPr>
            <w:tcW w:type="dxa" w:w="1300"/>
            <w:shd w:fill="1F3864" w:color="auto" w:val="clear"/>
            <w:tcMar>
              <w:top w:type="dxa" w:w="50"/>
              <w:left w:type="dxa" w:w="90"/>
              <w:bottom w:type="dxa" w:w="50"/>
              <w:right w:type="dxa" w:w="90"/>
            </w:tcMar>
            <w:vAlign w:val="top"/>
          </w:tcPr>
          <w:p>
            <w:pPr>
              <w:keepNext/>
              <w:spacing w:after="40" w:line="252"/>
              <w:jc w:val="left"/>
            </w:pPr>
            <w:r>
              <w:rPr>
                <w:rFonts w:ascii="Calibri" w:cs="Calibri" w:eastAsia="Calibri" w:hAnsi="Calibri"/>
                <w:b/>
                <w:bCs/>
                <w:color w:val="FFFFFF"/>
                <w:sz w:val="19"/>
                <w:szCs w:val="19"/>
              </w:rPr>
              <w:t>Sprint</w:t>
            </w:r>
          </w:p>
        </w:tc>
        <w:tc>
          <w:tcPr>
            <w:tcW w:type="dxa" w:w="2000"/>
            <w:shd w:fill="1F3864" w:color="auto" w:val="clear"/>
            <w:tcMar>
              <w:top w:type="dxa" w:w="50"/>
              <w:left w:type="dxa" w:w="90"/>
              <w:bottom w:type="dxa" w:w="50"/>
              <w:right w:type="dxa" w:w="90"/>
            </w:tcMar>
            <w:vAlign w:val="top"/>
          </w:tcPr>
          <w:p>
            <w:pPr>
              <w:keepNext/>
              <w:spacing w:after="40" w:line="252"/>
              <w:jc w:val="left"/>
            </w:pPr>
            <w:r>
              <w:rPr>
                <w:rFonts w:ascii="Calibri" w:cs="Calibri" w:eastAsia="Calibri" w:hAnsi="Calibri"/>
                <w:b/>
                <w:bCs/>
                <w:color w:val="FFFFFF"/>
                <w:sz w:val="19"/>
                <w:szCs w:val="19"/>
              </w:rPr>
              <w:t>Zeitraum</w:t>
            </w:r>
          </w:p>
        </w:tc>
        <w:tc>
          <w:tcPr>
            <w:tcW w:type="dxa" w:w="2000"/>
            <w:shd w:fill="1F3864" w:color="auto" w:val="clear"/>
            <w:tcMar>
              <w:top w:type="dxa" w:w="50"/>
              <w:left w:type="dxa" w:w="90"/>
              <w:bottom w:type="dxa" w:w="50"/>
              <w:right w:type="dxa" w:w="90"/>
            </w:tcMar>
            <w:vAlign w:val="top"/>
          </w:tcPr>
          <w:p>
            <w:pPr>
              <w:keepNext/>
              <w:spacing w:after="40" w:line="252"/>
              <w:jc w:val="left"/>
            </w:pPr>
            <w:r>
              <w:rPr>
                <w:rFonts w:ascii="Calibri" w:cs="Calibri" w:eastAsia="Calibri" w:hAnsi="Calibri"/>
                <w:b/>
                <w:bCs/>
                <w:color w:val="FFFFFF"/>
                <w:sz w:val="19"/>
                <w:szCs w:val="19"/>
              </w:rPr>
              <w:t>Ziel</w:t>
            </w:r>
          </w:p>
        </w:tc>
        <w:tc>
          <w:tcPr>
            <w:tcW w:type="dxa" w:w="4060"/>
            <w:shd w:fill="1F3864" w:color="auto" w:val="clear"/>
            <w:tcMar>
              <w:top w:type="dxa" w:w="50"/>
              <w:left w:type="dxa" w:w="90"/>
              <w:bottom w:type="dxa" w:w="50"/>
              <w:right w:type="dxa" w:w="90"/>
            </w:tcMar>
            <w:vAlign w:val="top"/>
          </w:tcPr>
          <w:p>
            <w:pPr>
              <w:keepNext/>
              <w:spacing w:after="40" w:line="252"/>
              <w:jc w:val="left"/>
            </w:pPr>
            <w:r>
              <w:rPr>
                <w:rFonts w:ascii="Calibri" w:cs="Calibri" w:eastAsia="Calibri" w:hAnsi="Calibri"/>
                <w:b/>
                <w:bCs/>
                <w:color w:val="FFFFFF"/>
                <w:sz w:val="19"/>
                <w:szCs w:val="19"/>
              </w:rPr>
              <w:t>Ergebnis</w:t>
            </w:r>
          </w:p>
        </w:tc>
      </w:tr>
      <w:tr>
        <w:trPr>
          <w:cantSplit/>
        </w:trPr>
        <w:tc>
          <w:tcPr>
            <w:tcW w:type="dxa" w:w="13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Sprint 1</w:t>
            </w:r>
          </w:p>
        </w:tc>
        <w:tc>
          <w:tcPr>
            <w:tcW w:type="dxa" w:w="20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02.09.2026</w:t>
            </w:r>
          </w:p>
        </w:tc>
        <w:tc>
          <w:tcPr>
            <w:tcW w:type="dxa" w:w="20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Diagramme erstellen und im Zweierteam prüfen</w:t>
            </w:r>
          </w:p>
        </w:tc>
        <w:tc>
          <w:tcPr>
            <w:tcW w:type="dxa" w:w="40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Rollen, Konventionen und Repository festgelegt; je zwei BPMN-Diagramme an fünf Personen zur Prüfung verteilt, Review-Protokoll zu 09 und 10; UML-Modell als Importdatei (XMI) vorbereitet.</w:t>
            </w:r>
          </w:p>
        </w:tc>
      </w:tr>
      <w:tr>
        <w:trPr>
          <w:cantSplit/>
        </w:trPr>
        <w:tc>
          <w:tcPr>
            <w:tcW w:type="dxa" w:w="13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Sprint 2</w:t>
            </w:r>
          </w:p>
        </w:tc>
        <w:tc>
          <w:tcPr>
            <w:tcW w:type="dxa" w:w="20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03.09.–05.10.2026</w:t>
            </w:r>
          </w:p>
        </w:tc>
        <w:tc>
          <w:tcPr>
            <w:tcW w:type="dxa" w:w="20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Korrekturen und Verhalten</w:t>
            </w:r>
          </w:p>
        </w:tc>
        <w:tc>
          <w:tcPr>
            <w:tcW w:type="dxa" w:w="40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Zwei Prüfrunden mit Korrekturen an BPMN und UML (E-15 bis E-20), sechs Sequenzdiagramme an die Prozesse angeglichen; Grundsatzentscheidungen am 05.10. (E-21).</w:t>
            </w:r>
          </w:p>
        </w:tc>
      </w:tr>
      <w:tr>
        <w:trPr>
          <w:cantSplit/>
        </w:trPr>
        <w:tc>
          <w:tcPr>
            <w:tcW w:type="dxa" w:w="13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Sprint 3</w:t>
            </w:r>
          </w:p>
        </w:tc>
        <w:tc>
          <w:tcPr>
            <w:tcW w:type="dxa" w:w="20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06.10.–15.10.2026</w:t>
            </w:r>
          </w:p>
        </w:tc>
        <w:tc>
          <w:tcPr>
            <w:tcW w:type="dxa" w:w="20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Fertigstellung</w:t>
            </w:r>
          </w:p>
        </w:tc>
        <w:tc>
          <w:tcPr>
            <w:tcW w:type="dxa" w:w="40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 xml:space="preserve">QA-Befunde behoben (E-22), Use-Case-Diagramm in Visual Paradigm. </w:t>
            </w:r>
            <w:r>
              <w:rPr>
                <w:rFonts w:ascii="Calibri" w:cs="Calibri" w:eastAsia="Calibri" w:hAnsi="Calibri"/>
                <w:b w:val="false"/>
                <w:bCs w:val="false"/>
                <w:i/>
                <w:color w:val="000000"/>
                <w:sz w:val="19"/>
                <w:szCs w:val="19"/>
                <w:shd w:val="clear" w:color="auto" w:fill="FFF2A8"/>
              </w:rPr>
              <w:t>[Ergebnis nach dem 15.10. ergänzen]</w:t>
            </w:r>
          </w:p>
        </w:tc>
      </w:tr>
      <w:tr>
        <w:trPr>
          <w:cantSplit/>
        </w:trPr>
        <w:tc>
          <w:tcPr>
            <w:tcW w:type="dxa" w:w="13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Sprint 4</w:t>
            </w:r>
          </w:p>
        </w:tc>
        <w:tc>
          <w:tcPr>
            <w:tcW w:type="dxa" w:w="20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16.10.–22.10.2026</w:t>
            </w:r>
          </w:p>
        </w:tc>
        <w:tc>
          <w:tcPr>
            <w:tcW w:type="dxa" w:w="20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Generalprobe</w:t>
            </w:r>
          </w:p>
        </w:tc>
        <w:tc>
          <w:tcPr>
            <w:tcW w:type="dxa" w:w="40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r>
            <w:r>
              <w:rPr>
                <w:rFonts w:ascii="Calibri" w:cs="Calibri" w:eastAsia="Calibri" w:hAnsi="Calibri"/>
                <w:b w:val="false"/>
                <w:bCs w:val="false"/>
                <w:i/>
                <w:color w:val="000000"/>
                <w:sz w:val="19"/>
                <w:szCs w:val="19"/>
                <w:shd w:val="clear" w:color="auto" w:fill="FFF2A8"/>
              </w:rPr>
              <w:t>[Ergebnis nach dem 22.10. ergänzen]</w:t>
            </w:r>
          </w:p>
        </w:tc>
      </w:tr>
      <w:tr>
        <w:trPr>
          <w:cantSplit/>
        </w:trPr>
        <w:tc>
          <w:tcPr>
            <w:tcW w:type="dxa" w:w="13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Abschluss</w:t>
            </w:r>
          </w:p>
        </w:tc>
        <w:tc>
          <w:tcPr>
            <w:tcW w:type="dxa" w:w="20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27.10. und 13.11.2026</w:t>
            </w:r>
          </w:p>
        </w:tc>
        <w:tc>
          <w:tcPr>
            <w:tcW w:type="dxa" w:w="20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Präsentation und Abgabe</w:t>
            </w:r>
          </w:p>
        </w:tc>
        <w:tc>
          <w:tcPr>
            <w:tcW w:type="dxa" w:w="40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Präsentation am 27.10.2026 in Raum B458, Abgabe bis 13.11.2026 über Moodle.</w:t>
            </w:r>
          </w:p>
        </w:tc>
      </w:tr>
    </w:tbl>
    <w:p>
      <w:pPr>
        <w:spacing w:after="200" w:before="60"/>
        <w:jc w:val="center"/>
      </w:pPr>
      <w:r>
        <w:rPr>
          <w:rFonts w:ascii="Calibri" w:cs="Calibri" w:eastAsia="Calibri" w:hAnsi="Calibri"/>
          <w:i/>
          <w:iCs/>
          <w:color w:val="595959"/>
          <w:sz w:val="18"/>
          <w:szCs w:val="18"/>
        </w:rPr>
        <w:t>Tabelle 3: Sprints und Ergebnisse</w:t>
      </w:r>
    </w:p>
    <w:p>
      <w:pPr>
        <w:spacing w:after="120" w:line="276"/>
        <w:jc w:val="both"/>
      </w:pPr>
      <w:r>
        <w:rPr>
          <w:rFonts w:ascii="Calibri" w:cs="Calibri" w:eastAsia="Calibri" w:hAnsi="Calibri"/>
          <w:sz w:val="22"/>
          <w:szCs w:val="22"/>
        </w:rPr>
        <w:t>Gegenüber dem Plan in Tabelle 3 gab es zwei Abweichungen. Die Übernahme des UML-Modells in Visual Paradigm war für Sprint 1 vorgesehen und begann erst in Sprint 3, weil sich die Modelle nach den Prüfrunden noch mehrfach änderten. Die Sequenzdiagramme lagen deshalb bis Sprint 3 nur als PlantUML-Entwurf vor. Außerdem kamen in Sprint 2 zwei Korrekturrunden hinzu, die nicht als Aufgaben eingeplant waren.</w:t>
      </w:r>
    </w:p>
    <w:p>
      <w:pPr>
        <w:pStyle w:val="Heading2"/>
        <w:keepNext/>
        <w:spacing w:after="120" w:before="240"/>
      </w:pPr>
      <w:r>
        <w:rPr>
          <w:rFonts w:ascii="Calibri" w:cs="Calibri" w:eastAsia="Calibri" w:hAnsi="Calibri"/>
        </w:rPr>
        <w:t>4.3 Aufgabensteuerung und Repository</w:t>
      </w:r>
    </w:p>
    <w:p>
      <w:pPr>
        <w:spacing w:after="120" w:line="276"/>
        <w:jc w:val="both"/>
      </w:pPr>
      <w:r>
        <w:rPr>
          <w:rFonts w:ascii="Calibri" w:cs="Calibri" w:eastAsia="Calibri" w:hAnsi="Calibri"/>
          <w:sz w:val="22"/>
          <w:szCs w:val="22"/>
        </w:rPr>
        <w:t>Das Trello-Board hat eine Liste je Termin. Jede Karte nennt eine verantwortliche Person und, wo ein Diagramm entsteht, den Teampartner als Prüfer. Änderungen am Repository laufen über einen festen Git-Ablauf: aktuellen Stand holen, eigener Branch je Aufgabe, Pull Request, Review durch eine zweite Person und Merge. Commit-Nachrichten tragen einen Termin-Stempel mit Terminnummer und Datum, etwa [T04 2026-10-05] für den Gruppentermin am 05.10.2026. Entscheidungen, die mehrere Personen betreffen, halten wir im Entscheidungslog fest (E-01 bis E-22). Word- und PowerPoint-Dateien lassen sich nicht automatisch zusammenführen, deshalb kündigen wir ihre Bearbeitung vorher in der WhatsApp-Gruppe an.</w:t>
      </w:r>
    </w:p>
    <w:p>
      <w:pPr>
        <w:spacing w:after="120" w:line="276"/>
        <w:jc w:val="both"/>
      </w:pPr>
      <w:r>
        <w:rPr>
          <w:rFonts w:ascii="Calibri" w:cs="Calibri" w:eastAsia="Calibri" w:hAnsi="Calibri"/>
          <w:sz w:val="22"/>
          <w:szCs w:val="22"/>
        </w:rPr>
        <w:t>Die BPMN-Modelle liegen nur im Git-Repository. Die im Ablauf genannte Camunda Cloud nutzen wir nicht, weil die Installationsanleitung Git als Repository empfiehlt (E-21). Für UML ist der VP-Teamwork-Server das Repository, zusätzlich sichern wir die VPP-Datei im Git.</w:t>
      </w:r>
    </w:p>
    <w:p>
      <w:pPr>
        <w:pStyle w:val="Heading2"/>
        <w:keepNext/>
        <w:spacing w:after="120" w:before="240"/>
      </w:pPr>
      <w:r>
        <w:rPr>
          <w:rFonts w:ascii="Calibri" w:cs="Calibri" w:eastAsia="Calibri" w:hAnsi="Calibri"/>
        </w:rPr>
        <w:t>4.4 Risiken</w:t>
      </w:r>
    </w:p>
    <w:p>
      <w:pPr>
        <w:spacing w:after="120" w:line="276"/>
        <w:jc w:val="both"/>
      </w:pPr>
      <w:r>
        <w:rPr>
          <w:rFonts w:ascii="Calibri" w:cs="Calibri" w:eastAsia="Calibri" w:hAnsi="Calibri"/>
          <w:sz w:val="22"/>
          <w:szCs w:val="22"/>
        </w:rPr>
        <w:t>Tabelle 4 fasst die wichtigsten Risiken und unsere Gegenmaßnahmen zusammen.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1600"/>
        <w:gridCol w:w="4760"/>
      </w:tblGrid>
      <w:tr>
        <w:trPr>
          <w:tblHeader/>
          <w:cantSplit/>
        </w:trPr>
        <w:tc>
          <w:tcPr>
            <w:tcW w:type="dxa" w:w="3000"/>
            <w:shd w:fill="1F3864" w:color="auto" w:val="clear"/>
            <w:tcMar>
              <w:top w:type="dxa" w:w="50"/>
              <w:left w:type="dxa" w:w="90"/>
              <w:bottom w:type="dxa" w:w="50"/>
              <w:right w:type="dxa" w:w="90"/>
            </w:tcMar>
            <w:vAlign w:val="top"/>
          </w:tcPr>
          <w:p>
            <w:pPr>
              <w:keepNext/>
              <w:spacing w:after="40" w:line="252"/>
              <w:jc w:val="left"/>
            </w:pPr>
            <w:r>
              <w:rPr>
                <w:rFonts w:ascii="Calibri" w:cs="Calibri" w:eastAsia="Calibri" w:hAnsi="Calibri"/>
                <w:b/>
                <w:bCs/>
                <w:color w:val="FFFFFF"/>
                <w:sz w:val="19"/>
                <w:szCs w:val="19"/>
              </w:rPr>
              <w:t>Risiko</w:t>
            </w:r>
          </w:p>
        </w:tc>
        <w:tc>
          <w:tcPr>
            <w:tcW w:type="dxa" w:w="1600"/>
            <w:shd w:fill="1F3864" w:color="auto" w:val="clear"/>
            <w:tcMar>
              <w:top w:type="dxa" w:w="50"/>
              <w:left w:type="dxa" w:w="90"/>
              <w:bottom w:type="dxa" w:w="50"/>
              <w:right w:type="dxa" w:w="90"/>
            </w:tcMar>
            <w:vAlign w:val="top"/>
          </w:tcPr>
          <w:p>
            <w:pPr>
              <w:keepNext/>
              <w:spacing w:after="40" w:line="252"/>
              <w:jc w:val="left"/>
            </w:pPr>
            <w:r>
              <w:rPr>
                <w:rFonts w:ascii="Calibri" w:cs="Calibri" w:eastAsia="Calibri" w:hAnsi="Calibri"/>
                <w:b/>
                <w:bCs/>
                <w:color w:val="FFFFFF"/>
                <w:sz w:val="19"/>
                <w:szCs w:val="19"/>
              </w:rPr>
              <w:t>Bewertung</w:t>
            </w:r>
          </w:p>
        </w:tc>
        <w:tc>
          <w:tcPr>
            <w:tcW w:type="dxa" w:w="4760"/>
            <w:shd w:fill="1F3864" w:color="auto" w:val="clear"/>
            <w:tcMar>
              <w:top w:type="dxa" w:w="50"/>
              <w:left w:type="dxa" w:w="90"/>
              <w:bottom w:type="dxa" w:w="50"/>
              <w:right w:type="dxa" w:w="90"/>
            </w:tcMar>
            <w:vAlign w:val="top"/>
          </w:tcPr>
          <w:p>
            <w:pPr>
              <w:keepNext/>
              <w:spacing w:after="40" w:line="252"/>
              <w:jc w:val="left"/>
            </w:pPr>
            <w:r>
              <w:rPr>
                <w:rFonts w:ascii="Calibri" w:cs="Calibri" w:eastAsia="Calibri" w:hAnsi="Calibri"/>
                <w:b/>
                <w:bCs/>
                <w:color w:val="FFFFFF"/>
                <w:sz w:val="19"/>
                <w:szCs w:val="19"/>
              </w:rPr>
              <w:t>Gegenmaßnahme</w:t>
            </w:r>
          </w:p>
        </w:tc>
      </w:tr>
      <w:tr>
        <w:trPr>
          <w:cantSplit/>
        </w:trPr>
        <w:tc>
          <w:tcPr>
            <w:tcW w:type="dxa" w:w="30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Modelle laufen auseinander (Namen, Status, Rollen)</w:t>
            </w:r>
          </w:p>
        </w:tc>
        <w:tc>
          <w:tcPr>
            <w:tcW w:type="dxa" w:w="16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hoch</w:t>
            </w:r>
          </w:p>
        </w:tc>
        <w:tc>
          <w:tcPr>
            <w:tcW w:type="dxa" w:w="47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Gemeinsame Namensregeln, Konsistenzprüfung vor jedem Merge, Zuordnungstabelle in Abschnitt 5.6</w:t>
            </w:r>
          </w:p>
        </w:tc>
      </w:tr>
      <w:tr>
        <w:trPr>
          <w:cantSplit/>
        </w:trPr>
        <w:tc>
          <w:tcPr>
            <w:tcW w:type="dxa" w:w="30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Mehrere Fassungen derselben Modelle</w:t>
            </w:r>
          </w:p>
        </w:tc>
        <w:tc>
          <w:tcPr>
            <w:tcW w:type="dxa" w:w="16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hoch</w:t>
            </w:r>
          </w:p>
        </w:tc>
        <w:tc>
          <w:tcPr>
            <w:tcW w:type="dxa" w:w="47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Nur ein verbindlicher Stand im Repository; Abweichungen werden verglichen und im Entscheidungslog entschieden</w:t>
            </w:r>
          </w:p>
        </w:tc>
      </w:tr>
      <w:tr>
        <w:trPr>
          <w:cantSplit/>
        </w:trPr>
        <w:tc>
          <w:tcPr>
            <w:tcW w:type="dxa" w:w="30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VP-Teamwork-Server nur über VPN erreichbar</w:t>
            </w:r>
          </w:p>
        </w:tc>
        <w:tc>
          <w:tcPr>
            <w:tcW w:type="dxa" w:w="16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mittel</w:t>
            </w:r>
          </w:p>
        </w:tc>
        <w:tc>
          <w:tcPr>
            <w:tcW w:type="dxa" w:w="47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Lehre-VPN, regelmäßige lokale Sicherung der VPP-Datei</w:t>
            </w:r>
          </w:p>
        </w:tc>
      </w:tr>
      <w:tr>
        <w:trPr>
          <w:cantSplit/>
        </w:trPr>
        <w:tc>
          <w:tcPr>
            <w:tcW w:type="dxa" w:w="30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Ausfall eines Mitglieds vor der Präsentation</w:t>
            </w:r>
          </w:p>
        </w:tc>
        <w:tc>
          <w:tcPr>
            <w:tcW w:type="dxa" w:w="16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niedrig</w:t>
            </w:r>
          </w:p>
        </w:tc>
        <w:tc>
          <w:tcPr>
            <w:tcW w:type="dxa" w:w="47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Folien und Sprecherzuordnung im Repository, Vertretung bei der Generalprobe abstimmen</w:t>
            </w:r>
          </w:p>
        </w:tc>
      </w:tr>
    </w:tbl>
    <w:p>
      <w:pPr>
        <w:spacing w:after="200" w:before="60"/>
        <w:jc w:val="center"/>
      </w:pPr>
      <w:r>
        <w:rPr>
          <w:rFonts w:ascii="Calibri" w:cs="Calibri" w:eastAsia="Calibri" w:hAnsi="Calibri"/>
          <w:i/>
          <w:iCs/>
          <w:color w:val="595959"/>
          <w:sz w:val="18"/>
          <w:szCs w:val="18"/>
        </w:rPr>
        <w:t>Tabelle 4: Risiken und Gegenmaßnahmen</w:t>
      </w:r>
    </w:p>
    <w:p>
      <w:pPr>
        <w:pStyle w:val="Heading1"/>
        <w:keepNext/>
        <w:spacing w:after="120" w:before="360"/>
      </w:pPr>
      <w:r>
        <w:rPr>
          <w:rFonts w:ascii="Calibri" w:cs="Calibri" w:eastAsia="Calibri" w:hAnsi="Calibri"/>
        </w:rPr>
        <w:t>5 Überblick über die erstellten Artefakte</w:t>
      </w:r>
    </w:p>
    <w:p>
      <w:pPr>
        <w:spacing w:after="120" w:line="276"/>
        <w:jc w:val="both"/>
      </w:pPr>
      <w:r>
        <w:rPr>
          <w:rFonts w:ascii="Calibri" w:cs="Calibri" w:eastAsia="Calibri" w:hAnsi="Calibri"/>
          <w:sz w:val="22"/>
          <w:szCs w:val="22"/>
        </w:rPr>
        <w:t>Tabelle 5 zeigt, was wir abgeben. Alle vier Dateien liegen im Archiv Fallstudie-WWI25B4-Gruppe1.zip, das jedes Gruppenmitglied selbst in Moodle hochlädt. Die Abschnitte danach beschreiben die Modelle und zeigen jeweils ausgewählte Diagramme.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960"/>
      </w:tblGrid>
      <w:tr>
        <w:trPr>
          <w:tblHeader/>
          <w:cantSplit/>
        </w:trPr>
        <w:tc>
          <w:tcPr>
            <w:tcW w:type="dxa" w:w="3400"/>
            <w:shd w:fill="1F3864" w:color="auto" w:val="clear"/>
            <w:tcMar>
              <w:top w:type="dxa" w:w="50"/>
              <w:left w:type="dxa" w:w="90"/>
              <w:bottom w:type="dxa" w:w="50"/>
              <w:right w:type="dxa" w:w="90"/>
            </w:tcMar>
            <w:vAlign w:val="top"/>
          </w:tcPr>
          <w:p>
            <w:pPr>
              <w:keepNext/>
              <w:spacing w:after="40" w:line="252"/>
              <w:jc w:val="left"/>
            </w:pPr>
            <w:r>
              <w:rPr>
                <w:rFonts w:ascii="Calibri" w:cs="Calibri" w:eastAsia="Calibri" w:hAnsi="Calibri"/>
                <w:b/>
                <w:bCs/>
                <w:color w:val="FFFFFF"/>
                <w:sz w:val="19"/>
                <w:szCs w:val="19"/>
              </w:rPr>
              <w:t>Datei</w:t>
            </w:r>
          </w:p>
        </w:tc>
        <w:tc>
          <w:tcPr>
            <w:tcW w:type="dxa" w:w="5960"/>
            <w:shd w:fill="1F3864" w:color="auto" w:val="clear"/>
            <w:tcMar>
              <w:top w:type="dxa" w:w="50"/>
              <w:left w:type="dxa" w:w="90"/>
              <w:bottom w:type="dxa" w:w="50"/>
              <w:right w:type="dxa" w:w="90"/>
            </w:tcMar>
            <w:vAlign w:val="top"/>
          </w:tcPr>
          <w:p>
            <w:pPr>
              <w:keepNext/>
              <w:spacing w:after="40" w:line="252"/>
              <w:jc w:val="left"/>
            </w:pPr>
            <w:r>
              <w:rPr>
                <w:rFonts w:ascii="Calibri" w:cs="Calibri" w:eastAsia="Calibri" w:hAnsi="Calibri"/>
                <w:b/>
                <w:bCs/>
                <w:color w:val="FFFFFF"/>
                <w:sz w:val="19"/>
                <w:szCs w:val="19"/>
              </w:rPr>
              <w:t>Inhalt</w:t>
            </w:r>
          </w:p>
        </w:tc>
      </w:tr>
      <w:tr>
        <w:trPr>
          <w:cantSplit/>
        </w:trPr>
        <w:tc>
          <w:tcPr>
            <w:tcW w:type="dxa" w:w="34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Projekt-WWI25B4-Gruppe1.pdf</w:t>
            </w:r>
          </w:p>
        </w:tc>
        <w:tc>
          <w:tcPr>
            <w:tcW w:type="dxa" w:w="59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Diese Projektdokumentation</w:t>
            </w:r>
          </w:p>
        </w:tc>
      </w:tr>
      <w:tr>
        <w:trPr>
          <w:cantSplit/>
        </w:trPr>
        <w:tc>
          <w:tcPr>
            <w:tcW w:type="dxa" w:w="34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BPMN-WWI25B4-Gruppe1.zip</w:t>
            </w:r>
          </w:p>
        </w:tc>
        <w:tc>
          <w:tcPr>
            <w:tcW w:type="dxa" w:w="59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Zehn BPMN-2.0-Kollaborationsdiagramme als XML, benannt 01-Sofortdiagnose.bpmn bis 10-Retoure.bpmn</w:t>
            </w:r>
          </w:p>
        </w:tc>
      </w:tr>
      <w:tr>
        <w:trPr>
          <w:cantSplit/>
        </w:trPr>
        <w:tc>
          <w:tcPr>
            <w:tcW w:type="dxa" w:w="34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UML-WWI25B4-Gruppe1.vpp</w:t>
            </w:r>
          </w:p>
        </w:tc>
        <w:tc>
          <w:tcPr>
            <w:tcW w:type="dxa" w:w="59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Visual-Paradigm-Projekt mit Use-Case-Diagramm, Klassendiagramm und sechs Sequenzdiagrammen als Unterdiagramme der Use Cases</w:t>
            </w:r>
          </w:p>
        </w:tc>
      </w:tr>
      <w:tr>
        <w:trPr>
          <w:cantSplit/>
        </w:trPr>
        <w:tc>
          <w:tcPr>
            <w:tcW w:type="dxa" w:w="34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Praesentation-WWI25B4-Gruppe1.pdf</w:t>
            </w:r>
          </w:p>
        </w:tc>
        <w:tc>
          <w:tcPr>
            <w:tcW w:type="dxa" w:w="59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Abschlusspräsentation mit Angabe, wer welchen Teil vorträgt</w:t>
            </w:r>
          </w:p>
        </w:tc>
      </w:tr>
    </w:tbl>
    <w:p>
      <w:pPr>
        <w:spacing w:after="200" w:before="60"/>
        <w:jc w:val="center"/>
      </w:pPr>
      <w:r>
        <w:rPr>
          <w:rFonts w:ascii="Calibri" w:cs="Calibri" w:eastAsia="Calibri" w:hAnsi="Calibri"/>
          <w:i/>
          <w:iCs/>
          <w:color w:val="595959"/>
          <w:sz w:val="18"/>
          <w:szCs w:val="18"/>
        </w:rPr>
        <w:t>Tabelle 5: Abgegebene Artefakte</w:t>
      </w:r>
    </w:p>
    <w:p>
      <w:pPr>
        <w:pStyle w:val="Heading2"/>
        <w:keepNext/>
        <w:spacing w:after="120" w:before="240"/>
      </w:pPr>
      <w:r>
        <w:rPr>
          <w:rFonts w:ascii="Calibri" w:cs="Calibri" w:eastAsia="Calibri" w:hAnsi="Calibri"/>
        </w:rPr>
        <w:t>5.1 Geschäftsprozessmodell (BPMN)</w:t>
      </w:r>
    </w:p>
    <w:p>
      <w:pPr>
        <w:spacing w:after="120" w:line="276"/>
        <w:jc w:val="both"/>
      </w:pPr>
      <w:r>
        <w:rPr>
          <w:rFonts w:ascii="Calibri" w:cs="Calibri" w:eastAsia="Calibri" w:hAnsi="Calibri"/>
          <w:sz w:val="22"/>
          <w:szCs w:val="22"/>
        </w:rPr>
        <w:t>Wir haben zehn Soll-Prozesse unseres Pilotkunden als Kollaborationsdiagramme modelliert (Tabelle 6). Zusammen enthalten sie 131 Aktivitäten im Werkstatt-Pool, im Schnitt 13,1 je Diagramm. Hinzu kommen 26 Aktivitäten in den Abläufen des Kunden, 41 Nachrichtenflüsse sowie 48 Datenobjekte und 12 Datenspeicher.</w:t>
      </w:r>
    </w:p>
    <w:tbl>
      <w:tblPr>
        <w:tblW w:type="dxa" w:w="9800"/>
        <w:tblBorders>
          <w:top w:val="single" w:color="BFBFBF" w:sz="4"/>
          <w:left w:val="single" w:color="BFBFBF" w:sz="4"/>
          <w:bottom w:val="single" w:color="BFBFBF" w:sz="4"/>
          <w:right w:val="single" w:color="BFBFBF" w:sz="4"/>
          <w:insideH w:val="single" w:color="BFBFBF" w:sz="4"/>
          <w:insideV w:val="single" w:color="BFBFBF" w:sz="4"/>
        </w:tblBorders>
      </w:tblPr>
      <w:tblGrid>
        <w:gridCol w:w="450"/>
        <w:gridCol w:w="2100"/>
        <w:gridCol w:w="1500"/>
        <w:gridCol w:w="1500"/>
        <w:gridCol w:w="1750"/>
        <w:gridCol w:w="1150"/>
        <w:gridCol w:w="1350"/>
      </w:tblGrid>
      <w:tr>
        <w:trPr>
          <w:tblHeader/>
          <w:cantSplit/>
        </w:trPr>
        <w:tc>
          <w:tcPr>
            <w:tcW w:type="dxa" w:w="450"/>
            <w:shd w:fill="1F3864" w:color="auto" w:val="clear"/>
            <w:tcMar>
              <w:top w:type="dxa" w:w="50"/>
              <w:left w:type="dxa" w:w="90"/>
              <w:bottom w:type="dxa" w:w="50"/>
              <w:right w:type="dxa" w:w="90"/>
            </w:tcMar>
            <w:vAlign w:val="top"/>
          </w:tcPr>
          <w:p>
            <w:pPr>
              <w:keepNext/>
              <w:spacing w:after="40" w:line="252"/>
              <w:jc w:val="left"/>
            </w:pPr>
            <w:r>
              <w:rPr>
                <w:rFonts w:ascii="Calibri" w:cs="Calibri" w:eastAsia="Calibri" w:hAnsi="Calibri"/>
                <w:b/>
                <w:bCs/>
                <w:color w:val="FFFFFF"/>
                <w:sz w:val="19"/>
                <w:szCs w:val="19"/>
              </w:rPr>
              <w:t>Nr</w:t>
            </w:r>
          </w:p>
        </w:tc>
        <w:tc>
          <w:tcPr>
            <w:tcW w:type="dxa" w:w="2100"/>
            <w:shd w:fill="1F3864" w:color="auto" w:val="clear"/>
            <w:tcMar>
              <w:top w:type="dxa" w:w="50"/>
              <w:left w:type="dxa" w:w="90"/>
              <w:bottom w:type="dxa" w:w="50"/>
              <w:right w:type="dxa" w:w="90"/>
            </w:tcMar>
            <w:vAlign w:val="top"/>
          </w:tcPr>
          <w:p>
            <w:pPr>
              <w:keepNext/>
              <w:spacing w:after="40" w:line="252"/>
              <w:jc w:val="left"/>
            </w:pPr>
            <w:r>
              <w:rPr>
                <w:rFonts w:ascii="Calibri" w:cs="Calibri" w:eastAsia="Calibri" w:hAnsi="Calibri"/>
                <w:b/>
                <w:bCs/>
                <w:color w:val="FFFFFF"/>
                <w:sz w:val="19"/>
                <w:szCs w:val="19"/>
              </w:rPr>
              <w:t>Prozess</w:t>
            </w:r>
          </w:p>
        </w:tc>
        <w:tc>
          <w:tcPr>
            <w:tcW w:type="dxa" w:w="1500"/>
            <w:shd w:fill="1F3864" w:color="auto" w:val="clear"/>
            <w:tcMar>
              <w:top w:type="dxa" w:w="50"/>
              <w:left w:type="dxa" w:w="90"/>
              <w:bottom w:type="dxa" w:w="50"/>
              <w:right w:type="dxa" w:w="90"/>
            </w:tcMar>
            <w:vAlign w:val="top"/>
          </w:tcPr>
          <w:p>
            <w:pPr>
              <w:keepNext/>
              <w:spacing w:after="40" w:line="252"/>
              <w:jc w:val="left"/>
            </w:pPr>
            <w:r>
              <w:rPr>
                <w:rFonts w:ascii="Calibri" w:cs="Calibri" w:eastAsia="Calibri" w:hAnsi="Calibri"/>
                <w:b/>
                <w:bCs/>
                <w:color w:val="FFFFFF"/>
                <w:sz w:val="19"/>
                <w:szCs w:val="19"/>
              </w:rPr>
              <w:t>Auslöser (Start)</w:t>
            </w:r>
          </w:p>
        </w:tc>
        <w:tc>
          <w:tcPr>
            <w:tcW w:type="dxa" w:w="1500"/>
            <w:shd w:fill="1F3864" w:color="auto" w:val="clear"/>
            <w:tcMar>
              <w:top w:type="dxa" w:w="50"/>
              <w:left w:type="dxa" w:w="90"/>
              <w:bottom w:type="dxa" w:w="50"/>
              <w:right w:type="dxa" w:w="90"/>
            </w:tcMar>
            <w:vAlign w:val="top"/>
          </w:tcPr>
          <w:p>
            <w:pPr>
              <w:keepNext/>
              <w:spacing w:after="40" w:line="252"/>
              <w:jc w:val="left"/>
            </w:pPr>
            <w:r>
              <w:rPr>
                <w:rFonts w:ascii="Calibri" w:cs="Calibri" w:eastAsia="Calibri" w:hAnsi="Calibri"/>
                <w:b/>
                <w:bCs/>
                <w:color w:val="FFFFFF"/>
                <w:sz w:val="19"/>
                <w:szCs w:val="19"/>
              </w:rPr>
              <w:t>Ergebnis (Ende)</w:t>
            </w:r>
          </w:p>
        </w:tc>
        <w:tc>
          <w:tcPr>
            <w:tcW w:type="dxa" w:w="1750"/>
            <w:shd w:fill="1F3864" w:color="auto" w:val="clear"/>
            <w:tcMar>
              <w:top w:type="dxa" w:w="50"/>
              <w:left w:type="dxa" w:w="90"/>
              <w:bottom w:type="dxa" w:w="50"/>
              <w:right w:type="dxa" w:w="90"/>
            </w:tcMar>
            <w:vAlign w:val="top"/>
          </w:tcPr>
          <w:p>
            <w:pPr>
              <w:keepNext/>
              <w:spacing w:after="40" w:line="252"/>
              <w:jc w:val="left"/>
            </w:pPr>
            <w:r>
              <w:rPr>
                <w:rFonts w:ascii="Calibri" w:cs="Calibri" w:eastAsia="Calibri" w:hAnsi="Calibri"/>
                <w:b/>
                <w:bCs/>
                <w:color w:val="FFFFFF"/>
                <w:sz w:val="19"/>
                <w:szCs w:val="19"/>
              </w:rPr>
              <w:t>Pools</w:t>
            </w:r>
          </w:p>
        </w:tc>
        <w:tc>
          <w:tcPr>
            <w:tcW w:type="dxa" w:w="1150"/>
            <w:shd w:fill="1F3864" w:color="auto" w:val="clear"/>
            <w:tcMar>
              <w:top w:type="dxa" w:w="50"/>
              <w:left w:type="dxa" w:w="90"/>
              <w:bottom w:type="dxa" w:w="50"/>
              <w:right w:type="dxa" w:w="90"/>
            </w:tcMar>
            <w:vAlign w:val="top"/>
          </w:tcPr>
          <w:p>
            <w:pPr>
              <w:keepNext/>
              <w:spacing w:after="40" w:line="252"/>
              <w:jc w:val="left"/>
            </w:pPr>
            <w:r>
              <w:rPr>
                <w:rFonts w:ascii="Calibri" w:cs="Calibri" w:eastAsia="Calibri" w:hAnsi="Calibri"/>
                <w:b/>
                <w:bCs/>
                <w:color w:val="FFFFFF"/>
                <w:sz w:val="19"/>
                <w:szCs w:val="19"/>
              </w:rPr>
              <w:t>Akt.</w:t>
            </w:r>
          </w:p>
        </w:tc>
        <w:tc>
          <w:tcPr>
            <w:tcW w:type="dxa" w:w="1350"/>
            <w:shd w:fill="1F3864" w:color="auto" w:val="clear"/>
            <w:tcMar>
              <w:top w:type="dxa" w:w="50"/>
              <w:left w:type="dxa" w:w="90"/>
              <w:bottom w:type="dxa" w:w="50"/>
              <w:right w:type="dxa" w:w="90"/>
            </w:tcMar>
            <w:vAlign w:val="top"/>
          </w:tcPr>
          <w:p>
            <w:pPr>
              <w:keepNext/>
              <w:spacing w:after="40" w:line="252"/>
              <w:jc w:val="left"/>
            </w:pPr>
            <w:r>
              <w:rPr>
                <w:rFonts w:ascii="Calibri" w:cs="Calibri" w:eastAsia="Calibri" w:hAnsi="Calibri"/>
                <w:b/>
                <w:bCs/>
                <w:color w:val="FFFFFF"/>
                <w:sz w:val="19"/>
                <w:szCs w:val="19"/>
              </w:rPr>
              <w:t>davon autom.</w:t>
            </w:r>
          </w:p>
        </w:tc>
      </w:tr>
      <w:tr>
        <w:trPr>
          <w:cantSplit/>
        </w:trPr>
        <w:tc>
          <w:tcPr>
            <w:tcW w:type="dxa" w:w="4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01</w:t>
            </w:r>
          </w:p>
        </w:tc>
        <w:tc>
          <w:tcPr>
            <w:tcW w:type="dxa" w:w="21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KI-Sofortdiagnose und Voranmeldung</w:t>
            </w:r>
          </w:p>
        </w:tc>
        <w:tc>
          <w:tcPr>
            <w:tcW w:type="dxa" w:w="15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Anfrage eingegangen</w:t>
            </w:r>
          </w:p>
        </w:tc>
        <w:tc>
          <w:tcPr>
            <w:tcW w:type="dxa" w:w="15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Sofortdiagnose abgeschlossen</w:t>
            </w:r>
          </w:p>
        </w:tc>
        <w:tc>
          <w:tcPr>
            <w:tcW w:type="dxa" w:w="17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Werkstattbetrieb, Kunde</w:t>
            </w:r>
          </w:p>
        </w:tc>
        <w:tc>
          <w:tcPr>
            <w:tcW w:type="dxa" w:w="11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12</w:t>
            </w:r>
          </w:p>
        </w:tc>
        <w:tc>
          <w:tcPr>
            <w:tcW w:type="dxa" w:w="13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12 (100 %)</w:t>
            </w:r>
          </w:p>
        </w:tc>
      </w:tr>
      <w:tr>
        <w:trPr>
          <w:cantSplit/>
        </w:trPr>
        <w:tc>
          <w:tcPr>
            <w:tcW w:type="dxa" w:w="4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02</w:t>
            </w:r>
          </w:p>
        </w:tc>
        <w:tc>
          <w:tcPr>
            <w:tcW w:type="dxa" w:w="21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Auftragsannahme, Geräteregistrierung und Terminplanung</w:t>
            </w:r>
          </w:p>
        </w:tc>
        <w:tc>
          <w:tcPr>
            <w:tcW w:type="dxa" w:w="15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Kunde erschienen</w:t>
            </w:r>
          </w:p>
        </w:tc>
        <w:tc>
          <w:tcPr>
            <w:tcW w:type="dxa" w:w="15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Auftrag angenommen</w:t>
            </w:r>
          </w:p>
        </w:tc>
        <w:tc>
          <w:tcPr>
            <w:tcW w:type="dxa" w:w="17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Werkstattbetrieb, Kunde</w:t>
            </w:r>
          </w:p>
        </w:tc>
        <w:tc>
          <w:tcPr>
            <w:tcW w:type="dxa" w:w="11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12</w:t>
            </w:r>
          </w:p>
        </w:tc>
        <w:tc>
          <w:tcPr>
            <w:tcW w:type="dxa" w:w="13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4 (33 %)</w:t>
            </w:r>
          </w:p>
        </w:tc>
      </w:tr>
      <w:tr>
        <w:trPr>
          <w:cantSplit/>
        </w:trPr>
        <w:tc>
          <w:tcPr>
            <w:tcW w:type="dxa" w:w="4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03</w:t>
            </w:r>
          </w:p>
        </w:tc>
        <w:tc>
          <w:tcPr>
            <w:tcW w:type="dxa" w:w="21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Fehlerdiagnose</w:t>
            </w:r>
          </w:p>
        </w:tc>
        <w:tc>
          <w:tcPr>
            <w:tcW w:type="dxa" w:w="15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Auftrag eingeplant</w:t>
            </w:r>
          </w:p>
        </w:tc>
        <w:tc>
          <w:tcPr>
            <w:tcW w:type="dxa" w:w="15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Diagnose abgeschlossen</w:t>
            </w:r>
          </w:p>
        </w:tc>
        <w:tc>
          <w:tcPr>
            <w:tcW w:type="dxa" w:w="17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Werkstattbetrieb, Kunde</w:t>
            </w:r>
          </w:p>
        </w:tc>
        <w:tc>
          <w:tcPr>
            <w:tcW w:type="dxa" w:w="11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12</w:t>
            </w:r>
          </w:p>
        </w:tc>
        <w:tc>
          <w:tcPr>
            <w:tcW w:type="dxa" w:w="13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5 (42 %)</w:t>
            </w:r>
          </w:p>
        </w:tc>
      </w:tr>
      <w:tr>
        <w:trPr>
          <w:cantSplit/>
        </w:trPr>
        <w:tc>
          <w:tcPr>
            <w:tcW w:type="dxa" w:w="4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04</w:t>
            </w:r>
          </w:p>
        </w:tc>
        <w:tc>
          <w:tcPr>
            <w:tcW w:type="dxa" w:w="21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Kostenvoranschlag und Kundenfreigabe</w:t>
            </w:r>
          </w:p>
        </w:tc>
        <w:tc>
          <w:tcPr>
            <w:tcW w:type="dxa" w:w="15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KVA angestoßen</w:t>
            </w:r>
          </w:p>
        </w:tc>
        <w:tc>
          <w:tcPr>
            <w:tcW w:type="dxa" w:w="15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KVA-Entscheidung verarbeitet</w:t>
            </w:r>
          </w:p>
        </w:tc>
        <w:tc>
          <w:tcPr>
            <w:tcW w:type="dxa" w:w="17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Werkstattbetrieb, Kunde</w:t>
            </w:r>
          </w:p>
        </w:tc>
        <w:tc>
          <w:tcPr>
            <w:tcW w:type="dxa" w:w="11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11</w:t>
            </w:r>
          </w:p>
        </w:tc>
        <w:tc>
          <w:tcPr>
            <w:tcW w:type="dxa" w:w="13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7 (64 %)</w:t>
            </w:r>
          </w:p>
        </w:tc>
      </w:tr>
      <w:tr>
        <w:trPr>
          <w:cantSplit/>
        </w:trPr>
        <w:tc>
          <w:tcPr>
            <w:tcW w:type="dxa" w:w="4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05</w:t>
            </w:r>
          </w:p>
        </w:tc>
        <w:tc>
          <w:tcPr>
            <w:tcW w:type="dxa" w:w="21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Ersatzteil-Verfügbarkeit und Reservierung</w:t>
            </w:r>
          </w:p>
        </w:tc>
        <w:tc>
          <w:tcPr>
            <w:tcW w:type="dxa" w:w="15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KVA freigegeben</w:t>
            </w:r>
          </w:p>
        </w:tc>
        <w:tc>
          <w:tcPr>
            <w:tcW w:type="dxa" w:w="15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Ersatzteile disponiert</w:t>
            </w:r>
          </w:p>
        </w:tc>
        <w:tc>
          <w:tcPr>
            <w:tcW w:type="dxa" w:w="17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Werkstattbetrieb, Kunde</w:t>
            </w:r>
          </w:p>
        </w:tc>
        <w:tc>
          <w:tcPr>
            <w:tcW w:type="dxa" w:w="11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14</w:t>
            </w:r>
          </w:p>
        </w:tc>
        <w:tc>
          <w:tcPr>
            <w:tcW w:type="dxa" w:w="13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11 (79 %)</w:t>
            </w:r>
          </w:p>
        </w:tc>
      </w:tr>
      <w:tr>
        <w:trPr>
          <w:cantSplit/>
        </w:trPr>
        <w:tc>
          <w:tcPr>
            <w:tcW w:type="dxa" w:w="4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06</w:t>
            </w:r>
          </w:p>
        </w:tc>
        <w:tc>
          <w:tcPr>
            <w:tcW w:type="dxa" w:w="21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Ersatzteil-Bestellung beim Lieferanten</w:t>
            </w:r>
          </w:p>
        </w:tc>
        <w:tc>
          <w:tcPr>
            <w:tcW w:type="dxa" w:w="15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Bestellbedarf gemeldet</w:t>
            </w:r>
          </w:p>
        </w:tc>
        <w:tc>
          <w:tcPr>
            <w:tcW w:type="dxa" w:w="15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Bestellung abgeschlossen</w:t>
            </w:r>
          </w:p>
        </w:tc>
        <w:tc>
          <w:tcPr>
            <w:tcW w:type="dxa" w:w="17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Werkstattbetrieb, Lieferant, Kunde</w:t>
            </w:r>
          </w:p>
        </w:tc>
        <w:tc>
          <w:tcPr>
            <w:tcW w:type="dxa" w:w="11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14</w:t>
            </w:r>
          </w:p>
        </w:tc>
        <w:tc>
          <w:tcPr>
            <w:tcW w:type="dxa" w:w="13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8 (57 %)</w:t>
            </w:r>
          </w:p>
        </w:tc>
      </w:tr>
      <w:tr>
        <w:trPr>
          <w:cantSplit/>
        </w:trPr>
        <w:tc>
          <w:tcPr>
            <w:tcW w:type="dxa" w:w="4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07</w:t>
            </w:r>
          </w:p>
        </w:tc>
        <w:tc>
          <w:tcPr>
            <w:tcW w:type="dxa" w:w="21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Reparaturdurchführung und Arbeitszeiterfassung</w:t>
            </w:r>
          </w:p>
        </w:tc>
        <w:tc>
          <w:tcPr>
            <w:tcW w:type="dxa" w:w="15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Ersatzteile disponiert</w:t>
            </w:r>
          </w:p>
        </w:tc>
        <w:tc>
          <w:tcPr>
            <w:tcW w:type="dxa" w:w="15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Reparatur abgeschlossen</w:t>
            </w:r>
          </w:p>
        </w:tc>
        <w:tc>
          <w:tcPr>
            <w:tcW w:type="dxa" w:w="17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Werkstattbetrieb, Kunde</w:t>
            </w:r>
          </w:p>
        </w:tc>
        <w:tc>
          <w:tcPr>
            <w:tcW w:type="dxa" w:w="11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13</w:t>
            </w:r>
          </w:p>
        </w:tc>
        <w:tc>
          <w:tcPr>
            <w:tcW w:type="dxa" w:w="13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5 (38 %)</w:t>
            </w:r>
          </w:p>
        </w:tc>
      </w:tr>
      <w:tr>
        <w:trPr>
          <w:cantSplit/>
        </w:trPr>
        <w:tc>
          <w:tcPr>
            <w:tcW w:type="dxa" w:w="4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08</w:t>
            </w:r>
          </w:p>
        </w:tc>
        <w:tc>
          <w:tcPr>
            <w:tcW w:type="dxa" w:w="21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Abholung, Rechnung und Zahlung</w:t>
            </w:r>
          </w:p>
        </w:tc>
        <w:tc>
          <w:tcPr>
            <w:tcW w:type="dxa" w:w="15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Gerät abholbereit</w:t>
            </w:r>
          </w:p>
        </w:tc>
        <w:tc>
          <w:tcPr>
            <w:tcW w:type="dxa" w:w="15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Auftrag abgeschlossen</w:t>
            </w:r>
          </w:p>
        </w:tc>
        <w:tc>
          <w:tcPr>
            <w:tcW w:type="dxa" w:w="17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Werkstattbetrieb, Kunde</w:t>
            </w:r>
          </w:p>
        </w:tc>
        <w:tc>
          <w:tcPr>
            <w:tcW w:type="dxa" w:w="11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17</w:t>
            </w:r>
          </w:p>
        </w:tc>
        <w:tc>
          <w:tcPr>
            <w:tcW w:type="dxa" w:w="13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11 (65 %)</w:t>
            </w:r>
          </w:p>
        </w:tc>
      </w:tr>
      <w:tr>
        <w:trPr>
          <w:cantSplit/>
        </w:trPr>
        <w:tc>
          <w:tcPr>
            <w:tcW w:type="dxa" w:w="4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09</w:t>
            </w:r>
          </w:p>
        </w:tc>
        <w:tc>
          <w:tcPr>
            <w:tcW w:type="dxa" w:w="21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Reklamation und Gewährleistung</w:t>
            </w:r>
          </w:p>
        </w:tc>
        <w:tc>
          <w:tcPr>
            <w:tcW w:type="dxa" w:w="15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Mangel gemeldet</w:t>
            </w:r>
          </w:p>
        </w:tc>
        <w:tc>
          <w:tcPr>
            <w:tcW w:type="dxa" w:w="15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Reklamation abgeschlossen</w:t>
            </w:r>
          </w:p>
        </w:tc>
        <w:tc>
          <w:tcPr>
            <w:tcW w:type="dxa" w:w="17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Werkstattbetrieb, Kunde</w:t>
            </w:r>
          </w:p>
        </w:tc>
        <w:tc>
          <w:tcPr>
            <w:tcW w:type="dxa" w:w="11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15</w:t>
            </w:r>
          </w:p>
        </w:tc>
        <w:tc>
          <w:tcPr>
            <w:tcW w:type="dxa" w:w="13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8 (53 %)</w:t>
            </w:r>
          </w:p>
        </w:tc>
      </w:tr>
      <w:tr>
        <w:trPr>
          <w:cantSplit/>
        </w:trPr>
        <w:tc>
          <w:tcPr>
            <w:tcW w:type="dxa" w:w="4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10</w:t>
            </w:r>
          </w:p>
        </w:tc>
        <w:tc>
          <w:tcPr>
            <w:tcW w:type="dxa" w:w="21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Ersatzteil-Retoure und Lieferanten-Reklamation</w:t>
            </w:r>
          </w:p>
        </w:tc>
        <w:tc>
          <w:tcPr>
            <w:tcW w:type="dxa" w:w="15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Mangelhaftes Teil festgestellt</w:t>
            </w:r>
          </w:p>
        </w:tc>
        <w:tc>
          <w:tcPr>
            <w:tcW w:type="dxa" w:w="15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Retoure abgeschlossen</w:t>
            </w:r>
          </w:p>
        </w:tc>
        <w:tc>
          <w:tcPr>
            <w:tcW w:type="dxa" w:w="17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Werkstattbetrieb, Lieferant</w:t>
            </w:r>
          </w:p>
        </w:tc>
        <w:tc>
          <w:tcPr>
            <w:tcW w:type="dxa" w:w="11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11</w:t>
            </w:r>
          </w:p>
        </w:tc>
        <w:tc>
          <w:tcPr>
            <w:tcW w:type="dxa" w:w="135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8 (73 %)</w:t>
            </w:r>
          </w:p>
        </w:tc>
      </w:tr>
    </w:tbl>
    <w:p>
      <w:pPr>
        <w:spacing w:after="200" w:before="60"/>
        <w:jc w:val="center"/>
      </w:pPr>
      <w:r>
        <w:rPr>
          <w:rFonts w:ascii="Calibri" w:cs="Calibri" w:eastAsia="Calibri" w:hAnsi="Calibri"/>
          <w:i/>
          <w:iCs/>
          <w:color w:val="595959"/>
          <w:sz w:val="18"/>
          <w:szCs w:val="18"/>
        </w:rPr>
        <w:t>Tabelle 6: Prozesslandkarte mit Kennzahlen</w:t>
      </w:r>
    </w:p>
    <w:p>
      <w:pPr>
        <w:spacing w:after="120" w:line="276"/>
        <w:jc w:val="both"/>
      </w:pPr>
      <w:r>
        <w:rPr>
          <w:rFonts w:ascii="Calibri" w:cs="Calibri" w:eastAsia="Calibri" w:hAnsi="Calibri"/>
          <w:sz w:val="22"/>
          <w:szCs w:val="22"/>
        </w:rPr>
        <w:t>Der Pool Werkstattbetrieb enthält den ausführbaren Prozess. Seine Lanes sind die Rollen Service/Annahme, Techniker, Werkstattleitung und Ersatzteil-Disposition. Kunde und Lieferant sind eigene Pools, mit denen nur über Nachrichtenflüsse kommuniziert wird. Der Kunde hat in den Prozessen 01 bis 09 einen eigenen, nicht ausführbaren Ablauf. So ist sichtbar, wann er antwortet und wie der Vorgang für ihn endet. Den Lieferanten modellieren wir als Black Box, weil wir seine internen Abläufe nicht kennen. Für die Software gibt es keine eigene Lane. Ob RepairFlow einen Schritt allein erledigt, zeigt der Aktivitätstyp: Service Task (automatisch), Business Rule Task (Regel oder KI), Send- und Receive Task (Nachricht über die Plattform), User Task (Mitarbeiter in der Plattform) und Manual Task (außerhalb der Software).</w:t>
      </w:r>
    </w:p>
    <w:p>
      <w:pPr>
        <w:spacing w:after="120" w:line="276"/>
        <w:jc w:val="both"/>
      </w:pPr>
      <w:r>
        <w:rPr>
          <w:rFonts w:ascii="Calibri" w:cs="Calibri" w:eastAsia="Calibri" w:hAnsi="Calibri"/>
          <w:sz w:val="22"/>
          <w:szCs w:val="22"/>
        </w:rPr>
        <w:t>Die Prozesse greifen über Aufruf-Aktivitäten ineinander. Ein freigegebener KVA (04) startet die Disposition (05), Fehlteile lösen die Bestellung aus (06), und die Rückgabe jedes Geräts läuft über Prozess 08, auch nach einer Ablehnung oder Reklamation. Jede Warteschleife hat einen Ausstieg. Bleibt der KVA dreimal drei Tage ohne Antwort, gilt er als abgelehnt, ausstehende Lieferungen werden zweimal angemahnt, bevor storniert wird, und nach der zweiten erfolglosen Nacharbeit wird ein Auftrag abgelehnt. Abbildung 2 und Abbildung 3 zeigen zwei der zehn Diagramme. Alle Diagramme liegen vollständig in BPMN-WWI25B4-Gruppe1.zip.</w:t>
      </w:r>
    </w:p>
    <w:p>
      <w:pPr>
        <w:spacing w:after="120" w:line="276"/>
        <w:jc w:val="both"/>
      </w:pPr>
      <w:r>
        <w:rPr>
          <w:rFonts w:ascii="Calibri" w:cs="Calibri" w:eastAsia="Calibri" w:hAnsi="Calibri"/>
          <w:sz w:val="22"/>
          <w:szCs w:val="22"/>
        </w:rPr>
        <w:t>Die zehn Prozesse im Überblick:</w:t>
      </w:r>
    </w:p>
    <w:p>
      <w:pPr>
        <w:pStyle w:val="ListParagraph"/>
        <w:numPr>
          <w:ilvl w:val="0"/>
          <w:numId w:val="2"/>
        </w:numPr>
        <w:spacing w:after="60" w:line="264"/>
      </w:pPr>
      <w:r>
        <w:rPr>
          <w:rFonts w:ascii="Calibri" w:cs="Calibri" w:eastAsia="Calibri" w:hAnsi="Calibri"/>
          <w:b/>
          <w:bCs/>
          <w:sz w:val="22"/>
          <w:szCs w:val="22"/>
        </w:rPr>
        <w:t xml:space="preserve">01 KI-Sofortdiagnose und Voranmeldung. </w:t>
      </w:r>
      <w:r>
        <w:rPr>
          <w:rFonts w:ascii="Calibri" w:cs="Calibri" w:eastAsia="Calibri" w:hAnsi="Calibri"/>
          <w:sz w:val="22"/>
          <w:szCs w:val="22"/>
        </w:rPr>
        <w:t>Aus Foto, Video oder Ton des Kunden entstehen Voranmeldung, KI-Diagnosevorschlag, vorläufiger KVA und Terminvorschlag. Nicht auswertbare Medien fordert das System neu an. Ohne Antwort binnen sieben Tagen wird die Voranmeldung verworfen.</w:t>
      </w:r>
    </w:p>
    <w:p>
      <w:pPr>
        <w:pStyle w:val="ListParagraph"/>
        <w:numPr>
          <w:ilvl w:val="0"/>
          <w:numId w:val="2"/>
        </w:numPr>
        <w:spacing w:after="60" w:line="264"/>
      </w:pPr>
      <w:r>
        <w:rPr>
          <w:rFonts w:ascii="Calibri" w:cs="Calibri" w:eastAsia="Calibri" w:hAnsi="Calibri"/>
          <w:b/>
          <w:bCs/>
          <w:sz w:val="22"/>
          <w:szCs w:val="22"/>
        </w:rPr>
        <w:t xml:space="preserve">02 Auftragsannahme und Terminplanung. </w:t>
      </w:r>
      <w:r>
        <w:rPr>
          <w:rFonts w:ascii="Calibri" w:cs="Calibri" w:eastAsia="Calibri" w:hAnsi="Calibri"/>
          <w:sz w:val="22"/>
          <w:szCs w:val="22"/>
        </w:rPr>
        <w:t>Das Gerät wird angenommen, Daten einer Voranmeldung werden übernommen. Die Werkstattleitung prüft die Auslastung, leitet bei Bedarf an eine andere Filiale um und weist einen Techniker zu.</w:t>
      </w:r>
    </w:p>
    <w:p>
      <w:pPr>
        <w:pStyle w:val="ListParagraph"/>
        <w:numPr>
          <w:ilvl w:val="0"/>
          <w:numId w:val="2"/>
        </w:numPr>
        <w:spacing w:after="60" w:line="264"/>
      </w:pPr>
      <w:r>
        <w:rPr>
          <w:rFonts w:ascii="Calibri" w:cs="Calibri" w:eastAsia="Calibri" w:hAnsi="Calibri"/>
          <w:b/>
          <w:bCs/>
          <w:sz w:val="22"/>
          <w:szCs w:val="22"/>
        </w:rPr>
        <w:t xml:space="preserve">03 Fehlerdiagnose. </w:t>
      </w:r>
      <w:r>
        <w:rPr>
          <w:rFonts w:ascii="Calibri" w:cs="Calibri" w:eastAsia="Calibri" w:hAnsi="Calibri"/>
          <w:sz w:val="22"/>
          <w:szCs w:val="22"/>
        </w:rPr>
        <w:t>Der Techniker prüft den KI-Vorschlag, misst und dokumentiert den Befund. Ist die Reparatur nicht wirtschaftlich, etwa bei Totalschaden, wird der Auftrag abgelehnt, und das Gerät geht über Prozess 08 mit Diagnosepauschale zurück.</w:t>
      </w:r>
    </w:p>
    <w:p>
      <w:pPr>
        <w:pStyle w:val="ListParagraph"/>
        <w:numPr>
          <w:ilvl w:val="0"/>
          <w:numId w:val="2"/>
        </w:numPr>
        <w:spacing w:after="60" w:line="264"/>
      </w:pPr>
      <w:r>
        <w:rPr>
          <w:rFonts w:ascii="Calibri" w:cs="Calibri" w:eastAsia="Calibri" w:hAnsi="Calibri"/>
          <w:b/>
          <w:bCs/>
          <w:sz w:val="22"/>
          <w:szCs w:val="22"/>
        </w:rPr>
        <w:t xml:space="preserve">04 Kostenvoranschlag und Kundenfreigabe. </w:t>
      </w:r>
      <w:r>
        <w:rPr>
          <w:rFonts w:ascii="Calibri" w:cs="Calibri" w:eastAsia="Calibri" w:hAnsi="Calibri"/>
          <w:sz w:val="22"/>
          <w:szCs w:val="22"/>
        </w:rPr>
        <w:t>Der KVA wird berechnet, geprüft und versendet. Bleibt die Antwort drei Tage aus, wird er mit Erinnerung erneut gesendet. Nach dem dritten Fristablauf ohne Antwort gilt er als abgelehnt.</w:t>
      </w:r>
    </w:p>
    <w:p>
      <w:pPr>
        <w:pStyle w:val="ListParagraph"/>
        <w:numPr>
          <w:ilvl w:val="0"/>
          <w:numId w:val="2"/>
        </w:numPr>
        <w:spacing w:after="60" w:line="264"/>
      </w:pPr>
      <w:r>
        <w:rPr>
          <w:rFonts w:ascii="Calibri" w:cs="Calibri" w:eastAsia="Calibri" w:hAnsi="Calibri"/>
          <w:b/>
          <w:bCs/>
          <w:sz w:val="22"/>
          <w:szCs w:val="22"/>
        </w:rPr>
        <w:t xml:space="preserve">05 Ersatzteil-Verfügbarkeit und Reservierung. </w:t>
      </w:r>
      <w:r>
        <w:rPr>
          <w:rFonts w:ascii="Calibri" w:cs="Calibri" w:eastAsia="Calibri" w:hAnsi="Calibri"/>
          <w:sz w:val="22"/>
          <w:szCs w:val="22"/>
        </w:rPr>
        <w:t>Je Teil wird zuerst die eigene, dann jede andere Filiale geprüft. Teile werden reserviert oder umgelagert, Fehlteile gehen an Prozess 06.</w:t>
      </w:r>
    </w:p>
    <w:p>
      <w:pPr>
        <w:pStyle w:val="ListParagraph"/>
        <w:numPr>
          <w:ilvl w:val="0"/>
          <w:numId w:val="2"/>
        </w:numPr>
        <w:spacing w:after="60" w:line="264"/>
      </w:pPr>
      <w:r>
        <w:rPr>
          <w:rFonts w:ascii="Calibri" w:cs="Calibri" w:eastAsia="Calibri" w:hAnsi="Calibri"/>
          <w:b/>
          <w:bCs/>
          <w:sz w:val="22"/>
          <w:szCs w:val="22"/>
        </w:rPr>
        <w:t xml:space="preserve">06 Ersatzteil-Bestellung. </w:t>
      </w:r>
      <w:r>
        <w:rPr>
          <w:rFonts w:ascii="Calibri" w:cs="Calibri" w:eastAsia="Calibri" w:hAnsi="Calibri"/>
          <w:sz w:val="22"/>
          <w:szCs w:val="22"/>
        </w:rPr>
        <w:t>Fehlteile und Nachbestellvorschläge werden gebündelt bestellt, oberhalb einer Freigabegrenze erst nach Freigabe. Ohne Bestätigung oder nach zwei erfolglosen Mahnungen wird storniert und ein anderer Lieferant gesucht.</w:t>
      </w:r>
    </w:p>
    <w:p>
      <w:pPr>
        <w:pStyle w:val="ListParagraph"/>
        <w:numPr>
          <w:ilvl w:val="0"/>
          <w:numId w:val="2"/>
        </w:numPr>
        <w:spacing w:after="60" w:line="264"/>
      </w:pPr>
      <w:r>
        <w:rPr>
          <w:rFonts w:ascii="Calibri" w:cs="Calibri" w:eastAsia="Calibri" w:hAnsi="Calibri"/>
          <w:b/>
          <w:bCs/>
          <w:sz w:val="22"/>
          <w:szCs w:val="22"/>
        </w:rPr>
        <w:t xml:space="preserve">07 Reparaturdurchführung. </w:t>
      </w:r>
      <w:r>
        <w:rPr>
          <w:rFonts w:ascii="Calibri" w:cs="Calibri" w:eastAsia="Calibri" w:hAnsi="Calibri"/>
          <w:sz w:val="22"/>
          <w:szCs w:val="22"/>
        </w:rPr>
        <w:t>Der Techniker erfasst Schritte und Arbeitszeit. Ein Zusatzbefund führt zu einem Nachtrags-KVA. Nach bestandener Endkontrolle ist der Auftrag fertig, nach der zweiten erfolglosen Nacharbeit abgelehnt.</w:t>
      </w:r>
    </w:p>
    <w:p>
      <w:pPr>
        <w:pStyle w:val="ListParagraph"/>
        <w:numPr>
          <w:ilvl w:val="0"/>
          <w:numId w:val="2"/>
        </w:numPr>
        <w:spacing w:after="60" w:line="264"/>
      </w:pPr>
      <w:r>
        <w:rPr>
          <w:rFonts w:ascii="Calibri" w:cs="Calibri" w:eastAsia="Calibri" w:hAnsi="Calibri"/>
          <w:b/>
          <w:bCs/>
          <w:sz w:val="22"/>
          <w:szCs w:val="22"/>
        </w:rPr>
        <w:t xml:space="preserve">08 Abholung, Rechnung und Zahlung. </w:t>
      </w:r>
      <w:r>
        <w:rPr>
          <w:rFonts w:ascii="Calibri" w:cs="Calibri" w:eastAsia="Calibri" w:hAnsi="Calibri"/>
          <w:sz w:val="22"/>
          <w:szCs w:val="22"/>
        </w:rPr>
        <w:t>Rechnung, Benachrichtigung, Übergabe und Zahlung. Holt der Kunde nicht ab, folgen Erinnerungen, Lagergebühr und Verwertung, offene Rechnungen werden gemahnt und nach der dritten erfolglosen Mahnung an Inkasso übergeben.</w:t>
      </w:r>
    </w:p>
    <w:p>
      <w:pPr>
        <w:pStyle w:val="ListParagraph"/>
        <w:numPr>
          <w:ilvl w:val="0"/>
          <w:numId w:val="2"/>
        </w:numPr>
        <w:spacing w:after="60" w:line="264"/>
      </w:pPr>
      <w:r>
        <w:rPr>
          <w:rFonts w:ascii="Calibri" w:cs="Calibri" w:eastAsia="Calibri" w:hAnsi="Calibri"/>
          <w:b/>
          <w:bCs/>
          <w:sz w:val="22"/>
          <w:szCs w:val="22"/>
        </w:rPr>
        <w:t xml:space="preserve">09 Reklamation und Gewährleistung. </w:t>
      </w:r>
      <w:r>
        <w:rPr>
          <w:rFonts w:ascii="Calibri" w:cs="Calibri" w:eastAsia="Calibri" w:hAnsi="Calibri"/>
          <w:sz w:val="22"/>
          <w:szCs w:val="22"/>
        </w:rPr>
        <w:t>Der Mangel wird geprüft und die Gewährleistung bewertet. Kostenfreie Nacharbeit gibt die Werkstattleitung frei, sonst entscheidet der Kunde über ein Angebot.</w:t>
      </w:r>
    </w:p>
    <w:p>
      <w:pPr>
        <w:pStyle w:val="ListParagraph"/>
        <w:numPr>
          <w:ilvl w:val="0"/>
          <w:numId w:val="2"/>
        </w:numPr>
        <w:spacing w:after="60" w:line="264"/>
      </w:pPr>
      <w:r>
        <w:rPr>
          <w:rFonts w:ascii="Calibri" w:cs="Calibri" w:eastAsia="Calibri" w:hAnsi="Calibri"/>
          <w:b/>
          <w:bCs/>
          <w:sz w:val="22"/>
          <w:szCs w:val="22"/>
        </w:rPr>
        <w:t xml:space="preserve">10 Ersatzteil-Retoure. </w:t>
      </w:r>
      <w:r>
        <w:rPr>
          <w:rFonts w:ascii="Calibri" w:cs="Calibri" w:eastAsia="Calibri" w:hAnsi="Calibri"/>
          <w:sz w:val="22"/>
          <w:szCs w:val="22"/>
        </w:rPr>
        <w:t>Defekte Lieferantenteile werden angemeldet und zurückgesendet. Danach folgt eine Gutschrift oder eine Ersatzlieferung, ohne Antwort nach der Eskalation wird das Teil abgeschrieben.</w:t>
      </w:r>
    </w:p>
    <w:tbl>
      <w:tblPr>
        <w:tblW w:type="auto" w:w="0"/>
        <w:tblLook w:firstColumn="1" w:firstRow="1" w:lastColumn="0" w:lastRow="0" w:noHBand="0" w:noVBand="1" w:val="04A0"/>
        <w:tblBorders>
          <w:top w:val="dashed" w:sz="8" w:color="B8860B"/>
          <w:left w:val="dashed" w:sz="8" w:color="B8860B"/>
          <w:bottom w:val="dashed" w:sz="8" w:color="B8860B"/>
          <w:right w:val="dashed" w:sz="8" w:color="B8860B"/>
        </w:tblBorders>
        <w:tblW w:w="9070" w:type="dxa"/>
        <w:jc w:val="center"/>
      </w:tblPr>
      <w:tblGrid>
        <w:gridCol w:w="9106"/>
      </w:tblGrid>
      <w:tr>
        <w:trPr>
          <w:trHeight w:val="3685" w:hRule="exact"/>
          <w:cantSplit/>
        </w:trPr>
        <w:tc>
          <w:tcPr>
            <w:tcW w:type="dxa" w:w="9106"/>
            <w:shd w:val="clear" w:color="auto" w:fill="FFF8D6"/>
            <w:vAlign w:val="center"/>
          </w:tcPr>
          <w:p>
            <w:pPr>
              <w:jc w:val="center"/>
            </w:pPr>
            <w:r>
              <w:rPr>
                <w:rFonts w:ascii="Calibri" w:hAnsi="Calibri"/>
                <w:b/>
                <w:sz w:val="22"/>
              </w:rPr>
              <w:t>Abbildung einfügen: Prozess 01 KI-Sofortdiagnose und Voranmeldung</w:t>
            </w:r>
          </w:p>
          <w:p>
            <w:pPr>
              <w:jc w:val="center"/>
            </w:pPr>
            <w:r>
              <w:rPr>
                <w:rFonts w:ascii="Calibri" w:hAnsi="Calibri"/>
                <w:i/>
                <w:sz w:val="19"/>
              </w:rPr>
              <w:t>Camunda Modeler: bpmn/p01-sofortdiagnose.bpmn öffnen → File → Export as Image → PNG. Einfügen mit 16 cm Breite, dann diesen Kasten löschen.</w:t>
            </w:r>
          </w:p>
        </w:tc>
      </w:tr>
    </w:tbl>
    <w:p>
      <w:pPr>
        <w:spacing w:after="200" w:before="60"/>
        <w:jc w:val="center"/>
      </w:pPr>
      <w:r>
        <w:rPr>
          <w:rFonts w:ascii="Calibri" w:cs="Calibri" w:eastAsia="Calibri" w:hAnsi="Calibri"/>
          <w:i/>
          <w:iCs/>
          <w:color w:val="595959"/>
          <w:sz w:val="18"/>
          <w:szCs w:val="18"/>
        </w:rPr>
        <w:t>Abbildung 2: Prozess 01 KI-Sofortdiagnose und Voranmeldung</w:t>
      </w:r>
    </w:p>
    <w:tbl>
      <w:tblPr>
        <w:tblW w:type="auto" w:w="0"/>
        <w:tblLook w:firstColumn="1" w:firstRow="1" w:lastColumn="0" w:lastRow="0" w:noHBand="0" w:noVBand="1" w:val="04A0"/>
        <w:tblBorders>
          <w:top w:val="dashed" w:sz="8" w:color="B8860B"/>
          <w:left w:val="dashed" w:sz="8" w:color="B8860B"/>
          <w:bottom w:val="dashed" w:sz="8" w:color="B8860B"/>
          <w:right w:val="dashed" w:sz="8" w:color="B8860B"/>
        </w:tblBorders>
        <w:tblW w:w="9070" w:type="dxa"/>
        <w:jc w:val="center"/>
      </w:tblPr>
      <w:tblGrid>
        <w:gridCol w:w="9106"/>
      </w:tblGrid>
      <w:tr>
        <w:trPr>
          <w:trHeight w:val="3685" w:hRule="exact"/>
          <w:cantSplit/>
        </w:trPr>
        <w:tc>
          <w:tcPr>
            <w:tcW w:type="dxa" w:w="9106"/>
            <w:shd w:val="clear" w:color="auto" w:fill="FFF8D6"/>
            <w:vAlign w:val="center"/>
          </w:tcPr>
          <w:p>
            <w:pPr>
              <w:jc w:val="center"/>
            </w:pPr>
            <w:r>
              <w:rPr>
                <w:rFonts w:ascii="Calibri" w:hAnsi="Calibri"/>
                <w:b/>
                <w:sz w:val="22"/>
              </w:rPr>
              <w:t>Abbildung einfügen: Prozess 04 Kostenvoranschlag und Kundenfreigabe</w:t>
            </w:r>
          </w:p>
          <w:p>
            <w:pPr>
              <w:jc w:val="center"/>
            </w:pPr>
            <w:r>
              <w:rPr>
                <w:rFonts w:ascii="Calibri" w:hAnsi="Calibri"/>
                <w:i/>
                <w:sz w:val="19"/>
              </w:rPr>
              <w:t>Camunda Modeler: bpmn/p04-kostenvoranschlag.bpmn öffnen → File → Export as Image → PNG. Einfügen mit 16 cm Breite, dann diesen Kasten löschen.</w:t>
            </w:r>
          </w:p>
        </w:tc>
      </w:tr>
    </w:tbl>
    <w:p>
      <w:pPr>
        <w:spacing w:after="200" w:before="60"/>
        <w:jc w:val="center"/>
      </w:pPr>
      <w:r>
        <w:rPr>
          <w:rFonts w:ascii="Calibri" w:cs="Calibri" w:eastAsia="Calibri" w:hAnsi="Calibri"/>
          <w:i/>
          <w:iCs/>
          <w:color w:val="595959"/>
          <w:sz w:val="18"/>
          <w:szCs w:val="18"/>
        </w:rPr>
        <w:t>Abbildung 3: Prozess 04 Kostenvoranschlag und Kundenfreigabe</w:t>
      </w:r>
    </w:p>
    <w:p>
      <w:pPr>
        <w:pStyle w:val="Heading2"/>
        <w:keepNext/>
        <w:spacing w:after="120" w:before="240"/>
      </w:pPr>
      <w:r>
        <w:rPr>
          <w:rFonts w:ascii="Calibri" w:cs="Calibri" w:eastAsia="Calibri" w:hAnsi="Calibri"/>
        </w:rPr>
        <w:t>5.2 Automatisierungspotential</w:t>
      </w:r>
    </w:p>
    <w:p>
      <w:pPr>
        <w:spacing w:after="120" w:line="276"/>
        <w:jc w:val="both"/>
      </w:pPr>
      <w:r>
        <w:rPr>
          <w:rFonts w:ascii="Calibri" w:cs="Calibri" w:eastAsia="Calibri" w:hAnsi="Calibri"/>
          <w:sz w:val="22"/>
          <w:szCs w:val="22"/>
        </w:rPr>
        <w:t>Von den 131 Aktivitäten sind 79 automatisiert, regelbasiert oder Nachrichten der Plattform, also rund 60 Prozent. 33 weitere sind Benutzer-Aktivitäten in der Plattform. Neun manuelle Aktivitäten liegen außerhalb der Software, neun rufen einen anderen Prozess auf, und eine ist der Mehrfach-Teilprozess für die Prüfung je Ersatzteil. Die Software automatisiert vor allem:</w:t>
      </w:r>
    </w:p>
    <w:p>
      <w:pPr>
        <w:pStyle w:val="ListParagraph"/>
        <w:numPr>
          <w:ilvl w:val="0"/>
          <w:numId w:val="2"/>
        </w:numPr>
        <w:spacing w:after="60" w:line="264"/>
      </w:pPr>
      <w:r>
        <w:rPr>
          <w:rFonts w:ascii="Calibri" w:cs="Calibri" w:eastAsia="Calibri" w:hAnsi="Calibri"/>
          <w:sz w:val="22"/>
          <w:szCs w:val="22"/>
        </w:rPr>
        <w:t>die Statusführung des Reparaturauftrags mit Fristen, Erinnerungen, Mahnungen und Lagergebühr,</w:t>
      </w:r>
    </w:p>
    <w:p>
      <w:pPr>
        <w:pStyle w:val="ListParagraph"/>
        <w:numPr>
          <w:ilvl w:val="0"/>
          <w:numId w:val="2"/>
        </w:numPr>
        <w:spacing w:after="60" w:line="264"/>
      </w:pPr>
      <w:r>
        <w:rPr>
          <w:rFonts w:ascii="Calibri" w:cs="Calibri" w:eastAsia="Calibri" w:hAnsi="Calibri"/>
          <w:sz w:val="22"/>
          <w:szCs w:val="22"/>
        </w:rPr>
        <w:t>die Kundenkommunikation von der Sofortdiagnose bis zur Bewertungsanfrage,</w:t>
      </w:r>
    </w:p>
    <w:p>
      <w:pPr>
        <w:pStyle w:val="ListParagraph"/>
        <w:numPr>
          <w:ilvl w:val="0"/>
          <w:numId w:val="2"/>
        </w:numPr>
        <w:spacing w:after="60" w:line="264"/>
      </w:pPr>
      <w:r>
        <w:rPr>
          <w:rFonts w:ascii="Calibri" w:cs="Calibri" w:eastAsia="Calibri" w:hAnsi="Calibri"/>
          <w:sz w:val="22"/>
          <w:szCs w:val="22"/>
        </w:rPr>
        <w:t>die Berechnung von KVA und Rechnung aus Positionen, Ersatzteilpreisen und Arbeitszeiten,</w:t>
      </w:r>
    </w:p>
    <w:p>
      <w:pPr>
        <w:pStyle w:val="ListParagraph"/>
        <w:numPr>
          <w:ilvl w:val="0"/>
          <w:numId w:val="2"/>
        </w:numPr>
        <w:spacing w:after="60" w:line="264"/>
      </w:pPr>
      <w:r>
        <w:rPr>
          <w:rFonts w:ascii="Calibri" w:cs="Calibri" w:eastAsia="Calibri" w:hAnsi="Calibri"/>
          <w:sz w:val="22"/>
          <w:szCs w:val="22"/>
        </w:rPr>
        <w:t>die filialübergreifende Disposition mit Verfügbarkeitsprüfung, Reservierung, Umlagerung und Nachbestellvorschlag,</w:t>
      </w:r>
    </w:p>
    <w:p>
      <w:pPr>
        <w:pStyle w:val="ListParagraph"/>
        <w:numPr>
          <w:ilvl w:val="0"/>
          <w:numId w:val="2"/>
        </w:numPr>
        <w:spacing w:after="60" w:line="264"/>
      </w:pPr>
      <w:r>
        <w:rPr>
          <w:rFonts w:ascii="Calibri" w:cs="Calibri" w:eastAsia="Calibri" w:hAnsi="Calibri"/>
          <w:sz w:val="22"/>
          <w:szCs w:val="22"/>
        </w:rPr>
        <w:t>regelbasierte Entscheidungen wie Wirtschaftlichkeit, Gewährleistung und Freigabegrenze sowie die KI-Sofortdiagnose.</w:t>
      </w:r>
    </w:p>
    <w:p>
      <w:pPr>
        <w:pStyle w:val="Heading2"/>
        <w:keepNext/>
        <w:spacing w:after="120" w:before="240"/>
      </w:pPr>
      <w:r>
        <w:rPr>
          <w:rFonts w:ascii="Calibri" w:cs="Calibri" w:eastAsia="Calibri" w:hAnsi="Calibri"/>
        </w:rPr>
        <w:t>5.3 Use-Case-Diagramm</w:t>
      </w:r>
    </w:p>
    <w:p>
      <w:pPr>
        <w:spacing w:after="120" w:line="276"/>
        <w:jc w:val="both"/>
      </w:pPr>
      <w:r>
        <w:rPr>
          <w:rFonts w:ascii="Calibri" w:cs="Calibri" w:eastAsia="Calibri" w:hAnsi="Calibri"/>
          <w:sz w:val="22"/>
          <w:szCs w:val="22"/>
        </w:rPr>
        <w:t>Das Use-Case-Diagramm (Abbildung 4) zeigt, was RepairFlow aus Sicht seiner Benutzer leistet. Es enthält 19 Use Cases und acht Akteure. Primäre Akteure sind Kunde, Servicemitarbeiter, Techniker, Disponent, Werkstattleiter und Werkstattinhaber, sekundäre der Lieferant und der KI-Diagnosedienst. Jede Lane der Prozessmodelle hat damit einen Akteur.</w:t>
      </w:r>
    </w:p>
    <w:p>
      <w:pPr>
        <w:spacing w:after="120" w:line="276"/>
        <w:jc w:val="both"/>
      </w:pPr>
      <w:r>
        <w:rPr>
          <w:rFonts w:ascii="Calibri" w:cs="Calibri" w:eastAsia="Calibri" w:hAnsi="Calibri"/>
          <w:sz w:val="22"/>
          <w:szCs w:val="22"/>
        </w:rPr>
        <w:t>Zwei include-Beziehungen stehen für Teilschritte, die immer ausgeführt werden: „Sofortdiagnose anfordern“ und „Ersatzteile disponieren und reservieren“ schließen „Ersatzteil-Verfügbarkeit prüfen“ ein. Sechs extend-Beziehungen beschreiben bedingtes Verhalten, jeweils mit Bedingung. So erweitert „Lieferantenbestellung auslösen“ die Disposition nur, wenn Fehlteile vorhanden sind, und „Retoure abwickeln“ den Wareneingang nur bei mangelhafter Lieferung.</w:t>
      </w:r>
    </w:p>
    <w:tbl>
      <w:tblPr>
        <w:tblW w:type="auto" w:w="0"/>
        <w:tblLook w:firstColumn="1" w:firstRow="1" w:lastColumn="0" w:lastRow="0" w:noHBand="0" w:noVBand="1" w:val="04A0"/>
        <w:tblBorders>
          <w:top w:val="dashed" w:sz="8" w:color="B8860B"/>
          <w:left w:val="dashed" w:sz="8" w:color="B8860B"/>
          <w:bottom w:val="dashed" w:sz="8" w:color="B8860B"/>
          <w:right w:val="dashed" w:sz="8" w:color="B8860B"/>
        </w:tblBorders>
        <w:tblW w:w="9070" w:type="dxa"/>
        <w:jc w:val="center"/>
      </w:tblPr>
      <w:tblGrid>
        <w:gridCol w:w="9106"/>
      </w:tblGrid>
      <w:tr>
        <w:trPr>
          <w:trHeight w:val="7371" w:hRule="exact"/>
          <w:cantSplit/>
        </w:trPr>
        <w:tc>
          <w:tcPr>
            <w:tcW w:type="dxa" w:w="9106"/>
            <w:shd w:val="clear" w:color="auto" w:fill="FFF8D6"/>
            <w:vAlign w:val="center"/>
          </w:tcPr>
          <w:p>
            <w:pPr>
              <w:jc w:val="center"/>
            </w:pPr>
            <w:r>
              <w:rPr>
                <w:rFonts w:ascii="Calibri" w:hAnsi="Calibri"/>
                <w:b/>
                <w:sz w:val="22"/>
              </w:rPr>
              <w:t>Abbildung einfügen: Use-Case-Diagramm „ud : RepairFlow“</w:t>
            </w:r>
          </w:p>
          <w:p>
            <w:pPr>
              <w:jc w:val="center"/>
            </w:pPr>
            <w:r>
              <w:rPr>
                <w:rFonts w:ascii="Calibri" w:hAnsi="Calibri"/>
                <w:i/>
                <w:sz w:val="19"/>
              </w:rPr>
              <w:t>Visual Paradigm: Diagramm öffnen → File → Export → Active Diagram as Image → PNG. Einfügen mit 16 cm Breite, dann diesen Kasten löschen.</w:t>
            </w:r>
          </w:p>
        </w:tc>
      </w:tr>
    </w:tbl>
    <w:p>
      <w:pPr>
        <w:spacing w:after="200" w:before="60"/>
        <w:jc w:val="center"/>
      </w:pPr>
      <w:r>
        <w:rPr>
          <w:rFonts w:ascii="Calibri" w:cs="Calibri" w:eastAsia="Calibri" w:hAnsi="Calibri"/>
          <w:i/>
          <w:iCs/>
          <w:color w:val="595959"/>
          <w:sz w:val="18"/>
          <w:szCs w:val="18"/>
        </w:rPr>
        <w:t>Abbildung 4: Use-Case-Diagramm RepairFlow</w:t>
      </w:r>
    </w:p>
    <w:p>
      <w:pPr>
        <w:pStyle w:val="Heading2"/>
        <w:keepNext/>
        <w:spacing w:after="120" w:before="240"/>
      </w:pPr>
      <w:r>
        <w:rPr>
          <w:rFonts w:ascii="Calibri" w:cs="Calibri" w:eastAsia="Calibri" w:hAnsi="Calibri"/>
        </w:rPr>
        <w:t>5.4 Klassendiagramm</w:t>
      </w:r>
    </w:p>
    <w:p>
      <w:pPr>
        <w:spacing w:after="120" w:line="276"/>
        <w:jc w:val="both"/>
      </w:pPr>
      <w:r>
        <w:rPr>
          <w:rFonts w:ascii="Calibri" w:cs="Calibri" w:eastAsia="Calibri" w:hAnsi="Calibri"/>
          <w:sz w:val="22"/>
          <w:szCs w:val="22"/>
        </w:rPr>
        <w:t>Das Klassendiagramm (Abbildung 5) umfasst 27 Klassen, darunter die abstrakten Klassen Person und Mitarbeiter, sowie sieben Aufzählungen und 36 Assoziationen. Wichtige Entwurfsentscheidungen sind:</w:t>
      </w:r>
    </w:p>
    <w:p>
      <w:pPr>
        <w:pStyle w:val="ListParagraph"/>
        <w:numPr>
          <w:ilvl w:val="0"/>
          <w:numId w:val="2"/>
        </w:numPr>
        <w:spacing w:after="60" w:line="264"/>
      </w:pPr>
      <w:r>
        <w:rPr>
          <w:rFonts w:ascii="Calibri" w:cs="Calibri" w:eastAsia="Calibri" w:hAnsi="Calibri"/>
          <w:b/>
          <w:bCs/>
          <w:sz w:val="22"/>
          <w:szCs w:val="22"/>
        </w:rPr>
        <w:t xml:space="preserve">Reparaturauftrag im Zentrum. </w:t>
      </w:r>
      <w:r>
        <w:rPr>
          <w:rFonts w:ascii="Calibri" w:cs="Calibri" w:eastAsia="Calibri" w:hAnsi="Calibri"/>
          <w:sz w:val="22"/>
          <w:szCs w:val="22"/>
        </w:rPr>
        <w:t>Fehlerbefund und Reparaturschritte existieren nur mit ihrem Auftrag und sind Kompositionen. Der KVA ist nur assoziiert, weil der vorläufige KVA der Sofortdiagnose schon vor dem Auftrag entsteht. Der Auftrag hält den Status und die Operation wechsleStatus().</w:t>
      </w:r>
    </w:p>
    <w:p>
      <w:pPr>
        <w:pStyle w:val="ListParagraph"/>
        <w:numPr>
          <w:ilvl w:val="0"/>
          <w:numId w:val="2"/>
        </w:numPr>
        <w:spacing w:after="60" w:line="264"/>
      </w:pPr>
      <w:r>
        <w:rPr>
          <w:rFonts w:ascii="Calibri" w:cs="Calibri" w:eastAsia="Calibri" w:hAnsi="Calibri"/>
          <w:b/>
          <w:bCs/>
          <w:sz w:val="22"/>
          <w:szCs w:val="22"/>
        </w:rPr>
        <w:t xml:space="preserve">Lagerbestand je Filiale. </w:t>
      </w:r>
      <w:r>
        <w:rPr>
          <w:rFonts w:ascii="Calibri" w:cs="Calibri" w:eastAsia="Calibri" w:hAnsi="Calibri"/>
          <w:sz w:val="22"/>
          <w:szCs w:val="22"/>
        </w:rPr>
        <w:t>Ein Ersatzteil ist ein Stammdatum, sein Bestand unterscheidet sich je Filiale. Erst die Klasse Lagerbestand zwischen Ersatzteil und Filiale macht die filialübergreifende Verfügbarkeitsprüfung möglich.</w:t>
      </w:r>
    </w:p>
    <w:p>
      <w:pPr>
        <w:pStyle w:val="ListParagraph"/>
        <w:numPr>
          <w:ilvl w:val="0"/>
          <w:numId w:val="2"/>
        </w:numPr>
        <w:spacing w:after="60" w:line="264"/>
      </w:pPr>
      <w:r>
        <w:rPr>
          <w:rFonts w:ascii="Calibri" w:cs="Calibri" w:eastAsia="Calibri" w:hAnsi="Calibri"/>
          <w:b/>
          <w:bCs/>
          <w:sz w:val="22"/>
          <w:szCs w:val="22"/>
        </w:rPr>
        <w:t xml:space="preserve">Reservierung als eigene Klasse. </w:t>
      </w:r>
      <w:r>
        <w:rPr>
          <w:rFonts w:ascii="Calibri" w:cs="Calibri" w:eastAsia="Calibri" w:hAnsi="Calibri"/>
          <w:sz w:val="22"/>
          <w:szCs w:val="22"/>
        </w:rPr>
        <w:t>ErsatzteilReservierung hat Menge, Datum und einen eigenen Lebenszyklus (vorreserviert, reserviert, entnommen, storniert) und hängt an einem Auftrag oder bei der Sofortdiagnose an einer Voranmeldung.</w:t>
      </w:r>
    </w:p>
    <w:p>
      <w:pPr>
        <w:pStyle w:val="ListParagraph"/>
        <w:numPr>
          <w:ilvl w:val="0"/>
          <w:numId w:val="2"/>
        </w:numPr>
        <w:spacing w:after="60" w:line="264"/>
      </w:pPr>
      <w:r>
        <w:rPr>
          <w:rFonts w:ascii="Calibri" w:cs="Calibri" w:eastAsia="Calibri" w:hAnsi="Calibri"/>
          <w:b/>
          <w:bCs/>
          <w:sz w:val="22"/>
          <w:szCs w:val="22"/>
        </w:rPr>
        <w:t xml:space="preserve">Mandant und Rollen. </w:t>
      </w:r>
      <w:r>
        <w:rPr>
          <w:rFonts w:ascii="Calibri" w:cs="Calibri" w:eastAsia="Calibri" w:hAnsi="Calibri"/>
          <w:sz w:val="22"/>
          <w:szCs w:val="22"/>
        </w:rPr>
        <w:t>Der Werkstattbetrieb steht als Mandant über Filialen und Mitarbeitern. Die Unterklassen von Mitarbeiter (Servicemitarbeiter, Techniker, Disponent, Werkstattleiter) entsprechen den Lanes und Akteuren und tragen die Operationen ihrer Rolle.</w:t>
      </w:r>
    </w:p>
    <w:p>
      <w:pPr>
        <w:pStyle w:val="ListParagraph"/>
        <w:numPr>
          <w:ilvl w:val="0"/>
          <w:numId w:val="2"/>
        </w:numPr>
        <w:spacing w:after="60" w:line="264"/>
      </w:pPr>
      <w:r>
        <w:rPr>
          <w:rFonts w:ascii="Calibri" w:cs="Calibri" w:eastAsia="Calibri" w:hAnsi="Calibri"/>
          <w:b/>
          <w:bCs/>
          <w:sz w:val="22"/>
          <w:szCs w:val="22"/>
        </w:rPr>
        <w:t xml:space="preserve">Nacharbeit als neuer Auftrag. </w:t>
      </w:r>
      <w:r>
        <w:rPr>
          <w:rFonts w:ascii="Calibri" w:cs="Calibri" w:eastAsia="Calibri" w:hAnsi="Calibri"/>
          <w:sz w:val="22"/>
          <w:szCs w:val="22"/>
        </w:rPr>
        <w:t>Eine Reklamation verweist auf den Ursprungsauftrag und führt zu einem neuen Reparaturauftrag, dessen Attribut kostenfrei angibt, ob die Gewährleistung greift.</w:t>
      </w:r>
    </w:p>
    <w:tbl>
      <w:tblPr>
        <w:tblW w:type="auto" w:w="0"/>
        <w:tblLook w:firstColumn="1" w:firstRow="1" w:lastColumn="0" w:lastRow="0" w:noHBand="0" w:noVBand="1" w:val="04A0"/>
        <w:tblBorders>
          <w:top w:val="dashed" w:sz="8" w:color="B8860B"/>
          <w:left w:val="dashed" w:sz="8" w:color="B8860B"/>
          <w:bottom w:val="dashed" w:sz="8" w:color="B8860B"/>
          <w:right w:val="dashed" w:sz="8" w:color="B8860B"/>
        </w:tblBorders>
        <w:tblW w:w="9070" w:type="dxa"/>
        <w:jc w:val="center"/>
      </w:tblPr>
      <w:tblGrid>
        <w:gridCol w:w="9106"/>
      </w:tblGrid>
      <w:tr>
        <w:trPr>
          <w:trHeight w:val="10773" w:hRule="exact"/>
          <w:cantSplit/>
        </w:trPr>
        <w:tc>
          <w:tcPr>
            <w:tcW w:type="dxa" w:w="9106"/>
            <w:shd w:val="clear" w:color="auto" w:fill="FFF8D6"/>
            <w:vAlign w:val="center"/>
          </w:tcPr>
          <w:p>
            <w:pPr>
              <w:jc w:val="center"/>
            </w:pPr>
            <w:r>
              <w:rPr>
                <w:rFonts w:ascii="Calibri" w:hAnsi="Calibri"/>
                <w:b/>
                <w:sz w:val="22"/>
              </w:rPr>
              <w:t>Abbildung einfügen: Klassendiagramm „cd : RepairFlow“</w:t>
            </w:r>
          </w:p>
          <w:p>
            <w:pPr>
              <w:jc w:val="center"/>
            </w:pPr>
            <w:r>
              <w:rPr>
                <w:rFonts w:ascii="Calibri" w:hAnsi="Calibri"/>
                <w:i/>
                <w:sz w:val="19"/>
              </w:rPr>
              <w:t>Visual Paradigm: Diagramm öffnen → File → Export → Active Diagram as Image → PNG. Einfügen mit 16 cm Breite (bei Bedarf Querformat), dann diesen Kasten löschen.</w:t>
            </w:r>
          </w:p>
        </w:tc>
      </w:tr>
    </w:tbl>
    <w:p>
      <w:pPr>
        <w:spacing w:after="200" w:before="60"/>
        <w:jc w:val="center"/>
      </w:pPr>
      <w:r>
        <w:rPr>
          <w:rFonts w:ascii="Calibri" w:cs="Calibri" w:eastAsia="Calibri" w:hAnsi="Calibri"/>
          <w:i/>
          <w:iCs/>
          <w:color w:val="595959"/>
          <w:sz w:val="18"/>
          <w:szCs w:val="18"/>
        </w:rPr>
        <w:t>Abbildung 5: Klassendiagramm RepairFlow</w:t>
      </w:r>
    </w:p>
    <w:p>
      <w:pPr>
        <w:pStyle w:val="Heading2"/>
        <w:keepNext/>
        <w:spacing w:after="120" w:before="240"/>
      </w:pPr>
      <w:r>
        <w:rPr>
          <w:rFonts w:ascii="Calibri" w:cs="Calibri" w:eastAsia="Calibri" w:hAnsi="Calibri"/>
        </w:rPr>
        <w:t>5.5 Sequenzdiagramme</w:t>
      </w:r>
    </w:p>
    <w:p>
      <w:pPr>
        <w:spacing w:after="120" w:line="276"/>
        <w:jc w:val="both"/>
      </w:pPr>
      <w:r>
        <w:rPr>
          <w:rFonts w:ascii="Calibri" w:cs="Calibri" w:eastAsia="Calibri" w:hAnsi="Calibri"/>
          <w:sz w:val="22"/>
          <w:szCs w:val="22"/>
        </w:rPr>
        <w:t>Für sechs Use Cases haben wir Sequenzdiagramme erstellt, gefordert waren fünf (Tabelle 7). Jedes folgt einem Prozess. Die Lebenslinien sind Akteure und Objekte der Klassen, Botschaften an Objekte sind Operationen des Klassendiagramms. Kombinierte Fragmente bilden Verzweigungen (alt, opt), Schleifen (loop), parallele Prüfungen (par) und Verweise auf andere Use Cases (ref) ab.</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90"/>
        <w:gridCol w:w="2494"/>
        <w:gridCol w:w="907"/>
        <w:gridCol w:w="4479"/>
      </w:tblGrid>
      <w:tr>
        <w:trPr>
          <w:tblHeader/>
          <w:cantSplit/>
        </w:trPr>
        <w:tc>
          <w:tcPr>
            <w:tcW w:type="dxa" w:w="1190"/>
            <w:shd w:fill="1F3864" w:color="auto" w:val="clear"/>
            <w:tcMar>
              <w:top w:type="dxa" w:w="50"/>
              <w:left w:type="dxa" w:w="90"/>
              <w:bottom w:type="dxa" w:w="50"/>
              <w:right w:type="dxa" w:w="90"/>
            </w:tcMar>
            <w:vAlign w:val="top"/>
          </w:tcPr>
          <w:p>
            <w:pPr>
              <w:keepNext/>
              <w:spacing w:after="40" w:line="252"/>
              <w:jc w:val="left"/>
            </w:pPr>
            <w:r>
              <w:rPr>
                <w:rFonts w:ascii="Calibri" w:cs="Calibri" w:eastAsia="Calibri" w:hAnsi="Calibri"/>
                <w:b/>
                <w:bCs/>
                <w:color w:val="FFFFFF"/>
                <w:sz w:val="19"/>
                <w:szCs w:val="19"/>
              </w:rPr>
              <w:t>Diagramm</w:t>
            </w:r>
          </w:p>
        </w:tc>
        <w:tc>
          <w:tcPr>
            <w:tcW w:type="dxa" w:w="2494"/>
            <w:shd w:fill="1F3864" w:color="auto" w:val="clear"/>
            <w:tcMar>
              <w:top w:type="dxa" w:w="50"/>
              <w:left w:type="dxa" w:w="90"/>
              <w:bottom w:type="dxa" w:w="50"/>
              <w:right w:type="dxa" w:w="90"/>
            </w:tcMar>
            <w:vAlign w:val="top"/>
          </w:tcPr>
          <w:p>
            <w:pPr>
              <w:keepNext/>
              <w:spacing w:after="40" w:line="252"/>
              <w:jc w:val="left"/>
            </w:pPr>
            <w:r>
              <w:rPr>
                <w:rFonts w:ascii="Calibri" w:cs="Calibri" w:eastAsia="Calibri" w:hAnsi="Calibri"/>
                <w:b/>
                <w:bCs/>
                <w:color w:val="FFFFFF"/>
                <w:sz w:val="19"/>
                <w:szCs w:val="19"/>
              </w:rPr>
              <w:t>Use Case</w:t>
            </w:r>
          </w:p>
        </w:tc>
        <w:tc>
          <w:tcPr>
            <w:tcW w:type="dxa" w:w="907"/>
            <w:shd w:fill="1F3864" w:color="auto" w:val="clear"/>
            <w:tcMar>
              <w:top w:type="dxa" w:w="50"/>
              <w:left w:type="dxa" w:w="90"/>
              <w:bottom w:type="dxa" w:w="50"/>
              <w:right w:type="dxa" w:w="90"/>
            </w:tcMar>
            <w:vAlign w:val="top"/>
          </w:tcPr>
          <w:p>
            <w:pPr>
              <w:keepNext/>
              <w:spacing w:after="40" w:line="252"/>
              <w:jc w:val="left"/>
            </w:pPr>
            <w:r>
              <w:rPr>
                <w:rFonts w:ascii="Calibri" w:cs="Calibri" w:eastAsia="Calibri" w:hAnsi="Calibri"/>
                <w:b/>
                <w:bCs/>
                <w:color w:val="FFFFFF"/>
                <w:sz w:val="19"/>
                <w:szCs w:val="19"/>
              </w:rPr>
              <w:t>Prozess</w:t>
            </w:r>
          </w:p>
        </w:tc>
        <w:tc>
          <w:tcPr>
            <w:tcW w:type="dxa" w:w="4479"/>
            <w:shd w:fill="1F3864" w:color="auto" w:val="clear"/>
            <w:tcMar>
              <w:top w:type="dxa" w:w="50"/>
              <w:left w:type="dxa" w:w="90"/>
              <w:bottom w:type="dxa" w:w="50"/>
              <w:right w:type="dxa" w:w="90"/>
            </w:tcMar>
            <w:vAlign w:val="top"/>
          </w:tcPr>
          <w:p>
            <w:pPr>
              <w:keepNext/>
              <w:spacing w:after="40" w:line="252"/>
              <w:jc w:val="left"/>
            </w:pPr>
            <w:r>
              <w:rPr>
                <w:rFonts w:ascii="Calibri" w:cs="Calibri" w:eastAsia="Calibri" w:hAnsi="Calibri"/>
                <w:b/>
                <w:bCs/>
                <w:color w:val="FFFFFF"/>
                <w:sz w:val="19"/>
                <w:szCs w:val="19"/>
              </w:rPr>
              <w:t>Kern des Ablaufs</w:t>
            </w:r>
          </w:p>
        </w:tc>
      </w:tr>
      <w:tr>
        <w:trPr>
          <w:cantSplit/>
        </w:trPr>
        <w:tc>
          <w:tcPr>
            <w:tcW w:type="dxa" w:w="119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SD1</w:t>
            </w:r>
          </w:p>
        </w:tc>
        <w:tc>
          <w:tcPr>
            <w:tcW w:type="dxa" w:w="2494"/>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UC01 Sofortdiagnose anfordern</w:t>
            </w:r>
          </w:p>
        </w:tc>
        <w:tc>
          <w:tcPr>
            <w:tcW w:type="dxa" w:w="907"/>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01</w:t>
            </w:r>
          </w:p>
        </w:tc>
        <w:tc>
          <w:tcPr>
            <w:tcW w:type="dxa" w:w="4479"/>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Medienprüfung mit Nachreichen, KI-Vorschlag, vorläufiger KVA, Terminvorschlag, Vorreservierung erst nach Bestätigung</w:t>
            </w:r>
          </w:p>
        </w:tc>
      </w:tr>
      <w:tr>
        <w:trPr>
          <w:cantSplit/>
        </w:trPr>
        <w:tc>
          <w:tcPr>
            <w:tcW w:type="dxa" w:w="119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SD2</w:t>
            </w:r>
          </w:p>
        </w:tc>
        <w:tc>
          <w:tcPr>
            <w:tcW w:type="dxa" w:w="2494"/>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UC07 KVA freigeben / ablehnen</w:t>
            </w:r>
          </w:p>
        </w:tc>
        <w:tc>
          <w:tcPr>
            <w:tcW w:type="dxa" w:w="907"/>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04</w:t>
            </w:r>
          </w:p>
        </w:tc>
        <w:tc>
          <w:tcPr>
            <w:tcW w:type="dxa" w:w="4479"/>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Versand, Erinnerung nach je drei Tagen, Ablehnung nach dem dritten Fristablauf, Freigabe startet die Disposition, Ablehnung führt zur Abholung</w:t>
            </w:r>
          </w:p>
        </w:tc>
      </w:tr>
      <w:tr>
        <w:trPr>
          <w:cantSplit/>
        </w:trPr>
        <w:tc>
          <w:tcPr>
            <w:tcW w:type="dxa" w:w="119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SD3</w:t>
            </w:r>
          </w:p>
        </w:tc>
        <w:tc>
          <w:tcPr>
            <w:tcW w:type="dxa" w:w="2494"/>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UC09 Ersatzteile disponieren und reservieren</w:t>
            </w:r>
          </w:p>
        </w:tc>
        <w:tc>
          <w:tcPr>
            <w:tcW w:type="dxa" w:w="907"/>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05</w:t>
            </w:r>
          </w:p>
        </w:tc>
        <w:tc>
          <w:tcPr>
            <w:tcW w:type="dxa" w:w="4479"/>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Parallele Prüfung je Teil über eigene und andere Filialen, Umlagerung oder Fehlteil, Meldebestand</w:t>
            </w:r>
          </w:p>
        </w:tc>
      </w:tr>
      <w:tr>
        <w:trPr>
          <w:cantSplit/>
        </w:trPr>
        <w:tc>
          <w:tcPr>
            <w:tcW w:type="dxa" w:w="119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SD4</w:t>
            </w:r>
          </w:p>
        </w:tc>
        <w:tc>
          <w:tcPr>
            <w:tcW w:type="dxa" w:w="2494"/>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UC14 Auftrag fertigmelden</w:t>
            </w:r>
          </w:p>
        </w:tc>
        <w:tc>
          <w:tcPr>
            <w:tcW w:type="dxa" w:w="907"/>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07</w:t>
            </w:r>
          </w:p>
        </w:tc>
        <w:tc>
          <w:tcPr>
            <w:tcW w:type="dxa" w:w="4479"/>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Fertigmeldung erst nach Endkontrolle, höchstens zwei Nacharbeiten, sonst Status abgelehnt</w:t>
            </w:r>
          </w:p>
        </w:tc>
      </w:tr>
      <w:tr>
        <w:trPr>
          <w:cantSplit/>
        </w:trPr>
        <w:tc>
          <w:tcPr>
            <w:tcW w:type="dxa" w:w="119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SD5</w:t>
            </w:r>
          </w:p>
        </w:tc>
        <w:tc>
          <w:tcPr>
            <w:tcW w:type="dxa" w:w="2494"/>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UC16 Reklamation bearbeiten</w:t>
            </w:r>
          </w:p>
        </w:tc>
        <w:tc>
          <w:tcPr>
            <w:tcW w:type="dxa" w:w="907"/>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09</w:t>
            </w:r>
          </w:p>
        </w:tc>
        <w:tc>
          <w:tcPr>
            <w:tcW w:type="dxa" w:w="4479"/>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Mangelprüfung, Gewährleistung, Nacharbeitsauftrag nur nach Freigabe oder Annahme</w:t>
            </w:r>
          </w:p>
        </w:tc>
      </w:tr>
      <w:tr>
        <w:trPr>
          <w:cantSplit/>
        </w:trPr>
        <w:tc>
          <w:tcPr>
            <w:tcW w:type="dxa" w:w="119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SD6</w:t>
            </w:r>
          </w:p>
        </w:tc>
        <w:tc>
          <w:tcPr>
            <w:tcW w:type="dxa" w:w="2494"/>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UC10 Lieferantenbestellung auslösen</w:t>
            </w:r>
          </w:p>
        </w:tc>
        <w:tc>
          <w:tcPr>
            <w:tcW w:type="dxa" w:w="907"/>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06</w:t>
            </w:r>
          </w:p>
        </w:tc>
        <w:tc>
          <w:tcPr>
            <w:tcW w:type="dxa" w:w="4479"/>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Bündelung, Freigabegrenze, Bestätigung oder Storno, zwei Mahnungen, Wareneingang</w:t>
            </w:r>
          </w:p>
        </w:tc>
      </w:tr>
    </w:tbl>
    <w:p>
      <w:pPr>
        <w:spacing w:after="200" w:before="60"/>
        <w:jc w:val="center"/>
      </w:pPr>
      <w:r>
        <w:rPr>
          <w:rFonts w:ascii="Calibri" w:cs="Calibri" w:eastAsia="Calibri" w:hAnsi="Calibri"/>
          <w:i/>
          <w:iCs/>
          <w:color w:val="595959"/>
          <w:sz w:val="18"/>
          <w:szCs w:val="18"/>
        </w:rPr>
        <w:t>Tabelle 7: Die sechs Sequenzdiagramme</w:t>
      </w:r>
    </w:p>
    <w:p>
      <w:pPr>
        <w:spacing w:after="120" w:line="276"/>
        <w:jc w:val="both"/>
      </w:pPr>
      <w:r>
        <w:rPr>
          <w:rFonts w:ascii="Calibri" w:cs="Calibri" w:eastAsia="Calibri" w:hAnsi="Calibri"/>
          <w:sz w:val="22"/>
          <w:szCs w:val="22"/>
        </w:rPr>
        <w:t>Abbildung 6 zeigt SD1 zum Alleinstellungsmerkmal, Abbildung 7 SD3 zur filialübergreifenden Disposition.</w:t>
      </w:r>
    </w:p>
    <w:tbl>
      <w:tblPr>
        <w:tblW w:type="auto" w:w="0"/>
        <w:tblLook w:firstColumn="1" w:firstRow="1" w:lastColumn="0" w:lastRow="0" w:noHBand="0" w:noVBand="1" w:val="04A0"/>
        <w:tblBorders>
          <w:top w:val="dashed" w:sz="8" w:color="B8860B"/>
          <w:left w:val="dashed" w:sz="8" w:color="B8860B"/>
          <w:bottom w:val="dashed" w:sz="8" w:color="B8860B"/>
          <w:right w:val="dashed" w:sz="8" w:color="B8860B"/>
        </w:tblBorders>
        <w:tblW w:w="9070" w:type="dxa"/>
        <w:jc w:val="center"/>
      </w:tblPr>
      <w:tblGrid>
        <w:gridCol w:w="9106"/>
      </w:tblGrid>
      <w:tr>
        <w:trPr>
          <w:trHeight w:val="5670" w:hRule="exact"/>
          <w:cantSplit/>
        </w:trPr>
        <w:tc>
          <w:tcPr>
            <w:tcW w:type="dxa" w:w="9106"/>
            <w:shd w:val="clear" w:color="auto" w:fill="FFF8D6"/>
            <w:vAlign w:val="center"/>
          </w:tcPr>
          <w:p>
            <w:pPr>
              <w:jc w:val="center"/>
            </w:pPr>
            <w:r>
              <w:rPr>
                <w:rFonts w:ascii="Calibri" w:hAnsi="Calibri"/>
                <w:b/>
                <w:sz w:val="22"/>
              </w:rPr>
              <w:t>Abbildung einfügen: SD1 – Sofortdiagnose anfordern (Unterdiagramm von UC01)</w:t>
            </w:r>
          </w:p>
          <w:p>
            <w:pPr>
              <w:jc w:val="center"/>
            </w:pPr>
            <w:r>
              <w:rPr>
                <w:rFonts w:ascii="Calibri" w:hAnsi="Calibri"/>
                <w:i/>
                <w:sz w:val="19"/>
              </w:rPr>
              <w:t>Visual Paradigm: SD1 öffnen → File → Export → Active Diagram as Image → PNG. Einfügen mit 15 cm Breite, dann diesen Kasten löschen.</w:t>
            </w:r>
          </w:p>
        </w:tc>
      </w:tr>
    </w:tbl>
    <w:p>
      <w:pPr>
        <w:spacing w:after="200" w:before="60"/>
        <w:jc w:val="center"/>
      </w:pPr>
      <w:r>
        <w:rPr>
          <w:rFonts w:ascii="Calibri" w:cs="Calibri" w:eastAsia="Calibri" w:hAnsi="Calibri"/>
          <w:i/>
          <w:iCs/>
          <w:color w:val="595959"/>
          <w:sz w:val="18"/>
          <w:szCs w:val="18"/>
        </w:rPr>
        <w:t>Abbildung 6: SD1 Sofortdiagnose anfordern (UC01)</w:t>
      </w:r>
    </w:p>
    <w:tbl>
      <w:tblPr>
        <w:tblW w:type="auto" w:w="0"/>
        <w:tblLook w:firstColumn="1" w:firstRow="1" w:lastColumn="0" w:lastRow="0" w:noHBand="0" w:noVBand="1" w:val="04A0"/>
        <w:tblBorders>
          <w:top w:val="dashed" w:sz="8" w:color="B8860B"/>
          <w:left w:val="dashed" w:sz="8" w:color="B8860B"/>
          <w:bottom w:val="dashed" w:sz="8" w:color="B8860B"/>
          <w:right w:val="dashed" w:sz="8" w:color="B8860B"/>
        </w:tblBorders>
        <w:tblW w:w="9070" w:type="dxa"/>
        <w:jc w:val="center"/>
      </w:tblPr>
      <w:tblGrid>
        <w:gridCol w:w="9106"/>
      </w:tblGrid>
      <w:tr>
        <w:trPr>
          <w:trHeight w:val="5670" w:hRule="exact"/>
          <w:cantSplit/>
        </w:trPr>
        <w:tc>
          <w:tcPr>
            <w:tcW w:type="dxa" w:w="9106"/>
            <w:shd w:val="clear" w:color="auto" w:fill="FFF8D6"/>
            <w:vAlign w:val="center"/>
          </w:tcPr>
          <w:p>
            <w:pPr>
              <w:jc w:val="center"/>
            </w:pPr>
            <w:r>
              <w:rPr>
                <w:rFonts w:ascii="Calibri" w:hAnsi="Calibri"/>
                <w:b/>
                <w:sz w:val="22"/>
              </w:rPr>
              <w:t>Abbildung einfügen: SD3 – Ersatzteile disponieren und reservieren (Unterdiagramm von UC09)</w:t>
            </w:r>
          </w:p>
          <w:p>
            <w:pPr>
              <w:jc w:val="center"/>
            </w:pPr>
            <w:r>
              <w:rPr>
                <w:rFonts w:ascii="Calibri" w:hAnsi="Calibri"/>
                <w:i/>
                <w:sz w:val="19"/>
              </w:rPr>
              <w:t>Visual Paradigm: SD3 öffnen → File → Export → Active Diagram as Image → PNG. Einfügen mit 15 cm Breite, dann diesen Kasten löschen.</w:t>
            </w:r>
          </w:p>
        </w:tc>
      </w:tr>
    </w:tbl>
    <w:p>
      <w:pPr>
        <w:spacing w:after="200" w:before="60"/>
        <w:jc w:val="center"/>
      </w:pPr>
      <w:r>
        <w:rPr>
          <w:rFonts w:ascii="Calibri" w:cs="Calibri" w:eastAsia="Calibri" w:hAnsi="Calibri"/>
          <w:i/>
          <w:iCs/>
          <w:color w:val="595959"/>
          <w:sz w:val="18"/>
          <w:szCs w:val="18"/>
        </w:rPr>
        <w:t>Abbildung 7: SD3 Ersatzteile disponieren und reservieren (UC09)</w:t>
      </w:r>
    </w:p>
    <w:p>
      <w:pPr>
        <w:pStyle w:val="Heading2"/>
        <w:keepNext/>
        <w:spacing w:after="120" w:before="240"/>
      </w:pPr>
      <w:r>
        <w:rPr>
          <w:rFonts w:ascii="Calibri" w:cs="Calibri" w:eastAsia="Calibri" w:hAnsi="Calibri"/>
        </w:rPr>
        <w:t>5.6 Konsistenz zwischen den Modellen</w:t>
      </w:r>
    </w:p>
    <w:p>
      <w:pPr>
        <w:spacing w:after="120" w:line="276"/>
        <w:jc w:val="both"/>
      </w:pPr>
      <w:r>
        <w:rPr>
          <w:rFonts w:ascii="Calibri" w:cs="Calibri" w:eastAsia="Calibri" w:hAnsi="Calibri"/>
          <w:sz w:val="22"/>
          <w:szCs w:val="22"/>
        </w:rPr>
        <w:t>Tabelle 8 ordnet jedem Prozess seine Use Cases, zentralen Klassen und Sequenzdiagramme zu. BPMN-Datenobjekte tragen die Klassennamen, Pools und Lanes entsprechen den Akteuren und Rollenklassen, und die Zustände des Reparaturauftrags folgen in allen Modellen AuftragStatus.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2200"/>
        <w:gridCol w:w="3100"/>
        <w:gridCol w:w="2160"/>
      </w:tblGrid>
      <w:tr>
        <w:trPr>
          <w:tblHeader/>
          <w:cantSplit/>
        </w:trPr>
        <w:tc>
          <w:tcPr>
            <w:tcW w:type="dxa" w:w="1900"/>
            <w:shd w:fill="1F3864" w:color="auto" w:val="clear"/>
            <w:tcMar>
              <w:top w:type="dxa" w:w="50"/>
              <w:left w:type="dxa" w:w="90"/>
              <w:bottom w:type="dxa" w:w="50"/>
              <w:right w:type="dxa" w:w="90"/>
            </w:tcMar>
            <w:vAlign w:val="top"/>
          </w:tcPr>
          <w:p>
            <w:pPr>
              <w:keepNext/>
              <w:spacing w:after="40" w:line="252"/>
              <w:jc w:val="left"/>
            </w:pPr>
            <w:r>
              <w:rPr>
                <w:rFonts w:ascii="Calibri" w:cs="Calibri" w:eastAsia="Calibri" w:hAnsi="Calibri"/>
                <w:b/>
                <w:bCs/>
                <w:color w:val="FFFFFF"/>
                <w:sz w:val="19"/>
                <w:szCs w:val="19"/>
              </w:rPr>
              <w:t>Prozess (BPMN)</w:t>
            </w:r>
          </w:p>
        </w:tc>
        <w:tc>
          <w:tcPr>
            <w:tcW w:type="dxa" w:w="2200"/>
            <w:shd w:fill="1F3864" w:color="auto" w:val="clear"/>
            <w:tcMar>
              <w:top w:type="dxa" w:w="50"/>
              <w:left w:type="dxa" w:w="90"/>
              <w:bottom w:type="dxa" w:w="50"/>
              <w:right w:type="dxa" w:w="90"/>
            </w:tcMar>
            <w:vAlign w:val="top"/>
          </w:tcPr>
          <w:p>
            <w:pPr>
              <w:keepNext/>
              <w:spacing w:after="40" w:line="252"/>
              <w:jc w:val="left"/>
            </w:pPr>
            <w:r>
              <w:rPr>
                <w:rFonts w:ascii="Calibri" w:cs="Calibri" w:eastAsia="Calibri" w:hAnsi="Calibri"/>
                <w:b/>
                <w:bCs/>
                <w:color w:val="FFFFFF"/>
                <w:sz w:val="19"/>
                <w:szCs w:val="19"/>
              </w:rPr>
              <w:t>Use Cases</w:t>
            </w:r>
          </w:p>
        </w:tc>
        <w:tc>
          <w:tcPr>
            <w:tcW w:type="dxa" w:w="3100"/>
            <w:shd w:fill="1F3864" w:color="auto" w:val="clear"/>
            <w:tcMar>
              <w:top w:type="dxa" w:w="50"/>
              <w:left w:type="dxa" w:w="90"/>
              <w:bottom w:type="dxa" w:w="50"/>
              <w:right w:type="dxa" w:w="90"/>
            </w:tcMar>
            <w:vAlign w:val="top"/>
          </w:tcPr>
          <w:p>
            <w:pPr>
              <w:keepNext/>
              <w:spacing w:after="40" w:line="252"/>
              <w:jc w:val="left"/>
            </w:pPr>
            <w:r>
              <w:rPr>
                <w:rFonts w:ascii="Calibri" w:cs="Calibri" w:eastAsia="Calibri" w:hAnsi="Calibri"/>
                <w:b/>
                <w:bCs/>
                <w:color w:val="FFFFFF"/>
                <w:sz w:val="19"/>
                <w:szCs w:val="19"/>
              </w:rPr>
              <w:t>Zentrale Klassen</w:t>
            </w:r>
          </w:p>
        </w:tc>
        <w:tc>
          <w:tcPr>
            <w:tcW w:type="dxa" w:w="2160"/>
            <w:shd w:fill="1F3864" w:color="auto" w:val="clear"/>
            <w:tcMar>
              <w:top w:type="dxa" w:w="50"/>
              <w:left w:type="dxa" w:w="90"/>
              <w:bottom w:type="dxa" w:w="50"/>
              <w:right w:type="dxa" w:w="90"/>
            </w:tcMar>
            <w:vAlign w:val="top"/>
          </w:tcPr>
          <w:p>
            <w:pPr>
              <w:keepNext/>
              <w:spacing w:after="40" w:line="252"/>
              <w:jc w:val="left"/>
            </w:pPr>
            <w:r>
              <w:rPr>
                <w:rFonts w:ascii="Calibri" w:cs="Calibri" w:eastAsia="Calibri" w:hAnsi="Calibri"/>
                <w:b/>
                <w:bCs/>
                <w:color w:val="FFFFFF"/>
                <w:sz w:val="19"/>
                <w:szCs w:val="19"/>
              </w:rPr>
              <w:t>SD</w:t>
            </w:r>
          </w:p>
        </w:tc>
      </w:tr>
      <w:tr>
        <w:trPr>
          <w:cantSplit/>
        </w:trPr>
        <w:tc>
          <w:tcPr>
            <w:tcW w:type="dxa" w:w="19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01 KI-Sofortdiagnose</w:t>
            </w:r>
          </w:p>
        </w:tc>
        <w:tc>
          <w:tcPr>
            <w:tcW w:type="dxa" w:w="22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UC01, UC02, UC08</w:t>
            </w:r>
          </w:p>
        </w:tc>
        <w:tc>
          <w:tcPr>
            <w:tcW w:type="dxa" w:w="31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Voranmeldung, Medienanhang, KIDiagnosevorschlag, Kostenvoranschlag</w:t>
            </w:r>
          </w:p>
        </w:tc>
        <w:tc>
          <w:tcPr>
            <w:tcW w:type="dxa" w:w="21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SD1</w:t>
            </w:r>
          </w:p>
        </w:tc>
      </w:tr>
      <w:tr>
        <w:trPr>
          <w:cantSplit/>
        </w:trPr>
        <w:tc>
          <w:tcPr>
            <w:tcW w:type="dxa" w:w="19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02 Auftragsannahme</w:t>
            </w:r>
          </w:p>
        </w:tc>
        <w:tc>
          <w:tcPr>
            <w:tcW w:type="dxa" w:w="22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UC03, UC17</w:t>
            </w:r>
          </w:p>
        </w:tc>
        <w:tc>
          <w:tcPr>
            <w:tcW w:type="dxa" w:w="31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Reparaturauftrag, Geraet, Filiale, Werkstattleiter</w:t>
            </w:r>
          </w:p>
        </w:tc>
        <w:tc>
          <w:tcPr>
            <w:tcW w:type="dxa" w:w="21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w:t>
            </w:r>
          </w:p>
        </w:tc>
      </w:tr>
      <w:tr>
        <w:trPr>
          <w:cantSplit/>
        </w:trPr>
        <w:tc>
          <w:tcPr>
            <w:tcW w:type="dxa" w:w="19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03 Fehlerdiagnose</w:t>
            </w:r>
          </w:p>
        </w:tc>
        <w:tc>
          <w:tcPr>
            <w:tcW w:type="dxa" w:w="22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UC04, UC05</w:t>
            </w:r>
          </w:p>
        </w:tc>
        <w:tc>
          <w:tcPr>
            <w:tcW w:type="dxa" w:w="31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Fehlerbefund, Techniker, KIDiagnosevorschlag</w:t>
            </w:r>
          </w:p>
        </w:tc>
        <w:tc>
          <w:tcPr>
            <w:tcW w:type="dxa" w:w="21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w:t>
            </w:r>
          </w:p>
        </w:tc>
      </w:tr>
      <w:tr>
        <w:trPr>
          <w:cantSplit/>
        </w:trPr>
        <w:tc>
          <w:tcPr>
            <w:tcW w:type="dxa" w:w="19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04 Kostenvoranschlag</w:t>
            </w:r>
          </w:p>
        </w:tc>
        <w:tc>
          <w:tcPr>
            <w:tcW w:type="dxa" w:w="22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UC06, UC07</w:t>
            </w:r>
          </w:p>
        </w:tc>
        <w:tc>
          <w:tcPr>
            <w:tcW w:type="dxa" w:w="31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Kostenvoranschlag, KvaPosition</w:t>
            </w:r>
          </w:p>
        </w:tc>
        <w:tc>
          <w:tcPr>
            <w:tcW w:type="dxa" w:w="21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SD2</w:t>
            </w:r>
          </w:p>
        </w:tc>
      </w:tr>
      <w:tr>
        <w:trPr>
          <w:cantSplit/>
        </w:trPr>
        <w:tc>
          <w:tcPr>
            <w:tcW w:type="dxa" w:w="19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05 Ersatzteil-Reservierung</w:t>
            </w:r>
          </w:p>
        </w:tc>
        <w:tc>
          <w:tcPr>
            <w:tcW w:type="dxa" w:w="22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UC08, UC09, UC12</w:t>
            </w:r>
          </w:p>
        </w:tc>
        <w:tc>
          <w:tcPr>
            <w:tcW w:type="dxa" w:w="31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Lagerbestand, ErsatzteilReservierung, Disponent</w:t>
            </w:r>
          </w:p>
        </w:tc>
        <w:tc>
          <w:tcPr>
            <w:tcW w:type="dxa" w:w="21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SD3</w:t>
            </w:r>
          </w:p>
        </w:tc>
      </w:tr>
      <w:tr>
        <w:trPr>
          <w:cantSplit/>
        </w:trPr>
        <w:tc>
          <w:tcPr>
            <w:tcW w:type="dxa" w:w="19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06 Ersatzteil-Bestellung</w:t>
            </w:r>
          </w:p>
        </w:tc>
        <w:tc>
          <w:tcPr>
            <w:tcW w:type="dxa" w:w="22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UC10, UC11</w:t>
            </w:r>
          </w:p>
        </w:tc>
        <w:tc>
          <w:tcPr>
            <w:tcW w:type="dxa" w:w="31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Lieferantenbestellung, Bestellposition, Lieferant</w:t>
            </w:r>
          </w:p>
        </w:tc>
        <w:tc>
          <w:tcPr>
            <w:tcW w:type="dxa" w:w="21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SD6</w:t>
            </w:r>
          </w:p>
        </w:tc>
      </w:tr>
      <w:tr>
        <w:trPr>
          <w:cantSplit/>
        </w:trPr>
        <w:tc>
          <w:tcPr>
            <w:tcW w:type="dxa" w:w="19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07 Reparaturdurchführung</w:t>
            </w:r>
          </w:p>
        </w:tc>
        <w:tc>
          <w:tcPr>
            <w:tcW w:type="dxa" w:w="22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UC13, UC14</w:t>
            </w:r>
          </w:p>
        </w:tc>
        <w:tc>
          <w:tcPr>
            <w:tcW w:type="dxa" w:w="31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Reparaturschritt, Arbeitszeitbuchung</w:t>
            </w:r>
          </w:p>
        </w:tc>
        <w:tc>
          <w:tcPr>
            <w:tcW w:type="dxa" w:w="21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SD4</w:t>
            </w:r>
          </w:p>
        </w:tc>
      </w:tr>
      <w:tr>
        <w:trPr>
          <w:cantSplit/>
        </w:trPr>
        <w:tc>
          <w:tcPr>
            <w:tcW w:type="dxa" w:w="19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08 Abholung</w:t>
            </w:r>
          </w:p>
        </w:tc>
        <w:tc>
          <w:tcPr>
            <w:tcW w:type="dxa" w:w="22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UC15</w:t>
            </w:r>
          </w:p>
        </w:tc>
        <w:tc>
          <w:tcPr>
            <w:tcW w:type="dxa" w:w="31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Rechnung, Servicemitarbeiter</w:t>
            </w:r>
          </w:p>
        </w:tc>
        <w:tc>
          <w:tcPr>
            <w:tcW w:type="dxa" w:w="21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w:t>
            </w:r>
          </w:p>
        </w:tc>
      </w:tr>
      <w:tr>
        <w:trPr>
          <w:cantSplit/>
        </w:trPr>
        <w:tc>
          <w:tcPr>
            <w:tcW w:type="dxa" w:w="19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09 Reklamation</w:t>
            </w:r>
          </w:p>
        </w:tc>
        <w:tc>
          <w:tcPr>
            <w:tcW w:type="dxa" w:w="22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UC16, UC03</w:t>
            </w:r>
          </w:p>
        </w:tc>
        <w:tc>
          <w:tcPr>
            <w:tcW w:type="dxa" w:w="31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Reklamation, Reparaturauftrag</w:t>
            </w:r>
          </w:p>
        </w:tc>
        <w:tc>
          <w:tcPr>
            <w:tcW w:type="dxa" w:w="21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SD5</w:t>
            </w:r>
          </w:p>
        </w:tc>
      </w:tr>
      <w:tr>
        <w:trPr>
          <w:cantSplit/>
        </w:trPr>
        <w:tc>
          <w:tcPr>
            <w:tcW w:type="dxa" w:w="19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10 Retoure</w:t>
            </w:r>
          </w:p>
        </w:tc>
        <w:tc>
          <w:tcPr>
            <w:tcW w:type="dxa" w:w="22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UC19</w:t>
            </w:r>
          </w:p>
        </w:tc>
        <w:tc>
          <w:tcPr>
            <w:tcW w:type="dxa" w:w="310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Lieferantenbestellung, Lagerbestand</w:t>
            </w:r>
          </w:p>
        </w:tc>
        <w:tc>
          <w:tcPr>
            <w:tcW w:type="dxa" w:w="2160"/>
            <w:tcMar>
              <w:top w:type="dxa" w:w="50"/>
              <w:left w:type="dxa" w:w="90"/>
              <w:bottom w:type="dxa" w:w="50"/>
              <w:right w:type="dxa" w:w="90"/>
            </w:tcMar>
            <w:vAlign w:val="top"/>
          </w:tcPr>
          <w:p>
            <w:pPr>
              <w:keepNext/>
              <w:spacing w:after="40" w:line="252"/>
              <w:jc w:val="left"/>
            </w:pPr>
            <w:r>
              <w:rPr>
                <w:rFonts w:ascii="Calibri" w:cs="Calibri" w:eastAsia="Calibri" w:hAnsi="Calibri"/>
                <w:b w:val="false"/>
                <w:bCs w:val="false"/>
                <w:color w:val="000000"/>
                <w:sz w:val="19"/>
                <w:szCs w:val="19"/>
              </w:rPr>
              <w:t>–</w:t>
            </w:r>
          </w:p>
        </w:tc>
      </w:tr>
    </w:tbl>
    <w:p>
      <w:pPr>
        <w:spacing w:after="200" w:before="60"/>
        <w:jc w:val="center"/>
      </w:pPr>
      <w:r>
        <w:rPr>
          <w:rFonts w:ascii="Calibri" w:cs="Calibri" w:eastAsia="Calibri" w:hAnsi="Calibri"/>
          <w:i/>
          <w:iCs/>
          <w:color w:val="595959"/>
          <w:sz w:val="18"/>
          <w:szCs w:val="18"/>
        </w:rPr>
        <w:t>Tabelle 8: Zuordnung von Prozessen, Use Cases, Klassen und Sequenzdiagrammen</w:t>
      </w:r>
    </w:p>
    <w:p>
      <w:pPr>
        <w:spacing w:after="120" w:line="276"/>
        <w:jc w:val="both"/>
      </w:pPr>
      <w:r>
        <w:rPr>
          <w:rFonts w:ascii="Calibri" w:cs="Calibri" w:eastAsia="Calibri" w:hAnsi="Calibri"/>
          <w:i/>
          <w:sz w:val="22"/>
          <w:szCs w:val="22"/>
          <w:shd w:val="clear" w:color="auto" w:fill="FFF2A8"/>
        </w:rPr>
        <w:t>[Von der Gruppe zu bestätigen: Fristen aus E-19, E-20 und E-22 sowie die Frage, ob verwertete Geräte einen eigenen Wert in AuftragStatus brauchen. Danach diesen Hinweis löschen oder das Ergebnis hier in einem Satz nennen.]</w:t>
      </w:r>
    </w:p>
    <w:p>
      <w:pPr>
        <w:pStyle w:val="Heading1"/>
        <w:keepNext/>
        <w:spacing w:after="120" w:before="360"/>
      </w:pPr>
      <w:r>
        <w:rPr>
          <w:rFonts w:ascii="Calibri" w:cs="Calibri" w:eastAsia="Calibri" w:hAnsi="Calibri"/>
        </w:rPr>
        <w:t>6 Probleme und Herausforderungen</w:t>
      </w:r>
    </w:p>
    <w:p>
      <w:pPr>
        <w:spacing w:after="120" w:line="276"/>
        <w:jc w:val="both"/>
      </w:pPr>
      <w:r>
        <w:rPr>
          <w:rFonts w:ascii="Calibri" w:cs="Calibri" w:eastAsia="Calibri" w:hAnsi="Calibri"/>
          <w:b/>
          <w:bCs/>
          <w:sz w:val="22"/>
          <w:szCs w:val="22"/>
        </w:rPr>
        <w:t xml:space="preserve">Zwei Entwürfe. </w:t>
      </w:r>
      <w:r>
        <w:rPr>
          <w:rFonts w:ascii="Calibri" w:cs="Calibri" w:eastAsia="Calibri" w:hAnsi="Calibri"/>
          <w:sz w:val="22"/>
          <w:szCs w:val="22"/>
        </w:rPr>
        <w:t>Zu Beginn sind zwei vollständige Entwürfe entstanden, einer aus Sicht der Werkstatt als Betreiber und einer aus Sicht des Softwareanbieters mit KI-Sofortdiagnose. Statt einen zu verwerfen, haben wir beide Artefakt für Artefakt verglichen. Grundlage wurde der Solution-Provider-Entwurf, weil er das Feedback des Dozenten umsetzt. Aus dem anderen Entwurf haben wir unter anderem die Rollenklassen, die Datenspeicher Technikerplan und Buchhaltung und den Sprintplan übernommen.</w:t>
      </w:r>
    </w:p>
    <w:p>
      <w:pPr>
        <w:spacing w:after="120" w:line="276"/>
        <w:jc w:val="both"/>
      </w:pPr>
      <w:r>
        <w:rPr>
          <w:rFonts w:ascii="Calibri" w:cs="Calibri" w:eastAsia="Calibri" w:hAnsi="Calibri"/>
          <w:b/>
          <w:bCs/>
          <w:sz w:val="22"/>
          <w:szCs w:val="22"/>
        </w:rPr>
        <w:t xml:space="preserve">Perspektive. </w:t>
      </w:r>
      <w:r>
        <w:rPr>
          <w:rFonts w:ascii="Calibri" w:cs="Calibri" w:eastAsia="Calibri" w:hAnsi="Calibri"/>
          <w:sz w:val="22"/>
          <w:szCs w:val="22"/>
        </w:rPr>
        <w:t>In der ersten Fassung waren wir gleichzeitig Werkstatt und Softwareanbieter. Erst die Rückfrage des Dozenten hat uns dazu gebracht, das zu klären. Die Prozesse blieben gültig, Texte, Use Cases und Klassenmodell (Mandant) mussten wir aber anpassen.</w:t>
      </w:r>
    </w:p>
    <w:p>
      <w:pPr>
        <w:spacing w:after="120" w:line="276"/>
        <w:jc w:val="both"/>
      </w:pPr>
      <w:r>
        <w:rPr>
          <w:rFonts w:ascii="Calibri" w:cs="Calibri" w:eastAsia="Calibri" w:hAnsi="Calibri"/>
          <w:b/>
          <w:bCs/>
          <w:sz w:val="22"/>
          <w:szCs w:val="22"/>
        </w:rPr>
        <w:t xml:space="preserve">Pools und Lanes. </w:t>
      </w:r>
      <w:r>
        <w:rPr>
          <w:rFonts w:ascii="Calibri" w:cs="Calibri" w:eastAsia="Calibri" w:hAnsi="Calibri"/>
          <w:sz w:val="22"/>
          <w:szCs w:val="22"/>
        </w:rPr>
        <w:t>Ein früher Entwurf zeigte Werkstatt und Disposition als getrennte Pools. Nach der Regel „Pool = Unternehmen, Lane = Rolle“ haben wir auf einen Pool mit Lanes umgestellt. Den Kunden hatten wir zunächst als Black Box gezeichnet. Weil so nicht sichtbar war, wann er antwortet oder entscheidet, bekam er einen eigenen Ablauf (E-16).</w:t>
      </w:r>
    </w:p>
    <w:p>
      <w:pPr>
        <w:spacing w:after="120" w:line="276"/>
        <w:jc w:val="both"/>
      </w:pPr>
      <w:r>
        <w:rPr>
          <w:rFonts w:ascii="Calibri" w:cs="Calibri" w:eastAsia="Calibri" w:hAnsi="Calibri"/>
          <w:b/>
          <w:bCs/>
          <w:sz w:val="22"/>
          <w:szCs w:val="22"/>
        </w:rPr>
        <w:t xml:space="preserve">Lücken zwischen den Prozessen. </w:t>
      </w:r>
      <w:r>
        <w:rPr>
          <w:rFonts w:ascii="Calibri" w:cs="Calibri" w:eastAsia="Calibri" w:hAnsi="Calibri"/>
          <w:sz w:val="22"/>
          <w:szCs w:val="22"/>
        </w:rPr>
        <w:t>Die Prüfung am 05.10.2026 zeigte, dass abgelehnte Aufträge nie abgeholt wurden und Warteschleifen keinen Ausstieg hatten. Seitdem läuft jede Rückgabe über Prozess 08, und jede Warteschleife hat einen Ausstieg.</w:t>
      </w:r>
    </w:p>
    <w:p>
      <w:pPr>
        <w:spacing w:after="120" w:line="276"/>
        <w:jc w:val="both"/>
      </w:pPr>
      <w:r>
        <w:rPr>
          <w:rFonts w:ascii="Calibri" w:cs="Calibri" w:eastAsia="Calibri" w:hAnsi="Calibri"/>
          <w:b/>
          <w:bCs/>
          <w:sz w:val="22"/>
          <w:szCs w:val="22"/>
        </w:rPr>
        <w:t xml:space="preserve">Einheitliche Begriffe. </w:t>
      </w:r>
      <w:r>
        <w:rPr>
          <w:rFonts w:ascii="Calibri" w:cs="Calibri" w:eastAsia="Calibri" w:hAnsi="Calibri"/>
          <w:sz w:val="22"/>
          <w:szCs w:val="22"/>
        </w:rPr>
        <w:t>Datenobjekte, Klassen, Lebenslinien und Statuswerte müssen wortgleich sein. Frühere Datenobjekte hießen etwa „KVA-Position“ statt KvaPosition, und ein Zustand „eingeplant“ kam in AuftragStatus gar nicht vor (E-15). Ändert sich ein Prozess, müssen wir deshalb auch die Use Cases und Sequenzdiagramme prüfen. Nach den Korrekturen an Prozess 07 mussten wir zum Beispiel SD4 nachziehen.</w:t>
      </w:r>
    </w:p>
    <w:p>
      <w:pPr>
        <w:spacing w:after="120" w:line="276"/>
        <w:jc w:val="both"/>
      </w:pPr>
      <w:r>
        <w:rPr>
          <w:rFonts w:ascii="Calibri" w:cs="Calibri" w:eastAsia="Calibri" w:hAnsi="Calibri"/>
          <w:b/>
          <w:bCs/>
          <w:sz w:val="22"/>
          <w:szCs w:val="22"/>
        </w:rPr>
        <w:t xml:space="preserve">Werkzeuge. </w:t>
      </w:r>
      <w:r>
        <w:rPr>
          <w:rFonts w:ascii="Calibri" w:cs="Calibri" w:eastAsia="Calibri" w:hAnsi="Calibri"/>
          <w:sz w:val="22"/>
          <w:szCs w:val="22"/>
        </w:rPr>
        <w:t>Der Teamwork-Server von Visual Paradigm ist nur über das Lehre-VPN erreichbar, und nur zwei von uns arbeiten damit. Ein wiederholter XMI-Import erzeugte doppelte Beziehungen, die wir erst durch einen vollständigen Neuimport losgeworden sind. Der Camunda Modeler meldet für Camunda 8 fehlende technische Angaben als Fehler, deshalb haben wir die Diagramme entsprechend ergänzt. Dass die Prozesskette in einer Engine läuft, ist damit nicht nachgewiesen.</w:t>
      </w:r>
    </w:p>
    <w:p>
      <w:pPr>
        <w:spacing w:after="120" w:line="276"/>
        <w:jc w:val="both"/>
      </w:pPr>
      <w:r>
        <w:rPr>
          <w:rFonts w:ascii="Calibri" w:cs="Calibri" w:eastAsia="Calibri" w:hAnsi="Calibri"/>
          <w:b/>
          <w:bCs/>
          <w:sz w:val="22"/>
          <w:szCs w:val="22"/>
        </w:rPr>
        <w:t xml:space="preserve">Zusammenarbeit. </w:t>
      </w:r>
      <w:r>
        <w:rPr>
          <w:rFonts w:ascii="Calibri" w:cs="Calibri" w:eastAsia="Calibri" w:hAnsi="Calibri"/>
          <w:sz w:val="22"/>
          <w:szCs w:val="22"/>
        </w:rPr>
        <w:t>Am 05.10.2026 legten zwei Pull Requests parallel eine Entscheidung mit derselben Nummer an. Die Konflikte wurden an zwei Stellen gleichzeitig gelöst. Seitdem holen wir vor jeder neuen Entscheidung den aktuellen Stand und nehmen die nächste freie Nummer.</w:t>
      </w:r>
    </w:p>
    <w:p>
      <w:pPr>
        <w:spacing w:after="120" w:line="276"/>
        <w:jc w:val="both"/>
      </w:pPr>
      <w:r>
        <w:rPr>
          <w:rFonts w:ascii="Calibri" w:cs="Calibri" w:eastAsia="Calibri" w:hAnsi="Calibri"/>
          <w:i/>
          <w:sz w:val="22"/>
          <w:szCs w:val="22"/>
          <w:shd w:val="clear" w:color="auto" w:fill="FFF2A8"/>
        </w:rPr>
        <w:t>[Gruppe: Weitere Herausforderungen ergänzen, falls euch etwas fehlt (z. B. Terminfindung, Aufteilung). Danach diesen Hinweis löschen.]</w:t>
      </w:r>
    </w:p>
    <w:p>
      <w:pPr>
        <w:pStyle w:val="Heading1"/>
        <w:keepNext/>
        <w:spacing w:after="120" w:before="360"/>
      </w:pPr>
      <w:r>
        <w:rPr>
          <w:rFonts w:ascii="Calibri" w:cs="Calibri" w:eastAsia="Calibri" w:hAnsi="Calibri"/>
        </w:rPr>
        <w:t>7 Feedback</w:t>
      </w:r>
    </w:p>
    <w:p>
      <w:pPr>
        <w:pStyle w:val="Heading2"/>
        <w:keepNext/>
        <w:spacing w:after="120" w:before="240"/>
      </w:pPr>
      <w:r>
        <w:rPr>
          <w:rFonts w:ascii="Calibri" w:cs="Calibri" w:eastAsia="Calibri" w:hAnsi="Calibri"/>
        </w:rPr>
        <w:t>7.1 Feedback des Dozenten und Umsetzung</w:t>
      </w:r>
    </w:p>
    <w:p>
      <w:pPr>
        <w:spacing w:after="120" w:line="276"/>
        <w:jc w:val="both"/>
      </w:pPr>
      <w:r>
        <w:rPr>
          <w:rFonts w:ascii="Calibri" w:cs="Calibri" w:eastAsia="Calibri" w:hAnsi="Calibri"/>
          <w:sz w:val="22"/>
          <w:szCs w:val="22"/>
        </w:rPr>
        <w:t>Bei der Konzeptvorstellung bekamen wir zwei Hinweise: Wir sollten unsere Perspektive klären und dem Produkt ein Alleinstellungsmerkmal geben, das ruhig visionär sein dürfe, zum Beispiel KI-Funktionen. Wir haben uns daraufhin als Solution Provider positioniert (Abschnitt 2.2) und die KI-Sofortdiagnose entwickelt (Abschnitt 2.5). Fragen zum Vorgehen klären wir in den Gruppenterminen direkt mit dem Dozenten.</w:t>
      </w:r>
    </w:p>
    <w:p>
      <w:pPr>
        <w:spacing w:after="120" w:line="276"/>
        <w:jc w:val="both"/>
      </w:pPr>
      <w:r>
        <w:rPr>
          <w:rFonts w:ascii="Calibri" w:cs="Calibri" w:eastAsia="Calibri" w:hAnsi="Calibri"/>
          <w:i/>
          <w:sz w:val="22"/>
          <w:szCs w:val="22"/>
          <w:shd w:val="clear" w:color="auto" w:fill="FFF2A8"/>
        </w:rPr>
        <w:t>[Gruppe: Hinweise aus den Coachings am 15.10. und 22.10. mit ihrer Umsetzung ergänzen, sonst diesen Hinweis löschen.]</w:t>
      </w:r>
    </w:p>
    <w:p>
      <w:pPr>
        <w:pStyle w:val="Heading2"/>
        <w:keepNext/>
        <w:spacing w:after="120" w:before="240"/>
      </w:pPr>
      <w:r>
        <w:rPr>
          <w:rFonts w:ascii="Calibri" w:cs="Calibri" w:eastAsia="Calibri" w:hAnsi="Calibri"/>
        </w:rPr>
        <w:t>7.2 Unser Feedback zur Fallstudie</w:t>
      </w:r>
    </w:p>
    <w:p>
      <w:pPr>
        <w:spacing w:after="120" w:line="276"/>
        <w:jc w:val="both"/>
      </w:pPr>
      <w:r>
        <w:rPr>
          <w:rFonts w:ascii="Calibri" w:cs="Calibri" w:eastAsia="Calibri" w:hAnsi="Calibri"/>
          <w:sz w:val="22"/>
          <w:szCs w:val="22"/>
        </w:rPr>
        <w:t>Am meisten gebracht hat uns, ein Szenario durchgehend von der Prozessanalyse bis zum Sequenzdiagramm zu modellieren. Erst dabei wurde sichtbar, wie eng BPMN, Use Cases und Klassenmodell zusammenhängen. Die Reviews im Zweierteam und die Gesamtprüfungen haben mehr Fehler gefunden, als wir beim Modellieren selbst bemerkt hätten. Allein der Komplettcheck am 05.10.2026 ergab 39 Befunde.</w:t>
      </w:r>
    </w:p>
    <w:p>
      <w:pPr>
        <w:spacing w:after="120" w:line="276"/>
        <w:jc w:val="both"/>
      </w:pPr>
      <w:r>
        <w:rPr>
          <w:rFonts w:ascii="Calibri" w:cs="Calibri" w:eastAsia="Calibri" w:hAnsi="Calibri"/>
          <w:sz w:val="22"/>
          <w:szCs w:val="22"/>
        </w:rPr>
        <w:t>Viel Aufwand steckte in Dingen am Rand der eigentlichen Analyse, etwa im Zugang zum Teamwork-Server und in den technischen Angaben, die der Camunda Modeler verlangt. Beim nächsten Mal würden wir früher festlegen, welche Datei die verbindliche Quelle eines Modells ist, und das UML-Modell schon im ersten Sprint in Visual Paradigm anlegen.</w:t>
      </w:r>
    </w:p>
    <w:p>
      <w:pPr>
        <w:spacing w:after="120" w:line="276"/>
        <w:jc w:val="both"/>
      </w:pPr>
      <w:r>
        <w:rPr>
          <w:rFonts w:ascii="Calibri" w:cs="Calibri" w:eastAsia="Calibri" w:hAnsi="Calibri"/>
          <w:i/>
          <w:sz w:val="22"/>
          <w:szCs w:val="22"/>
          <w:shd w:val="clear" w:color="auto" w:fill="FFF2A8"/>
        </w:rPr>
        <w:t>[Gruppe: Dieser Abschnitt ist ein Entwurf. Bitte gemeinsam lesen und so ändern, dass er eure Meinung wiedergibt. Danach diesen Hinweis löschen.]</w:t>
      </w:r>
    </w:p>
    <w:sectPr>
      <w:headerReference w:type="default" r:id="rId6"/>
      <w:footerReference w:type="default" r:id="rId7"/>
      <w:pgSz w:w="11906" w:h="16838" w:orient="portrait"/>
      <w:pgMar w:top="1300" w:right="1400" w:bottom="1200" w:left="140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Seite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Seite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8"/>
        <w:szCs w:val="18"/>
      </w:rPr>
      <w:t xml:space="preserve">RepairFlow · Fallstudie Systemanalyse · WWI25B4 · Gruppe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8"/>
        <w:szCs w:val="18"/>
      </w:rPr>
      <w:t xml:space="preserve">RepairFlow · Fallstudie Systemanalyse · WWI25B4 · Gruppe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F5496"/>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13002a9aeefee5e95870cc49e49b894080708c67.png"/><Relationship Id="rId3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RepairFlow – Projektdokumentation Fallstudie Systemanalyse</dc:title>
  <dc:creator>Gruppe 1 WWI25B4</dc:creator>
  <cp:lastModifiedBy/>
  <cp:revision>1</cp:revision>
  <dcterms:created xsi:type="dcterms:W3CDTF">2026-10-05T09:30:36.646Z</dcterms:created>
  <dcterms:modified xsi:type="dcterms:W3CDTF">2026-10-05T10:03:10Z</dcterms:modified>
</cp:coreProperties>
</file>