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Heading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pPr>
      <w:r>
        <w:rPr>
          <w:sz w:val="20"/>
          <w:szCs w:val="20"/>
        </w:rPr>
        <w:t>2.5 Alleinstellungsmerkmal: die KI-Sofortdiagnose</w:t>
      </w:r>
      <w:r>
        <w:rPr>
          <w:sz w:val="20"/>
          <w:szCs w:val="20"/>
        </w:rPr>
        <w:tab/>
        <w:t>4</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77777777" w:rsidR="00570CD3" w:rsidRDefault="004E0540">
      <w:pPr>
        <w:tabs>
          <w:tab w:val="right" w:leader="dot" w:pos="9026"/>
        </w:tabs>
        <w:spacing w:after="40"/>
        <w:ind w:left="400"/>
      </w:pPr>
      <w:r>
        <w:rPr>
          <w:sz w:val="20"/>
          <w:szCs w:val="20"/>
        </w:rPr>
        <w:t>5.4 Klassendiagramm</w:t>
      </w:r>
      <w:r>
        <w:rPr>
          <w:sz w:val="20"/>
          <w:szCs w:val="20"/>
        </w:rPr>
        <w:tab/>
        <w:t>12</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77777777" w:rsidR="00570CD3" w:rsidRDefault="004E0540">
      <w:pPr>
        <w:tabs>
          <w:tab w:val="right" w:leader="dot" w:pos="9026"/>
        </w:tabs>
        <w:spacing w:after="40"/>
      </w:pPr>
      <w:r>
        <w:rPr>
          <w:b/>
          <w:bCs/>
        </w:rPr>
        <w:t>6 Probleme und Herausforderungen</w:t>
      </w:r>
      <w:r>
        <w:rPr>
          <w:b/>
          <w:bCs/>
        </w:rPr>
        <w:tab/>
        <w:t>18</w:t>
      </w:r>
    </w:p>
    <w:p w14:paraId="250316FA" w14:textId="77777777" w:rsidR="00570CD3" w:rsidRDefault="004E0540">
      <w:pPr>
        <w:tabs>
          <w:tab w:val="right" w:leader="dot" w:pos="9026"/>
        </w:tabs>
        <w:spacing w:after="40"/>
      </w:pPr>
      <w:r>
        <w:rPr>
          <w:b/>
          <w:bCs/>
        </w:rPr>
        <w:t>7 Feedback</w:t>
      </w:r>
      <w:r>
        <w:rPr>
          <w:b/>
          <w:bCs/>
        </w:rPr>
        <w:tab/>
        <w:t>19</w:t>
      </w:r>
    </w:p>
    <w:p w14:paraId="02953DF4" w14:textId="77777777" w:rsidR="00570CD3" w:rsidRDefault="004E0540">
      <w:pPr>
        <w:tabs>
          <w:tab w:val="right" w:leader="dot" w:pos="9026"/>
        </w:tabs>
        <w:spacing w:after="40"/>
        <w:ind w:left="400"/>
      </w:pPr>
      <w:r>
        <w:rPr>
          <w:sz w:val="20"/>
          <w:szCs w:val="20"/>
        </w:rPr>
        <w:t>7.1 Feedback des Dozenten und Umsetzung</w:t>
      </w:r>
      <w:r>
        <w:rPr>
          <w:sz w:val="20"/>
          <w:szCs w:val="20"/>
        </w:rPr>
        <w:tab/>
        <w:t>19</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Heading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 xml:space="preserve">Sprint-Rituale und Trello-Board; Klassendiagramm, SD1 </w:t>
            </w:r>
            <w:r>
              <w:rPr>
                <w:color w:val="000000"/>
                <w:sz w:val="19"/>
                <w:szCs w:val="19"/>
                <w:lang w:val="de-DE"/>
              </w:rPr>
              <w:t>bis</w:t>
            </w:r>
            <w:r>
              <w:rPr>
                <w:color w:val="000000"/>
                <w:sz w:val="19"/>
                <w:szCs w:val="19"/>
              </w:rPr>
              <w:t xml:space="preserve">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rPr>
                <w:lang w:val="de-DE"/>
              </w:rPr>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rPr>
          <w:lang w:val="de-DE"/>
        </w:rPr>
      </w:pPr>
      <w:r>
        <w:t>Die Gruppenmitglieder haben folgende Beiträge erarbeitet</w:t>
      </w:r>
      <w:r w:rsidR="0066320F">
        <w:t>:</w:t>
      </w:r>
    </w:p>
    <w:p w14:paraId="28D99630" w14:textId="35B989B5" w:rsidR="00570CD3" w:rsidRDefault="004E0540">
      <w:pPr>
        <w:pStyle w:val="ListParagraph"/>
        <w:numPr>
          <w:ilvl w:val="0"/>
          <w:numId w:val="2"/>
        </w:numPr>
        <w:spacing w:after="60" w:line="264" w:lineRule="auto"/>
      </w:pPr>
      <w:r>
        <w:rPr>
          <w:b/>
          <w:bCs/>
        </w:rPr>
        <w:t xml:space="preserve">Nina Sattler: </w:t>
      </w:r>
      <w:r>
        <w:t xml:space="preserve">Gesamtplanung und Terminsteuerung, </w:t>
      </w:r>
      <w:r w:rsidR="003B4F98">
        <w:t>Erstellung</w:t>
      </w:r>
      <w:r w:rsidR="003B4F98">
        <w:t xml:space="preserve">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Paragraph"/>
        <w:numPr>
          <w:ilvl w:val="0"/>
          <w:numId w:val="2"/>
        </w:numPr>
        <w:spacing w:after="60" w:line="264" w:lineRule="auto"/>
      </w:pPr>
      <w:r>
        <w:rPr>
          <w:b/>
          <w:bCs/>
        </w:rPr>
        <w:t xml:space="preserve">David Leismann: </w:t>
      </w:r>
      <w:r w:rsidR="00DC3BD1">
        <w:t>Erstellung</w:t>
      </w:r>
      <w:r w:rsidR="00DC3BD1">
        <w:t xml:space="preserve">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314D07A2" w:rsidR="00570CD3" w:rsidRDefault="004E0540">
      <w:pPr>
        <w:pStyle w:val="ListParagraph"/>
        <w:numPr>
          <w:ilvl w:val="0"/>
          <w:numId w:val="2"/>
        </w:numPr>
        <w:spacing w:after="60" w:line="264" w:lineRule="auto"/>
      </w:pPr>
      <w:r>
        <w:rPr>
          <w:b/>
          <w:bCs/>
        </w:rPr>
        <w:t xml:space="preserve">Adrian Wenzler: </w:t>
      </w:r>
      <w:r w:rsidR="00DC3BD1">
        <w:t>Erstellung</w:t>
      </w:r>
      <w:r w:rsidR="00DC3BD1">
        <w:t xml:space="preserve"> </w:t>
      </w:r>
      <w:r>
        <w:t>der BPMN-Diagramme 05 und 06, Fachkonzept (Ausgangslage, Solution Provider, Systemkontext, Zustandsautomat, KI-Sofortdiagnose), Pflege des Entscheidungslogs und Abstimmung der Prozessänderungen mit der Gruppe, Überarbeitung von Prozess 06, Automatisierungspotential, Probleme und Herausforderungen</w:t>
      </w:r>
      <w:r w:rsidR="00D23E44">
        <w:t>.</w:t>
      </w:r>
    </w:p>
    <w:p w14:paraId="5299A00E" w14:textId="568C9A39" w:rsidR="00570CD3" w:rsidRDefault="004E0540">
      <w:pPr>
        <w:pStyle w:val="ListParagraph"/>
        <w:numPr>
          <w:ilvl w:val="0"/>
          <w:numId w:val="2"/>
        </w:numPr>
        <w:spacing w:after="60" w:line="264" w:lineRule="auto"/>
      </w:pPr>
      <w:r>
        <w:rPr>
          <w:b/>
          <w:bCs/>
        </w:rPr>
        <w:t xml:space="preserve">Kilian Platter: </w:t>
      </w:r>
      <w:r w:rsidR="00E726A8">
        <w:t>Erstellun</w:t>
      </w:r>
      <w:r>
        <w:t xml:space="preserve">g der Diagramme mit Korrekturen </w:t>
      </w:r>
      <w:r w:rsidR="005B0645">
        <w:t>(</w:t>
      </w:r>
      <w:r>
        <w:t>Klassendiagramm, SD1 bis SD4 in Visual Paradigm</w:t>
      </w:r>
      <w:r w:rsidR="005B0645">
        <w:t>)</w:t>
      </w:r>
      <w:r>
        <w:t>, Visual-Paradigm-Projekt und Konsistenzprüfung der Sequenzdiagramme gegen das Klassendiagramm, Sprint-Rituale und Trello-Board</w:t>
      </w:r>
      <w:r w:rsidR="00D23E44">
        <w:t>.</w:t>
      </w:r>
    </w:p>
    <w:p w14:paraId="6A9E1432" w14:textId="0C719843" w:rsidR="00570CD3" w:rsidRDefault="004E0540">
      <w:pPr>
        <w:pStyle w:val="ListParagraph"/>
        <w:numPr>
          <w:ilvl w:val="0"/>
          <w:numId w:val="2"/>
        </w:numPr>
        <w:spacing w:after="60" w:line="264" w:lineRule="auto"/>
      </w:pPr>
      <w:r>
        <w:rPr>
          <w:b/>
          <w:bCs/>
        </w:rPr>
        <w:t xml:space="preserve">Maximilian Ewald: </w:t>
      </w:r>
      <w:r w:rsidR="00DC3BD1">
        <w:t>Erstellung</w:t>
      </w:r>
      <w:r w:rsidR="00DC3BD1">
        <w:t xml:space="preserve"> </w:t>
      </w:r>
      <w:r>
        <w:t>der BPMN-Diagramme 01 und 02, alle zehn BPMN-Dateien im Camunda Modeler (Anreicherung für Camunda 8, Prüfung im Problems-Panel, PNG-Export), Prozesskennzahlen und Beschreibung der Prozesse</w:t>
      </w:r>
      <w:r w:rsidR="00960812">
        <w:t>, Erstellung der PowerPoint</w:t>
      </w:r>
    </w:p>
    <w:p w14:paraId="4D79BD92" w14:textId="74DDDCCD" w:rsidR="00570CD3" w:rsidRDefault="004E0540">
      <w:pPr>
        <w:pStyle w:val="ListParagraph"/>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1F43506A" w14:textId="77777777" w:rsidR="00D23E44" w:rsidRDefault="00D23E44" w:rsidP="00D23E44">
      <w:pPr>
        <w:pStyle w:val="ListParagraph"/>
        <w:spacing w:after="60" w:line="264" w:lineRule="auto"/>
        <w:ind w:left="540"/>
      </w:pPr>
    </w:p>
    <w:p w14:paraId="526A6A19" w14:textId="77777777" w:rsidR="00570CD3" w:rsidRDefault="004E0540">
      <w:pPr>
        <w:pStyle w:val="Heading1"/>
        <w:keepNext/>
        <w:spacing w:after="120"/>
      </w:pPr>
      <w:r>
        <w:lastRenderedPageBreak/>
        <w:t>2 Das Projekt RepairFlow</w:t>
      </w:r>
    </w:p>
    <w:p w14:paraId="577515AD" w14:textId="77777777" w:rsidR="00570CD3" w:rsidRDefault="004E0540">
      <w:pPr>
        <w:pStyle w:val="Heading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Paragraph"/>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Paragraph"/>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Paragraph"/>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Paragraph"/>
        <w:numPr>
          <w:ilvl w:val="0"/>
          <w:numId w:val="2"/>
        </w:numPr>
        <w:spacing w:after="60" w:line="264" w:lineRule="auto"/>
      </w:pPr>
      <w:r>
        <w:t>Die Auslastung der Techniker ist nicht sichtbar, Termine werden nach Gefühl zugesagt.</w:t>
      </w:r>
    </w:p>
    <w:p w14:paraId="42C9AAB2" w14:textId="77777777" w:rsidR="00570CD3" w:rsidRDefault="004E0540">
      <w:pPr>
        <w:pStyle w:val="Heading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77777777" w:rsidR="00570CD3" w:rsidRDefault="004D5BBB">
      <w:pPr>
        <w:spacing w:after="120" w:line="276" w:lineRule="auto"/>
        <w:jc w:val="both"/>
      </w:pPr>
      <w:r>
        <w:t>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Einen belegten Funktionsvergleich mit bestehenden Werkstattlösungen haben wir nicht erstellt.</w:t>
      </w:r>
    </w:p>
    <w:p w14:paraId="77736816" w14:textId="77777777" w:rsidR="00570CD3" w:rsidRDefault="004E0540">
      <w:pPr>
        <w:pStyle w:val="Heading2"/>
        <w:keepNext/>
      </w:pPr>
      <w:r>
        <w:t>2.3 Systemkontext und Systemgrenze</w:t>
      </w:r>
    </w:p>
    <w:p w14:paraId="216CFFF7" w14:textId="77777777" w:rsidR="00570CD3" w:rsidRDefault="004D5BBB">
      <w:pPr>
        <w:spacing w:after="120" w:line="276" w:lineRule="auto"/>
        <w:jc w:val="both"/>
      </w:pPr>
      <w:r>
        <w:t>Abbildung 1 stellt den Systemkontext und die Systemgrenze dar.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lastRenderedPageBreak/>
        <w:drawing>
          <wp:inline distT="0" distB="0" distL="0" distR="0" wp14:anchorId="5524A09C" wp14:editId="593FF88E">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Heading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Heading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3247EABE" w14:textId="77777777" w:rsidR="00570CD3" w:rsidRDefault="004E0540">
      <w:pPr>
        <w:pStyle w:val="Heading1"/>
        <w:keepNext/>
        <w:spacing w:after="120"/>
      </w:pPr>
      <w:r>
        <w:lastRenderedPageBreak/>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shd w:val="clear" w:color="auto" w:fill="FFF2A8"/>
              </w:rPr>
              <w:t xml:space="preserve"> </w:t>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Heading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Paragraph"/>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Paragraph"/>
        <w:numPr>
          <w:ilvl w:val="0"/>
          <w:numId w:val="2"/>
        </w:numPr>
        <w:spacing w:after="60" w:line="264" w:lineRule="auto"/>
      </w:pPr>
      <w:r>
        <w:t>Aktivitäten heißen Verb mit Objekt („Kundendaten erfassen“), Ereignisse stehen im Partizip Perfekt („Auftrag angenommen“).</w:t>
      </w:r>
    </w:p>
    <w:p w14:paraId="116486EF" w14:textId="77777777" w:rsidR="00570CD3" w:rsidRDefault="004E0540">
      <w:pPr>
        <w:pStyle w:val="ListParagraph"/>
        <w:numPr>
          <w:ilvl w:val="0"/>
          <w:numId w:val="2"/>
        </w:numPr>
        <w:spacing w:after="60" w:line="264" w:lineRule="auto"/>
      </w:pPr>
      <w:r>
        <w:t>Jeder Prozess hat auf Prozessebene genau ein Start- und ein Endereignis. Alternative Ausgänge werden vor dem Ende zusammengeführt.</w:t>
      </w:r>
    </w:p>
    <w:p w14:paraId="58992796" w14:textId="77777777" w:rsidR="00570CD3" w:rsidRDefault="004E0540">
      <w:pPr>
        <w:pStyle w:val="ListParagraph"/>
        <w:numPr>
          <w:ilvl w:val="0"/>
          <w:numId w:val="2"/>
        </w:numPr>
        <w:spacing w:after="60" w:line="264" w:lineRule="auto"/>
      </w:pPr>
      <w:r>
        <w:t>Die Beteiligten erscheinen in BPMN als Pool (Kunde) oder Lane (Service / Annahme, Techniker, Ersatzteil-Disposition, Werkstattleitung), im Use-Case-Diagramm als Rollen mit genau einem Use Case je Rolle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Paragraph"/>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Heading2"/>
        <w:keepNext/>
      </w:pPr>
      <w:r>
        <w:lastRenderedPageBreak/>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Heading1"/>
        <w:keepNext/>
        <w:spacing w:after="120"/>
      </w:pPr>
      <w:r>
        <w:t>4 Projektmanagement</w:t>
      </w:r>
    </w:p>
    <w:p w14:paraId="775A7570" w14:textId="77777777" w:rsidR="00570CD3" w:rsidRDefault="004E0540">
      <w:pPr>
        <w:pStyle w:val="Heading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77777777"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14:paraId="361B5E70" w14:textId="77777777" w:rsidR="00570CD3" w:rsidRDefault="004E0540">
      <w:pPr>
        <w:pStyle w:val="Heading2"/>
        <w:keepNext/>
      </w:pPr>
      <w:r>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7777777" w:rsidR="00570CD3" w:rsidRDefault="004E0540">
            <w:pPr>
              <w:keepNext/>
              <w:spacing w:after="40" w:line="252" w:lineRule="auto"/>
            </w:pPr>
            <w:r>
              <w:rPr>
                <w:i/>
                <w:color w:val="000000"/>
                <w:sz w:val="19"/>
                <w:szCs w:val="19"/>
                <w:shd w:val="clear" w:color="auto" w:fill="FFF2A8"/>
              </w:rPr>
              <w:t>[Ergebnis nach dem 22.10. ergänzen]</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77777777" w:rsidR="00570CD3" w:rsidRDefault="004E0540">
            <w:pPr>
              <w:keepNext/>
              <w:spacing w:after="40" w:line="252" w:lineRule="auto"/>
            </w:pPr>
            <w:r>
              <w:rPr>
                <w:color w:val="000000"/>
                <w:sz w:val="19"/>
                <w:szCs w:val="19"/>
              </w:rPr>
              <w:t>Präsentation am 27.10.2026 in Raum B458, Abgabe bis 13.11.2026 über Moodle.</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Heading2"/>
        <w:keepNext/>
      </w:pPr>
      <w:r>
        <w:lastRenderedPageBreak/>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Heading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Heading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Heading2"/>
        <w:keepNext/>
      </w:pPr>
      <w:r>
        <w:t>5.1 Geschäftsprozessmodell (BPMN)</w:t>
      </w:r>
    </w:p>
    <w:p w14:paraId="4CAAF302" w14:textId="77777777" w:rsidR="00570CD3" w:rsidRDefault="004E0540">
      <w:pPr>
        <w:spacing w:after="120" w:line="276" w:lineRule="auto"/>
        <w:jc w:val="both"/>
      </w:pPr>
      <w:r>
        <w:t xml:space="preserve">Wir haben zehn Soll-Prozesse unseres Pilotkunden als Kollaborationsdiagramme modelliert (Tabelle 6). Zusammen enthalten sie 133 Aktivitäten im Werkstatt-Pool, im Schnitt 13,3 je Diagramm. Hinzu </w:t>
      </w:r>
      <w:r>
        <w:lastRenderedPageBreak/>
        <w:t>kommen 26 Aktivitäten in den Abläufen des Kunden, 42 Nachrichtenflüsse sowie 51 Datenobjekte und 12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12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4 (33 %)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5 (42 %)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7 (64 %)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(80 %)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9 (60 %)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5 (38 %)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(53 %)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8 (73 %)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Paragraph"/>
        <w:numPr>
          <w:ilvl w:val="0"/>
          <w:numId w:val="2"/>
        </w:numPr>
        <w:spacing w:after="60" w:line="264" w:lineRule="auto"/>
      </w:pPr>
      <w:r>
        <w:rPr>
          <w:b/>
          <w:bCs/>
        </w:rPr>
        <w:lastRenderedPageBreak/>
        <w:t xml:space="preserve">01 KI-Sofortdiagnose und Voranmeldung. </w:t>
      </w:r>
      <w:r>
        <w:t>Aus Foto, Video oder Ton des Kunden entstehen Voranmeldung, KI-Diagnosevorschlag, vorläufiger KVA und Terminvorschlag. Nicht auswertbare Medien fordert das System neu an. Ohne Antwort binnen sieben Tagen wird die Voranmeldung verworfen.</w:t>
      </w:r>
    </w:p>
    <w:p w14:paraId="461307CF" w14:textId="77777777" w:rsidR="00570CD3" w:rsidRDefault="004E0540">
      <w:pPr>
        <w:pStyle w:val="ListParagraph"/>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Paragraph"/>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Paragraph"/>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690C847A" w14:textId="77777777" w:rsidR="00570CD3" w:rsidRDefault="004E0540">
      <w:pPr>
        <w:pStyle w:val="ListParagraph"/>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Paragraph"/>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w:t>
      </w:r>
    </w:p>
    <w:p w14:paraId="4D422030" w14:textId="77777777" w:rsidR="00570CD3" w:rsidRDefault="004E0540">
      <w:pPr>
        <w:pStyle w:val="ListParagraph"/>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Paragraph"/>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Paragraph"/>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w:t>
      </w:r>
    </w:p>
    <w:p w14:paraId="23189DB1" w14:textId="77777777" w:rsidR="00570CD3" w:rsidRDefault="004E0540">
      <w:pPr>
        <w:pStyle w:val="ListParagraph"/>
        <w:numPr>
          <w:ilvl w:val="0"/>
          <w:numId w:val="2"/>
        </w:numPr>
        <w:spacing w:after="60" w:line="264" w:lineRule="auto"/>
      </w:pPr>
      <w:r>
        <w:rPr>
          <w:b/>
          <w:bCs/>
        </w:rPr>
        <w:t xml:space="preserve">10 Ersatzteil-Retoure. </w:t>
      </w:r>
      <w:r>
        <w:t>Defekte Lieferantenteile werden angemeldet und zurückgesendet. Danach folgt eine Gutschrift oder eine Ersatzlieferung, ohne Antwort nach der Eskalation wird das Teil abgeschrieben.</w:t>
      </w:r>
    </w:p>
    <w:p w14:paraId="02664DF2" w14:textId="77777777" w:rsidR="00570CD3" w:rsidRDefault="00570CD3">
      <w:pPr>
        <w:jc w:val="center"/>
      </w:pPr>
      <w:r>
        <w:rPr>
          <w:noProof/>
        </w:rPr>
        <w:drawing>
          <wp:inline distT="0" distB="0" distL="0" distR="0" wp14:anchorId="19D2E60F" wp14:editId="4AD0833F">
            <wp:extent cx="5760000" cy="20631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sofortdiagnose.png"/>
                    <pic:cNvPicPr/>
                  </pic:nvPicPr>
                  <pic:blipFill>
                    <a:blip r:embed="rId8"/>
                    <a:stretch>
                      <a:fillRect/>
                    </a:stretch>
                  </pic:blipFill>
                  <pic:spPr>
                    <a:xfrm>
                      <a:off x="0" y="0"/>
                      <a:ext cx="5760000" cy="2063184"/>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77777777" w:rsidR="00570CD3" w:rsidRDefault="00570CD3">
      <w:pPr>
        <w:jc w:val="center"/>
      </w:pPr>
      <w:r>
        <w:rPr>
          <w:noProof/>
        </w:rPr>
        <w:lastRenderedPageBreak/>
        <w:drawing>
          <wp:inline distT="0" distB="0" distL="0" distR="0" wp14:anchorId="3C47F1C3" wp14:editId="2F129291">
            <wp:extent cx="5760000" cy="2323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kostenvoranschlag.png"/>
                    <pic:cNvPicPr/>
                  </pic:nvPicPr>
                  <pic:blipFill>
                    <a:blip r:embed="rId9"/>
                    <a:stretch>
                      <a:fillRect/>
                    </a:stretch>
                  </pic:blipFill>
                  <pic:spPr>
                    <a:xfrm>
                      <a:off x="0" y="0"/>
                      <a:ext cx="5760000" cy="2323330"/>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Heading2"/>
        <w:keepNext/>
      </w:pPr>
      <w:r>
        <w:t>5.2 Automatisierungspotential</w:t>
      </w:r>
    </w:p>
    <w:p w14:paraId="7B49D8BA" w14:textId="77777777" w:rsidR="00570CD3" w:rsidRDefault="004E0540">
      <w:pPr>
        <w:spacing w:after="120" w:line="276" w:lineRule="auto"/>
        <w:jc w:val="both"/>
      </w:pPr>
      <w:r>
        <w:t>Von den 133 Aktivitäten sind 81 automatisiert, regelbasiert oder Nachrichten der Plattform, also rund 61 Prozent. 33 weitere sind Benutzer-Aktivitäten in der Plattform. Neun manuelle Aktivitäten liegen außerhalb der Software, neun rufen einen anderen Prozess auf, und eine ist der Mehrfach-Teilprozess für die Prüfung je Ersatzteil. Die Software automatisiert vor allem:</w:t>
      </w:r>
    </w:p>
    <w:p w14:paraId="5B0C42F1" w14:textId="77777777" w:rsidR="00570CD3" w:rsidRDefault="004E0540">
      <w:pPr>
        <w:pStyle w:val="ListParagraph"/>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Paragraph"/>
        <w:numPr>
          <w:ilvl w:val="0"/>
          <w:numId w:val="2"/>
        </w:numPr>
        <w:spacing w:after="60" w:line="264" w:lineRule="auto"/>
      </w:pPr>
      <w:r>
        <w:t>die Kundenkommunikation von der Sofortdiagnose bis zur Bewertungsanfrage,</w:t>
      </w:r>
    </w:p>
    <w:p w14:paraId="0998879B" w14:textId="77777777" w:rsidR="00570CD3" w:rsidRDefault="004E0540">
      <w:pPr>
        <w:pStyle w:val="ListParagraph"/>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Paragraph"/>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Paragraph"/>
        <w:numPr>
          <w:ilvl w:val="0"/>
          <w:numId w:val="2"/>
        </w:numPr>
        <w:spacing w:after="60" w:line="264" w:lineRule="auto"/>
      </w:pPr>
      <w:r>
        <w:t>regelbasierte Entscheidungen wie Wirtschaftlichkeit, Gewährleistung und Freigabegrenze sowie die KI-Sofortdiagnose.</w:t>
      </w:r>
    </w:p>
    <w:p w14:paraId="10200AE1" w14:textId="77777777" w:rsidR="00570CD3" w:rsidRDefault="004E0540">
      <w:pPr>
        <w:pStyle w:val="Heading2"/>
        <w:keepNext/>
      </w:pPr>
      <w:r>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lastRenderedPageBreak/>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2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20000"/>
                    </a:xfrm>
                    <a:prstGeom prst="rect">
                      <a:avLst/>
                    </a:prstGeom>
                  </pic:spPr>
                </pic:pic>
              </a:graphicData>
            </a:graphic>
          </wp:inline>
        </w:drawing>
      </w:r>
    </w:p>
    <w:p w14:paraId="75D8308D" w14:textId="77777777" w:rsidR="00570CD3" w:rsidRDefault="004E0540">
      <w:pPr>
        <w:spacing w:before="60" w:after="200"/>
        <w:jc w:val="center"/>
      </w:pPr>
      <w:r>
        <w:rPr>
          <w:i/>
          <w:iCs/>
          <w:color w:val="595959"/>
          <w:sz w:val="18"/>
          <w:szCs w:val="18"/>
        </w:rPr>
        <w:t>Abbildung 4: Use-Case-Diagramm RepairFlow</w:t>
      </w:r>
    </w:p>
    <w:p w14:paraId="01CB825E" w14:textId="77777777" w:rsidR="00570CD3" w:rsidRDefault="004E0540">
      <w:pPr>
        <w:pStyle w:val="Heading2"/>
        <w:keepNext/>
      </w:pPr>
      <w:r>
        <w:t>5.4 Klassendiagramm</w:t>
      </w:r>
    </w:p>
    <w:p w14:paraId="77550E43" w14:textId="77777777" w:rsidR="00570CD3" w:rsidRDefault="004E0540">
      <w:pPr>
        <w:spacing w:after="120" w:line="276" w:lineRule="auto"/>
        <w:jc w:val="both"/>
      </w:pPr>
      <w:r>
        <w:t>Das Klassendiagramm (Abbildung 5) umfasst 27 Klassen, darunter die abstrakten Klassen Person und Mitarbeiter, sowie sieben Aufzählungen und 36 Assoziationen. Wichtige Entwurfsentscheidungen sind:</w:t>
      </w:r>
    </w:p>
    <w:p w14:paraId="15111070" w14:textId="77777777" w:rsidR="00570CD3" w:rsidRDefault="004E0540">
      <w:pPr>
        <w:pStyle w:val="ListParagraph"/>
        <w:numPr>
          <w:ilvl w:val="0"/>
          <w:numId w:val="2"/>
        </w:numPr>
        <w:spacing w:after="60" w:line="264" w:lineRule="auto"/>
      </w:pPr>
      <w:r>
        <w:rPr>
          <w:b/>
          <w:bCs/>
        </w:rPr>
        <w:lastRenderedPageBreak/>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Paragraph"/>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Paragraph"/>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Default="004E0540">
      <w:pPr>
        <w:pStyle w:val="ListParagraph"/>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766ACAE3" w14:textId="77777777" w:rsidR="00570CD3" w:rsidRDefault="004E0540">
      <w:pPr>
        <w:pStyle w:val="ListParagraph"/>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Pr>
          <w:b/>
          <w:bCs/>
        </w:rPr>
        <w:t xml:space="preserve">Nacharbeit als neuer Auftrag. </w:t>
      </w:r>
      <w:r>
        <w:t>Eine Reklamation verweist auf den Ursprungsauftrag und führt zu einem neuen Reparaturauftrag, dessen Attribut kostenfrei angibt, ob die Gewährleistung greift.</w:t>
      </w:r>
    </w:p>
    <w:p w14:paraId="79F667B7" w14:textId="77777777" w:rsidR="00CD0A81" w:rsidRDefault="004E0540">
      <w:pPr>
        <w:keepNext/>
        <w:spacing w:before="120"/>
        <w:jc w:val="center"/>
      </w:pPr>
      <w:r>
        <w:rPr>
          <w:noProof/>
        </w:rPr>
        <w:lastRenderedPageBreak/>
        <w:drawing>
          <wp:inline distT="0" distB="0" distL="0" distR="0" wp14:anchorId="51897684" wp14:editId="2194742E">
            <wp:extent cx="6984737" cy="5472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lassendiagramm.png"/>
                    <pic:cNvPicPr/>
                  </pic:nvPicPr>
                  <pic:blipFill>
                    <a:blip r:embed="rId13"/>
                    <a:stretch>
                      <a:fillRect/>
                    </a:stretch>
                  </pic:blipFill>
                  <pic:spPr>
                    <a:xfrm>
                      <a:off x="0" y="0"/>
                      <a:ext cx="6984737" cy="5472000"/>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Heading2"/>
        <w:keepNext/>
      </w:pPr>
      <w:r>
        <w:lastRenderedPageBreak/>
        <w:t>5.5 Sequenzdiagramme</w:t>
      </w:r>
    </w:p>
    <w:p w14:paraId="47C41428" w14:textId="77777777" w:rsidR="00570CD3" w:rsidRDefault="004E0540">
      <w:pPr>
        <w:spacing w:after="120" w:line="276" w:lineRule="auto"/>
        <w:jc w:val="both"/>
      </w:pPr>
      <w:r>
        <w:t>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77777777" w:rsidR="00570CD3" w:rsidRDefault="004E0540">
            <w:pPr>
              <w:keepNext/>
              <w:spacing w:after="40" w:line="252" w:lineRule="auto"/>
            </w:pPr>
            <w:r>
              <w:rPr>
                <w:color w:val="000000"/>
                <w:sz w:val="19"/>
                <w:szCs w:val="19"/>
              </w:rPr>
              <w:t>Medienprüfung mit Nachreichen, KI-Vorschlag, vorläufiger KVA, Terminvorschlag, Vorreservierung erst nach Bestätigung</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77777777" w:rsidR="00CD0A81" w:rsidRDefault="004E0540">
      <w:pPr>
        <w:keepNext/>
        <w:spacing w:before="120"/>
        <w:jc w:val="center"/>
      </w:pPr>
      <w:r>
        <w:rPr>
          <w:noProof/>
        </w:rPr>
        <w:lastRenderedPageBreak/>
        <w:drawing>
          <wp:inline distT="0" distB="0" distL="0" distR="0" wp14:anchorId="5739D476" wp14:editId="6098A535">
            <wp:extent cx="5760000" cy="4820068"/>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1-sofortdiagnose.png"/>
                    <pic:cNvPicPr/>
                  </pic:nvPicPr>
                  <pic:blipFill>
                    <a:blip r:embed="rId16"/>
                    <a:stretch>
                      <a:fillRect/>
                    </a:stretch>
                  </pic:blipFill>
                  <pic:spPr>
                    <a:xfrm>
                      <a:off x="0" y="0"/>
                      <a:ext cx="5760000" cy="4820068"/>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77777777" w:rsidR="00CD0A81" w:rsidRDefault="004E0540">
      <w:pPr>
        <w:keepNext/>
        <w:spacing w:before="120"/>
        <w:jc w:val="center"/>
      </w:pPr>
      <w:r>
        <w:rPr>
          <w:noProof/>
        </w:rPr>
        <w:lastRenderedPageBreak/>
        <w:drawing>
          <wp:inline distT="0" distB="0" distL="0" distR="0" wp14:anchorId="5B06C323" wp14:editId="2D78EA3C">
            <wp:extent cx="5760000" cy="432414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3-reservierung.png"/>
                    <pic:cNvPicPr/>
                  </pic:nvPicPr>
                  <pic:blipFill>
                    <a:blip r:embed="rId17"/>
                    <a:stretch>
                      <a:fillRect/>
                    </a:stretch>
                  </pic:blipFill>
                  <pic:spPr>
                    <a:xfrm>
                      <a:off x="0" y="0"/>
                      <a:ext cx="5760000" cy="4324140"/>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Heading2"/>
        <w:keepNext/>
      </w:pPr>
      <w:r>
        <w:t>5.6 Konsistenz zwischen den Modellen</w:t>
      </w:r>
    </w:p>
    <w:p w14:paraId="0BA6B81A" w14:textId="77777777"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lastRenderedPageBreak/>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Heading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w:t>
      </w:r>
      <w:r>
        <w:lastRenderedPageBreak/>
        <w:t xml:space="preserve">konnten Visual Paradigm nicht nutzen. Die gesamte UML-Arbeit lag damit bei zwei Personen, die übrigen haben die Diagramme anhand der Exporte geprüft. Dazu kommt, dass der Teamwork-Server der DHBW nur über das Lehre-VPN erreichbar ist. </w:t>
      </w:r>
    </w:p>
    <w:p w14:paraId="736D1023" w14:textId="77777777" w:rsidR="0051613C" w:rsidRDefault="00000000">
      <w:pPr>
        <w:spacing w:after="120" w:line="276" w:lineRule="auto"/>
        <w:jc w:val="both"/>
      </w:pPr>
      <w:r>
        <w:rPr>
          <w:b/>
          <w:bCs/>
        </w:rPr>
        <w:t xml:space="preserve">Überschriebene Diagramme. </w:t>
      </w:r>
      <w:r>
        <w:t xml:space="preserve">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 </w:t>
      </w:r>
    </w:p>
    <w:p w14:paraId="3A10FC39" w14:textId="77777777" w:rsidR="0051613C" w:rsidRDefault="00000000">
      <w:pPr>
        <w:spacing w:after="120" w:line="276" w:lineRule="auto"/>
        <w:jc w:val="both"/>
      </w:pPr>
      <w:r>
        <w:rPr>
          <w:b/>
          <w:bCs/>
        </w:rPr>
        <w:t xml:space="preserve">Camunda Modeler. </w:t>
      </w:r>
      <w:r>
        <w:t xml:space="preserve">Der Modeler meldet für Camunda 8 fehlende technische Angaben wie Task-Definitionen oder Timer-Ausdrücke als Fehler. Wir haben die Diagramme entsprechend ergänzt, bis das Problems-Panel keine Einträge mehr zeigte. </w:t>
      </w:r>
    </w:p>
    <w:p w14:paraId="38A8EF59" w14:textId="39C42B95" w:rsidR="00570CD3" w:rsidRDefault="004E0540">
      <w:pPr>
        <w:spacing w:after="120" w:line="276" w:lineRule="auto"/>
        <w:jc w:val="both"/>
      </w:pPr>
      <w:r>
        <w:rPr>
          <w:b/>
          <w:bCs/>
        </w:rPr>
        <w:t xml:space="preserve">Zusammenarbeit. </w:t>
      </w:r>
      <w:r>
        <w:t xml:space="preserve">Am 05.10.2026 legten zwei Pull Requests </w:t>
      </w:r>
      <w:r w:rsidR="002E473C">
        <w:t xml:space="preserve">in unserem privaten Repo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Heading1"/>
        <w:keepNext/>
        <w:spacing w:after="120"/>
      </w:pPr>
      <w:r>
        <w:t>7 Feedback</w:t>
      </w:r>
    </w:p>
    <w:p w14:paraId="5C1E288B" w14:textId="77777777" w:rsidR="00570CD3" w:rsidRDefault="004E0540">
      <w:pPr>
        <w:pStyle w:val="Heading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77777777" w:rsidR="00570CD3" w:rsidRDefault="004E0540">
      <w:pPr>
        <w:spacing w:after="120" w:line="276" w:lineRule="auto"/>
        <w:jc w:val="both"/>
      </w:pPr>
      <w:r>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672D481C" w14:textId="77777777" w:rsidR="00570CD3" w:rsidRDefault="004E0540">
      <w:pPr>
        <w:pStyle w:val="Heading2"/>
        <w:keepNext/>
      </w:pPr>
      <w:r>
        <w:t>7.2 Unser Feedback zur Fallstudie</w:t>
      </w:r>
    </w:p>
    <w:p w14:paraId="4F344372" w14:textId="77777777"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999D8E" w14:textId="77777777" w:rsidR="0063602B" w:rsidRDefault="0063602B">
      <w:r>
        <w:separator/>
      </w:r>
    </w:p>
  </w:endnote>
  <w:endnote w:type="continuationSeparator" w:id="0">
    <w:p w14:paraId="722077A3" w14:textId="77777777" w:rsidR="0063602B" w:rsidRDefault="006360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7328A8" w14:textId="77777777" w:rsidR="0063602B" w:rsidRDefault="0063602B">
      <w:r>
        <w:separator/>
      </w:r>
    </w:p>
  </w:footnote>
  <w:footnote w:type="continuationSeparator" w:id="0">
    <w:p w14:paraId="3BCF12F1" w14:textId="77777777" w:rsidR="0063602B" w:rsidRDefault="006360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3"/>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22B76"/>
    <w:rsid w:val="0003424E"/>
    <w:rsid w:val="0006602E"/>
    <w:rsid w:val="000A3650"/>
    <w:rsid w:val="000B0265"/>
    <w:rsid w:val="001E559C"/>
    <w:rsid w:val="002E473C"/>
    <w:rsid w:val="003B4F98"/>
    <w:rsid w:val="004D5BBB"/>
    <w:rsid w:val="004E0540"/>
    <w:rsid w:val="0051613C"/>
    <w:rsid w:val="00534278"/>
    <w:rsid w:val="00570CD3"/>
    <w:rsid w:val="005B0494"/>
    <w:rsid w:val="005B0645"/>
    <w:rsid w:val="005F742F"/>
    <w:rsid w:val="0063602B"/>
    <w:rsid w:val="0066320F"/>
    <w:rsid w:val="0067678D"/>
    <w:rsid w:val="006E2535"/>
    <w:rsid w:val="00783578"/>
    <w:rsid w:val="008414F7"/>
    <w:rsid w:val="00854237"/>
    <w:rsid w:val="00857288"/>
    <w:rsid w:val="008A0A91"/>
    <w:rsid w:val="008D0564"/>
    <w:rsid w:val="008E49F1"/>
    <w:rsid w:val="00933CE5"/>
    <w:rsid w:val="00960812"/>
    <w:rsid w:val="00991087"/>
    <w:rsid w:val="00A55A24"/>
    <w:rsid w:val="00B766BB"/>
    <w:rsid w:val="00B864F5"/>
    <w:rsid w:val="00B91495"/>
    <w:rsid w:val="00CD0A81"/>
    <w:rsid w:val="00D238E9"/>
    <w:rsid w:val="00D23E44"/>
    <w:rsid w:val="00D7052E"/>
    <w:rsid w:val="00DA24C3"/>
    <w:rsid w:val="00DC3BD1"/>
    <w:rsid w:val="00E027F7"/>
    <w:rsid w:val="00E726A8"/>
    <w:rsid w:val="00EF5796"/>
    <w:rsid w:val="00F60257"/>
    <w:rsid w:val="00FA2074"/>
    <w:rsid w:val="00FF3BA4"/>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864"/>
      <w:sz w:val="32"/>
      <w:szCs w:val="32"/>
    </w:rPr>
  </w:style>
  <w:style w:type="paragraph" w:styleId="Heading2">
    <w:name w:val="heading 2"/>
    <w:basedOn w:val="Normal"/>
    <w:next w:val="Normal"/>
    <w:uiPriority w:val="9"/>
    <w:unhideWhenUsed/>
    <w:qFormat/>
    <w:pPr>
      <w:spacing w:before="240" w:after="120"/>
      <w:outlineLvl w:val="1"/>
    </w:pPr>
    <w:rPr>
      <w:b/>
      <w:bCs/>
      <w:color w:val="1F3864"/>
      <w:sz w:val="26"/>
      <w:szCs w:val="26"/>
    </w:rPr>
  </w:style>
  <w:style w:type="paragraph" w:styleId="Heading3">
    <w:name w:val="heading 3"/>
    <w:basedOn w:val="Normal"/>
    <w:next w:val="Normal"/>
    <w:uiPriority w:val="9"/>
    <w:semiHidden/>
    <w:unhideWhenUsed/>
    <w:qFormat/>
    <w:pPr>
      <w:spacing w:before="200" w:after="100"/>
      <w:outlineLvl w:val="2"/>
    </w:pPr>
    <w:rPr>
      <w:b/>
      <w:bCs/>
      <w:color w:val="2F5496"/>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16</TotalTime>
  <Pages>20</Pages>
  <Words>5532</Words>
  <Characters>31535</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36994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Sattler, Nina</cp:lastModifiedBy>
  <cp:revision>42</cp:revision>
  <dcterms:created xsi:type="dcterms:W3CDTF">2026-10-05T09:30:00Z</dcterms:created>
  <dcterms:modified xsi:type="dcterms:W3CDTF">2026-10-22T08:15:00Z</dcterms:modified>
</cp:coreProperties>
</file>