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120"/>
        <w:jc w:val="center"/>
      </w:pPr>
      <w:r>
        <w:rPr>
          <w:rFonts w:ascii="Calibri" w:hAnsi="Calibri"/>
          <w:sz w:val="20"/>
        </w:rPr>
        <w:t>Bearbeitungsstand: 8. Oktober 2026</w:t>
      </w: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2.2 Das Startup RepairFlow</w:t>
        <w:tab/>
        <w:t>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2.6 Alleinstellungsmerkmal: die KI-Sofortdiagnose</w:t>
        <w:tab/>
        <w:t>5</w:t>
      </w:r>
    </w:p>
    <w:p>
      <w:pPr>
        <w:tabs>
          <w:tab w:val="right" w:pos="9026" w:leader="dot"/>
        </w:tabs>
        <w:spacing w:after="40"/>
        <w:ind w:left="0"/>
      </w:pPr>
      <w:r>
        <w:rPr>
          <w:rFonts w:ascii="Calibri" w:cs="Calibri" w:eastAsia="Calibri" w:hAnsi="Calibri"/>
          <w:b/>
          <w:bCs/>
          <w:sz w:val="22"/>
          <w:szCs w:val="22"/>
        </w:rPr>
        <w:t>3 Vorgehen bei der Umsetzung</w:t>
        <w:tab/>
        <w:t>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3.2 Konventionen</w:t>
        <w:tab/>
        <w:t>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4 Projektmanagement</w:t>
        <w:tab/>
        <w:t>8</w:t>
      </w:r>
    </w:p>
    <w:p>
      <w:pPr>
        <w:tabs>
          <w:tab w:val="right" w:pos="9026" w:leader="dot"/>
        </w:tabs>
        <w:spacing w:after="40"/>
        <w:ind w:left="400"/>
      </w:pPr>
      <w:r>
        <w:rPr>
          <w:rFonts w:ascii="Calibri" w:cs="Calibri" w:eastAsia="Calibri" w:hAnsi="Calibri"/>
          <w:b w:val="false"/>
          <w:bCs w:val="false"/>
          <w:sz w:val="20"/>
          <w:szCs w:val="20"/>
        </w:rPr>
        <w:t>4.1 Vorgehensmodell und Arbeitsweise</w:t>
        <w:tab/>
        <w:t>8</w:t>
      </w:r>
    </w:p>
    <w:p>
      <w:pPr>
        <w:tabs>
          <w:tab w:val="right" w:pos="9026" w:leader="dot"/>
        </w:tabs>
        <w:spacing w:after="40"/>
        <w:ind w:left="400"/>
      </w:pPr>
      <w:r>
        <w:rPr>
          <w:rFonts w:ascii="Calibri" w:cs="Calibri" w:eastAsia="Calibri" w:hAnsi="Calibri"/>
          <w:b w:val="false"/>
          <w:bCs w:val="false"/>
          <w:sz w:val="20"/>
          <w:szCs w:val="20"/>
        </w:rPr>
        <w:t>4.2 Sprintplan und Meilensteine</w:t>
        <w:tab/>
        <w:t>8</w:t>
      </w:r>
    </w:p>
    <w:p>
      <w:pPr>
        <w:tabs>
          <w:tab w:val="right" w:pos="9026" w:leader="dot"/>
        </w:tabs>
        <w:spacing w:after="40"/>
        <w:ind w:left="400"/>
      </w:pPr>
      <w:r>
        <w:rPr>
          <w:rFonts w:ascii="Calibri" w:cs="Calibri" w:eastAsia="Calibri" w:hAnsi="Calibri"/>
          <w:b w:val="false"/>
          <w:bCs w:val="false"/>
          <w:sz w:val="20"/>
          <w:szCs w:val="20"/>
        </w:rPr>
        <w:t>4.3 Aufgabensteuerung mit Trello</w:t>
        <w:tab/>
        <w:t>9</w:t>
      </w:r>
    </w:p>
    <w:p>
      <w:pPr>
        <w:tabs>
          <w:tab w:val="right" w:pos="9026" w:leader="dot"/>
        </w:tabs>
        <w:spacing w:after="40"/>
        <w:ind w:left="400"/>
      </w:pPr>
      <w:r>
        <w:rPr>
          <w:rFonts w:ascii="Calibri" w:cs="Calibri" w:eastAsia="Calibri" w:hAnsi="Calibri"/>
          <w:b w:val="false"/>
          <w:bCs w:val="false"/>
          <w:sz w:val="20"/>
          <w:szCs w:val="20"/>
        </w:rPr>
        <w:t>4.4 Zusammenarbeit im Repository</w:t>
        <w:tab/>
        <w:t>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5 Überblick über die erstellten Artefakte</w:t>
        <w:tab/>
        <w:t>10</w:t>
      </w:r>
    </w:p>
    <w:p>
      <w:pPr>
        <w:tabs>
          <w:tab w:val="right" w:pos="9026" w:leader="dot"/>
        </w:tabs>
        <w:spacing w:after="40"/>
        <w:ind w:left="400"/>
      </w:pPr>
      <w:r>
        <w:rPr>
          <w:rFonts w:ascii="Calibri" w:cs="Calibri" w:eastAsia="Calibri" w:hAnsi="Calibri"/>
          <w:b w:val="false"/>
          <w:bCs w:val="false"/>
          <w:sz w:val="20"/>
          <w:szCs w:val="20"/>
        </w:rPr>
        <w:t>5.1 Geschäftsprozessmodell (BPMN)</w:t>
        <w:tab/>
        <w:t>10</w:t>
      </w:r>
    </w:p>
    <w:p>
      <w:pPr>
        <w:tabs>
          <w:tab w:val="right" w:pos="9026" w:leader="dot"/>
        </w:tabs>
        <w:spacing w:after="40"/>
        <w:ind w:left="800"/>
      </w:pPr>
      <w:r>
        <w:rPr>
          <w:rFonts w:ascii="Calibri" w:cs="Calibri" w:eastAsia="Calibri" w:hAnsi="Calibri"/>
          <w:b w:val="false"/>
          <w:bCs w:val="false"/>
          <w:sz w:val="20"/>
          <w:szCs w:val="20"/>
        </w:rPr>
        <w:t>5.1.1 Modellierungskonventionen</w:t>
        <w:tab/>
        <w:t>11</w:t>
      </w:r>
    </w:p>
    <w:p>
      <w:pPr>
        <w:tabs>
          <w:tab w:val="right" w:pos="9026" w:leader="dot"/>
        </w:tabs>
        <w:spacing w:after="40"/>
        <w:ind w:left="800"/>
      </w:pPr>
      <w:r>
        <w:rPr>
          <w:rFonts w:ascii="Calibri" w:cs="Calibri" w:eastAsia="Calibri" w:hAnsi="Calibri"/>
          <w:b w:val="false"/>
          <w:bCs w:val="false"/>
          <w:sz w:val="20"/>
          <w:szCs w:val="20"/>
        </w:rPr>
        <w:t>5.1.2 Die zehn Prozesse</w:t>
        <w:tab/>
        <w:t>12</w:t>
      </w:r>
    </w:p>
    <w:p>
      <w:pPr>
        <w:tabs>
          <w:tab w:val="right" w:pos="9026" w:leader="dot"/>
        </w:tabs>
        <w:spacing w:after="40"/>
        <w:ind w:left="400"/>
      </w:pPr>
      <w:r>
        <w:rPr>
          <w:rFonts w:ascii="Calibri" w:cs="Calibri" w:eastAsia="Calibri" w:hAnsi="Calibri"/>
          <w:b w:val="false"/>
          <w:bCs w:val="false"/>
          <w:sz w:val="20"/>
          <w:szCs w:val="20"/>
        </w:rPr>
        <w:t xml:space="preserve">5.2 Automatisierungspotential	13</w:t>
      </w:r>
    </w:p>
    <w:p>
      <w:pPr>
        <w:tabs>
          <w:tab w:val="right" w:pos="9026" w:leader="dot"/>
        </w:tabs>
        <w:spacing w:after="40"/>
        <w:ind w:left="400"/>
      </w:pPr>
      <w:r>
        <w:rPr>
          <w:rFonts w:ascii="Calibri" w:cs="Calibri" w:eastAsia="Calibri" w:hAnsi="Calibri"/>
          <w:b w:val="false"/>
          <w:bCs w:val="false"/>
          <w:sz w:val="20"/>
          <w:szCs w:val="20"/>
        </w:rPr>
        <w:t>5.3 Objektorientierte Analyse (UML)</w:t>
        <w:tab/>
        <w:t>14</w:t>
      </w:r>
    </w:p>
    <w:p>
      <w:pPr>
        <w:tabs>
          <w:tab w:val="right" w:pos="9026" w:leader="dot"/>
        </w:tabs>
        <w:spacing w:after="40"/>
        <w:ind w:left="800"/>
      </w:pPr>
      <w:r>
        <w:rPr>
          <w:rFonts w:ascii="Calibri" w:cs="Calibri" w:eastAsia="Calibri" w:hAnsi="Calibri"/>
          <w:b w:val="false"/>
          <w:bCs w:val="false"/>
          <w:sz w:val="20"/>
          <w:szCs w:val="20"/>
        </w:rPr>
        <w:t>5.3.1 Use-Case-Diagramm</w:t>
        <w:tab/>
        <w:t>14</w:t>
      </w:r>
    </w:p>
    <w:p>
      <w:pPr>
        <w:tabs>
          <w:tab w:val="right" w:pos="9026" w:leader="dot"/>
        </w:tabs>
        <w:spacing w:after="40"/>
        <w:ind w:left="800"/>
      </w:pPr>
      <w:r>
        <w:rPr>
          <w:rFonts w:ascii="Calibri" w:cs="Calibri" w:eastAsia="Calibri" w:hAnsi="Calibri"/>
          <w:b w:val="false"/>
          <w:bCs w:val="false"/>
          <w:sz w:val="20"/>
          <w:szCs w:val="20"/>
        </w:rPr>
        <w:t>5.3.2 Klassendiagramm</w:t>
        <w:tab/>
        <w:t>15</w:t>
      </w:r>
    </w:p>
    <w:p>
      <w:pPr>
        <w:tabs>
          <w:tab w:val="right" w:pos="9026" w:leader="dot"/>
        </w:tabs>
        <w:spacing w:after="40"/>
        <w:ind w:left="800"/>
      </w:pPr>
      <w:r>
        <w:rPr>
          <w:rFonts w:ascii="Calibri" w:cs="Calibri" w:eastAsia="Calibri" w:hAnsi="Calibri"/>
          <w:b w:val="false"/>
          <w:bCs w:val="false"/>
          <w:sz w:val="20"/>
          <w:szCs w:val="20"/>
        </w:rPr>
        <w:t>5.3.3 Sequenzdiagramme</w:t>
        <w:tab/>
        <w:t>16</w:t>
      </w:r>
    </w:p>
    <w:p>
      <w:pPr>
        <w:tabs>
          <w:tab w:val="right" w:pos="9026" w:leader="dot"/>
        </w:tabs>
        <w:spacing w:after="40"/>
        <w:ind w:left="400"/>
      </w:pPr>
      <w:r>
        <w:rPr>
          <w:rFonts w:ascii="Calibri" w:cs="Calibri" w:eastAsia="Calibri" w:hAnsi="Calibri"/>
          <w:b w:val="false"/>
          <w:bCs w:val="false"/>
          <w:sz w:val="20"/>
          <w:szCs w:val="20"/>
        </w:rPr>
        <w:t>5.4 Konsistenz zwischen den Modellen</w:t>
        <w:tab/>
        <w:t>22</w:t>
      </w:r>
    </w:p>
    <w:p>
      <w:pPr>
        <w:tabs>
          <w:tab w:val="right" w:pos="9026" w:leader="dot"/>
        </w:tabs>
        <w:spacing w:after="40"/>
        <w:ind w:left="0"/>
      </w:pPr>
      <w:r>
        <w:rPr>
          <w:rFonts w:ascii="Calibri" w:cs="Calibri" w:eastAsia="Calibri" w:hAnsi="Calibri"/>
          <w:b/>
          <w:bCs/>
          <w:sz w:val="22"/>
          <w:szCs w:val="22"/>
        </w:rPr>
        <w:t>6 Probleme und Herausforderungen</w:t>
        <w:tab/>
        <w:t>23</w:t>
      </w:r>
    </w:p>
    <w:p>
      <w:pPr>
        <w:tabs>
          <w:tab w:val="right" w:pos="9026" w:leader="dot"/>
        </w:tabs>
        <w:spacing w:after="40"/>
        <w:ind w:left="0"/>
      </w:pPr>
      <w:r>
        <w:rPr>
          <w:rFonts w:ascii="Calibri" w:cs="Calibri" w:eastAsia="Calibri" w:hAnsi="Calibri"/>
          <w:b/>
          <w:bCs/>
          <w:sz w:val="22"/>
          <w:szCs w:val="22"/>
        </w:rPr>
        <w:t>7 Feedback</w:t>
        <w:tab/>
        <w:t>25</w:t>
      </w:r>
    </w:p>
    <w:p>
      <w:pPr>
        <w:tabs>
          <w:tab w:val="right" w:pos="9026" w:leader="dot"/>
        </w:tabs>
        <w:spacing w:after="40"/>
        <w:ind w:left="400"/>
      </w:pPr>
      <w:r>
        <w:rPr>
          <w:rFonts w:ascii="Calibri" w:cs="Calibri" w:eastAsia="Calibri" w:hAnsi="Calibri"/>
          <w:b w:val="false"/>
          <w:bCs w:val="false"/>
          <w:sz w:val="20"/>
          <w:szCs w:val="20"/>
        </w:rPr>
        <w:t>7.1 Feedback des Dozenten und Umsetzung</w:t>
        <w:tab/>
        <w:t>25</w:t>
      </w:r>
    </w:p>
    <w:p>
      <w:pPr>
        <w:tabs>
          <w:tab w:val="right" w:pos="9026" w:leader="dot"/>
        </w:tabs>
        <w:spacing w:after="40"/>
        <w:ind w:left="400"/>
      </w:pPr>
      <w:r>
        <w:rPr>
          <w:rFonts w:ascii="Calibri" w:cs="Calibri" w:eastAsia="Calibri" w:hAnsi="Calibri"/>
          <w:b w:val="false"/>
          <w:bCs w:val="false"/>
          <w:sz w:val="20"/>
          <w:szCs w:val="20"/>
        </w:rPr>
        <w:t>7.2 Unser Feedback zur Fallstudie</w:t>
        <w:tab/>
        <w:t>25</w:t>
      </w:r>
    </w:p>
    <w:p>
      <w:pPr>
        <w:tabs>
          <w:tab w:val="right" w:pos="9026" w:leader="dot"/>
        </w:tabs>
        <w:spacing w:after="40"/>
        <w:ind w:left="0"/>
      </w:pPr>
      <w:r>
        <w:rPr>
          <w:rFonts w:ascii="Calibri" w:cs="Calibri" w:eastAsia="Calibri" w:hAnsi="Calibri"/>
          <w:b/>
          <w:bCs/>
          <w:sz w:val="22"/>
          <w:szCs w:val="22"/>
        </w:rPr>
        <w:t>Anhang A: Abgabestruktur</w:t>
        <w:tab/>
        <w:t>26</w:t>
      </w:r>
    </w:p>
    <w:p>
      <w:pPr>
        <w:tabs>
          <w:tab w:val="right" w:pos="9026" w:leader="dot"/>
        </w:tabs>
        <w:spacing w:after="40"/>
        <w:ind w:left="0"/>
      </w:pPr>
      <w:r>
        <w:rPr>
          <w:rFonts w:ascii="Calibri" w:cs="Calibri" w:eastAsia="Calibri" w:hAnsi="Calibri"/>
          <w:b/>
          <w:bCs/>
          <w:sz w:val="22"/>
          <w:szCs w:val="22"/>
        </w:rPr>
        <w:t>Anhang B: Die zehn BPMN-Kollaborationsdiagramme</w:t>
        <w:tab/>
        <w:t>27</w:t>
      </w:r>
    </w:p>
    <w:p>
      <w:pPr>
        <w:tabs>
          <w:tab w:val="right" w:pos="9026" w:leader="dot"/>
        </w:tabs>
        <w:spacing w:after="40"/>
        <w:ind w:left="0"/>
      </w:pPr>
      <w:r>
        <w:rPr>
          <w:rFonts w:ascii="Calibri" w:cs="Calibri" w:eastAsia="Calibri" w:hAnsi="Calibri"/>
          <w:b/>
          <w:bCs/>
          <w:sz w:val="22"/>
          <w:szCs w:val="22"/>
        </w:rPr>
        <w:t>Anhang C: Das vollständige Klassendiagramm</w:t>
        <w:tab/>
        <w:t>37</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Die Fallstudie wird von sechs Studierenden des Kurses WWI25B4 bearbeitet. Das Team hat sich zu Beginn des Semesters konstituiert und die Zuständigkeiten nach dem Scrum-Vorgehensmodell verteilt (Kapitel 4). Jedes Artefakt hat eine verantwortliche Person. Die Projektleitung plant und koordiniert, Reviews übernimmt nach dem Vier-Augen-Prinzip eine zweite Person.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VP-Server), Termine, Abgabe-Check; SD2, SD4, SD5 und SD6 in Visual Paradigm</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und Klassenmodell sowie SD1 und SD3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BPMN-Dateien im Git-Repository,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sz w:val="22"/>
          <w:szCs w:val="22"/>
        </w:rPr>
        <w:t>Die folgende Übersicht nennt, was die einzelnen Gruppenmitglieder erarbeitet haben und wofür sie bis zur Abgabe verantwortlich sind. Grundlage sind die Aufgabenverteilungen der Gruppentermine vom 02.09. und 05.10.2026 und die Historie des Repositories.</w:t>
      </w:r>
    </w:p>
    <w:p>
      <w:pPr>
        <w:pStyle w:val="ListParagraph"/>
        <w:numPr>
          <w:ilvl w:val="0"/>
          <w:numId w:val="2"/>
        </w:numPr>
        <w:spacing w:after="60" w:line="264"/>
        <w:keepLines/>
      </w:pPr>
      <w:r>
        <w:rPr>
          <w:rFonts w:ascii="Calibri" w:cs="Calibri" w:eastAsia="Calibri" w:hAnsi="Calibri"/>
          <w:b/>
          <w:bCs/>
          <w:sz w:val="22"/>
          <w:szCs w:val="22"/>
        </w:rPr>
        <w:t xml:space="preserve">Nina Sattler: </w:t>
      </w:r>
      <w:r>
        <w:rPr>
          <w:rFonts w:ascii="Calibri" w:cs="Calibri" w:eastAsia="Calibri" w:hAnsi="Calibri"/>
          <w:bCs/>
          <w:sz w:val="22"/>
          <w:szCs w:val="22"/>
        </w:rPr>
        <w:t>Projektleitung mit Gesamtplanung, Terminen und Abgabe-Archiv; Prüfung der BPMN-Diagramme 07 und 08 in Sprint 1; Folien 1–2 und 18–19.</w:t>
      </w:r>
    </w:p>
    <w:p>
      <w:pPr>
        <w:pStyle w:val="ListParagraph"/>
        <w:numPr>
          <w:ilvl w:val="0"/>
          <w:numId w:val="2"/>
        </w:numPr>
        <w:spacing w:after="60" w:line="264"/>
        <w:keepLines/>
      </w:pPr>
      <w:r>
        <w:rPr>
          <w:rFonts w:ascii="Calibri" w:cs="Calibri" w:eastAsia="Calibri" w:hAnsi="Calibri"/>
          <w:b/>
          <w:bCs/>
          <w:sz w:val="22"/>
          <w:szCs w:val="22"/>
        </w:rPr>
        <w:t xml:space="preserve">David Leismann: </w:t>
      </w:r>
      <w:r>
        <w:rPr>
          <w:rFonts w:ascii="Calibri" w:cs="Calibri" w:eastAsia="Calibri" w:hAnsi="Calibri"/>
          <w:bCs/>
          <w:sz w:val="22"/>
          <w:szCs w:val="22"/>
        </w:rPr>
        <w:t>Prüfung der BPMN-Diagramme 03 und 04 in Sprint 1; Abgleich der Use Cases und Sequenzdiagramme mit den Prozessen (E-18); Überarbeitung der Prozesse 05 und 06 (E-20); Abgleich der Projektdokumentation mit dem Modellstand; verantwortlich für die Sequenzdiagramme SD2, SD4, SD5 und SD6 in Visual Paradigm; Folien 3 und 16.</w:t>
      </w:r>
    </w:p>
    <w:p>
      <w:pPr>
        <w:pStyle w:val="ListParagraph"/>
        <w:numPr>
          <w:ilvl w:val="0"/>
          <w:numId w:val="2"/>
        </w:numPr>
        <w:spacing w:after="60" w:line="264"/>
        <w:keepLines/>
      </w:pPr>
      <w:r>
        <w:rPr>
          <w:rFonts w:ascii="Calibri" w:cs="Calibri" w:eastAsia="Calibri" w:hAnsi="Calibri"/>
          <w:b/>
          <w:bCs/>
          <w:sz w:val="22"/>
          <w:szCs w:val="22"/>
        </w:rPr>
        <w:t xml:space="preserve">Adrian Wenzler: </w:t>
      </w:r>
      <w:r>
        <w:rPr>
          <w:rFonts w:ascii="Calibri" w:cs="Calibri" w:eastAsia="Calibri" w:hAnsi="Calibri"/>
          <w:bCs/>
          <w:sz w:val="22"/>
          <w:szCs w:val="22"/>
        </w:rPr>
        <w:t>Product Owner mit fachlicher Abnahme im Sprint Review; Prüfung der BPMN-Diagramme 05 und 06 in Sprint 1; zuständig für die Bestätigung der Prozessänderungen E-19 und E-20; Folien 4–6 und 11.</w:t>
      </w:r>
    </w:p>
    <w:p>
      <w:pPr>
        <w:pStyle w:val="ListParagraph"/>
        <w:numPr>
          <w:ilvl w:val="0"/>
          <w:numId w:val="2"/>
        </w:numPr>
        <w:spacing w:after="60" w:line="264"/>
        <w:keepLines/>
      </w:pPr>
      <w:r>
        <w:rPr>
          <w:rFonts w:ascii="Calibri" w:cs="Calibri" w:eastAsia="Calibri" w:hAnsi="Calibri"/>
          <w:b/>
          <w:bCs/>
          <w:sz w:val="22"/>
          <w:szCs w:val="22"/>
        </w:rPr>
        <w:t xml:space="preserve">Kilian Platter: </w:t>
      </w:r>
      <w:r>
        <w:rPr>
          <w:rFonts w:ascii="Calibri" w:cs="Calibri" w:eastAsia="Calibri" w:hAnsi="Calibri"/>
          <w:bCs/>
          <w:sz w:val="22"/>
          <w:szCs w:val="22"/>
        </w:rPr>
        <w:t>Scrum Master mit Trello-Board und Sprint-Protokollen; Zusammenführung der beiden Entwürfe (E-10); Gesamtprüfungen vom 26.09. und 05.10.2026 (E-15, E-17); Use-Case-Diagramm in Visual Paradigm; verantwortlich für Klassendiagramm sowie SD1 und SD3 in Visual Paradigm; Folien 12–14.</w:t>
      </w:r>
    </w:p>
    <w:p>
      <w:pPr>
        <w:pStyle w:val="ListParagraph"/>
        <w:numPr>
          <w:ilvl w:val="0"/>
          <w:numId w:val="2"/>
        </w:numPr>
        <w:spacing w:after="60" w:line="264"/>
        <w:keepLines/>
      </w:pPr>
      <w:r>
        <w:rPr>
          <w:rFonts w:ascii="Calibri" w:cs="Calibri" w:eastAsia="Calibri" w:hAnsi="Calibri"/>
          <w:b/>
          <w:bCs/>
          <w:sz w:val="22"/>
          <w:szCs w:val="22"/>
        </w:rPr>
        <w:t xml:space="preserve">Maximilian Ewald: </w:t>
      </w:r>
      <w:r>
        <w:rPr>
          <w:rFonts w:ascii="Calibri" w:cs="Calibri" w:eastAsia="Calibri" w:hAnsi="Calibri"/>
          <w:bCs/>
          <w:sz w:val="22"/>
          <w:szCs w:val="22"/>
        </w:rPr>
        <w:t>Prüfung der BPMN-Diagramme 01 und 02 in Sprint 1; seit E-21 verantwortlich für alle zehn BPMN-Dateien, ihre Prüfung im Camunda Modeler und den PNG-Export; Folien 7–10.</w:t>
      </w:r>
    </w:p>
    <w:p>
      <w:pPr>
        <w:pStyle w:val="ListParagraph"/>
        <w:numPr>
          <w:ilvl w:val="0"/>
          <w:numId w:val="2"/>
        </w:numPr>
        <w:spacing w:after="60" w:line="264"/>
        <w:keepLines/>
      </w:pPr>
      <w:r>
        <w:rPr>
          <w:rFonts w:ascii="Calibri" w:cs="Calibri" w:eastAsia="Calibri" w:hAnsi="Calibri"/>
          <w:b/>
          <w:bCs/>
          <w:sz w:val="22"/>
          <w:szCs w:val="22"/>
        </w:rPr>
        <w:t xml:space="preserve">Jakob Schwan: </w:t>
      </w:r>
      <w:r>
        <w:rPr>
          <w:rFonts w:ascii="Calibri" w:cs="Calibri" w:eastAsia="Calibri" w:hAnsi="Calibri"/>
          <w:bCs/>
          <w:sz w:val="22"/>
          <w:szCs w:val="22"/>
        </w:rPr>
        <w:t>Prüfung der BPMN-Diagramme 09 und 10 mit Review-Protokoll in Sprint 1; Behebung der Logikfehler in den Prozessen 07 und 08 (E-19); QA-Checkliste, Prüfung und Merge der Pull Requests; Folien 15 und 17.</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Für unser Beispielszenario gehen wir davon aus, dass unabhängige Reparaturwerkstätten für Fahrräder, E-Bikes und Consumer-Elektronik mit Papier-Auftragszetteln, Excel-Listen und Telefon arbeiten. Wir untersuchen, wie RepairFlow diese Abläufe durch eine gemeinsame Auftragsverwaltung und digitale Kommunikation unterstützen kann.</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Für dieses Beispielszenario nehmen wir vier wiederkehrende Probleme an:</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Anforderungen an die Plattform modellieren.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RepairFlow soll Fahrrad-, E-Bike- und Elektronikreparaturen in einer gemeinsamen Plattform abbilden. Unser Konzept verbindet ein gemeinsames Ersatzteillager mit filialübergreifender Disposition: Bestände, Reservierungen und Umlagerungen werden über alle Standorte berücksichtigt. Als weiteres Merkmal liefert die KI-Sofortdiagnose dem Kunden einen Diagnosevorschlag mit vorläufigem Kostenvoranschlag, bevor er die Werkstatt betritt (Abschnitt 2.6). Diese Merkmale beschreiben den Zuschnitt unseres Entwurfs. Ein belegter Funktionsvergleich mit bestehenden Werkstattlösungen liegt der Dokumentation nicht zugrunde.</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257800" cy="33912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391281"/>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Die physische Reparatur selbst, die Systeme der Lieferanten und die Buchhaltung haben wir bewusst außerhalb der Systemgrenze gelassen.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Kern der Plattform ist der Reparaturauftrag. Alle Modelle verwenden die Zustände angenommen, in Diagnose, KVA offen, freigegeben, abgelehnt, Teile bestellt, in Reparatur, fertig und abgeholt. Je nach Ablauf werden einzelne Zustände übersprungen: Ohne Fehlteile entfällt „Teile bestellt“, ein Nacharbeitsauftrag beginnt ohne erneute Diagnose und KVA. Seit E-19 kann eine erfolglose zweite Nacharbeit aus „in Reparatur“ nach „abgelehnt“ führen. Das Klassendiagramm hält die Werte im Attribut status mit der Aufzählung AuftragStatus. Abbildung 2 zeigt die möglichen Übergänge.</w:t>
      </w:r>
    </w:p>
    <w:p>
      <w:pPr>
        <w:keepNext/>
        <w:spacing w:after="0" w:before="120"/>
        <w:jc w:val="center"/>
      </w:pPr>
      <w:r>
        <w:drawing>
          <wp:inline distT="0" distB="0" distL="0" distR="0">
            <wp:extent cx="4095750" cy="5438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4387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In der RepairFlow-App lädt der Kunde ein Foto des Schadens, ein Video oder eine Tonaufnahme hoch, etwa das Klackern eines E-Bike-Motors, und beschreibt die Symptome. RepairFlow legt mit Eingang der Anfrage eine Voranmeldung an.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den Vorschlag, wird die Voranmeldung als bestätigt markiert und die benötigten Teile werden vorreserviert. Die Fehlerdiagnose in der Werkstatt übernimmt diese Daten. Der Techniker prüft den Vorschlag und bestätigt oder korrigiert ihn. Unser Slogan dafür: KVA in 60 Sekunden.</w:t>
      </w:r>
    </w:p>
    <w:p>
      <w:pPr>
        <w:spacing w:after="120" w:line="276"/>
        <w:jc w:val="both"/>
      </w:pPr>
      <w:r>
        <w:rPr>
          <w:rFonts w:ascii="Calibri" w:cs="Calibri" w:eastAsia="Calibri" w:hAnsi="Calibri"/>
          <w:sz w:val="22"/>
          <w:szCs w:val="22"/>
        </w:rPr>
        <w:t>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und muss vom Techniker bestätigt werden. Sind die Medien nicht auswertbar, fragt das System nach einer besseren Aufnahme. Für die spätere Umsetzung ist als Anforderung vorgesehen, Medien nur mit Einwilligung des Kunden zu verarbeiten und nach Abschluss des Auftrags zu löschen.</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Beschreibung der Ist-Abläufe im fiktiven Pilotbetrieb, Ableitung der Soll-Prozesse mit RepairFlow, Festlegung der Prozessliste mit zehn Kollaborationsdiagrammen und der Namenskonventionen als gemeinsame Grundlage.</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Kunde als eigener Prozess, Lieferant als Empty Pool, Datenobjekte und Datenspeicher. Die aktuelle Fassung wird vor der Abgabe im Camunda Modeler geprüft und gespeichert.</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und Zustandsdiagramm des Reparaturauftrags. PlantUML-Quellen und XMI liegen vor; die Fertigstellung in Visual Paradigm und auf dem Teamwork-Server steht noch aus.</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und Abschlusspräsentation mit Zuordnung der Vortragenden; Vorbereitung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keepLines/>
      </w:pPr>
      <w:r>
        <w:rPr>
          <w:rFonts w:ascii="Calibri" w:cs="Calibri" w:eastAsia="Calibri" w:hAnsi="Calibri"/>
          <w:b/>
          <w:bCs/>
          <w:sz w:val="22"/>
          <w:szCs w:val="22"/>
        </w:rPr>
        <w:t xml:space="preserve">Camunda Modeler (Camunda 8) </w:t>
      </w:r>
      <w:r>
        <w:rPr>
          <w:rFonts w:ascii="Calibri" w:cs="Calibri" w:eastAsia="Calibri" w:hAnsi="Calibri"/>
          <w:sz w:val="22"/>
          <w:szCs w:val="22"/>
        </w:rPr>
        <w:t>für die BPMN-Kollaborationsdiagramme. Die Modelle enthalten Task-Definitionen für automatisierte Aktivitäten, Message-Subscriptions, ISO-Dauern für Timer und FEEL-Bedingungen. Verbindliche Quelle sind die .bpmn-Dateien. Nach einer Änderung wird das PNG neu exportiert. Die abschließende Prüfung aller zehn Dateien im Modeler ist noch offen.</w:t>
      </w:r>
    </w:p>
    <w:p>
      <w:pPr>
        <w:pStyle w:val="ListParagraph"/>
        <w:numPr>
          <w:ilvl w:val="0"/>
          <w:numId w:val="2"/>
        </w:numPr>
        <w:spacing w:after="60" w:line="264"/>
        <w:keepLines/>
      </w:pPr>
      <w:r>
        <w:rPr>
          <w:rFonts w:ascii="Calibri" w:cs="Calibri" w:eastAsia="Calibri" w:hAnsi="Calibri"/>
          <w:b/>
          <w:bCs/>
          <w:sz w:val="22"/>
          <w:szCs w:val="22"/>
        </w:rPr>
        <w:t xml:space="preserve">Visual Paradigm 18 </w:t>
      </w:r>
      <w:r>
        <w:rPr>
          <w:rFonts w:ascii="Calibri" w:cs="Calibri" w:eastAsia="Calibri" w:hAnsi="Calibri"/>
          <w:sz w:val="22"/>
          <w:szCs w:val="22"/>
        </w:rPr>
        <w:t>für das finale UML-Projekt, mit dem DHBW-Teamwork-Server WWI25B4G1 als Zielrepository. Die XMI-Datei enthält das Klassen- und Use-Case-Modell für den Import. Sequenzdiagramme werden in Visual Paradigm als Unterdiagramme der jeweiligen Use Cases angelegt. Die abzugebende VPP-Datei liegt noch nicht vor.</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keepLines/>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Quelle der UML-Diagramme im Verzeichnis uml/. Die PNGs werden aus der jeweils aktuellen .puml-Datei gerendert. Die frühere gemeinsame Modellgenerierung liegt seit dem Gruppenbeschluss E-21 in archiv/tools/ und wird nicht mehr zur Bearbeitung verwendet. Dokumentation und Folien werden direkt in Word und PowerPoint gepflegt.</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Die Rollen Kunde, Servicemitarbeiter, Techniker, Disponent und Werkstattleiter sind in BPMN Pool beziehungsweise Lanes (Kunde, Service / Annahme, Techniker, Ersatzteil-Disposition, Werkstattleitung). Im Use-Case-Diagramm und in den Sequenzdiagrammen sind sie Akteure, im Klassendiagramm Unterklassen von Person beziehungsweise Mitarbeiter.</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Jedes Artefakt durchläuft eine Definition of Done: eigener Branch mit aktuellem main-Stand, Pull Request, Review durch eine zweite Person und Abnahme anhand der QA-Checkliste. Jakob übernimmt die Qualitätssicherung und den Merge, bei UML gehört außerdem der Commit auf dem VP-Teamwork-Server dazu. Die seit dem 05.10.2026 gültige Liste steht in doku/qa-checkliste.md. Frühere Rohdiagramme wurden mit dem Camunda-Regelsatz und bpmnlint geprüft. Die Skripte und damaligen Protokolle liegen im Archiv. Diese Ergebnisse ersetzen keine Prüfung späterer Änderungen. Für den aktuellen Stand stehen das Öffnen, Prüfen und Speichern aller zehn BPMN-Dateien im Camunda Modeler sowie der Abschluss in Visual Paradigm noch aus.</w:t>
      </w:r>
    </w:p>
    <w:p>
      <w:pPr>
        <w:spacing w:after="120" w:line="276"/>
        <w:jc w:val="both"/>
      </w:pPr>
      <w:r>
        <w:rPr>
          <w:rFonts w:ascii="Calibri" w:cs="Calibri" w:eastAsia="Calibri" w:hAnsi="Calibri"/>
          <w:sz w:val="22"/>
          <w:szCs w:val="22"/>
        </w:rPr>
        <w:t>Für die UML-Modelle gilt die Konsistenzregel „Botschaft = Operation der Klasse": Jede Lebenslinie eines Sequenzdiagramms ist eine Klasse oder ein Akteur des Klassen- beziehungsweise Use-Case-Diagramms, jede Botschaft eine dort definierte Operation. Geprüft wird das beim Review. Abschnitt 5.4 nennt die noch offenen Abweichungen, Kapitel 6 beschreibt die bisherigen Korrekturen.</w:t>
      </w:r>
    </w:p>
    <w:p>
      <w:pPr>
        <w:spacing w:after="120" w:line="276"/>
        <w:jc w:val="both"/>
      </w:pPr>
      <w:r>
        <w:rPr>
          <w:rFonts w:ascii="Calibri" w:cs="Calibri" w:eastAsia="Calibri" w:hAnsi="Calibri"/>
          <w:sz w:val="22"/>
          <w:szCs w:val="22"/>
        </w:rPr>
        <w:t>Bis zum 08.10.2026 gab es vier Prüfrunden. In Sprint 1 hat Jakob die Prozesse 09 und 10 strukturell geprüft, ohne Befund. Die Gesamtprüfung am 26.09.2026 (E-15) fand fachliche Fehler in den Prozessen 02, 05 und 06, Datenobjekte, deren Namen nicht zu den Klassen passten, und Sequenzbotschaften, die keine Operation der Empfängerklasse waren. Der Komplettcheck am 05.10.2026 (E-17) ergab 39 Befunde: zwölf zu BPMN, 14 zu UML, acht zu Dokumentation und Folien und fünf zu den Abgabepflichten. Typisch waren Warteschleifen ohne Ausstieg, abgelehnte Aufträge ohne Rückgabe des Geräts, fehlende Nachrichtenflüsse zwischen den Pools und vertauschte include- und extend-Beziehungen. Jakobs QA-Prüfung am selben Tag führte acht weitere Punkte (Q1 bis Q8). Fünf davon waren sofort erledigt. Die übrigen drei und der verwandte Befund B12 betrafen Prozess 06, Prozess 10 und SD4 und wurden am 08.10.2026 umgesetzt (E-22). Daraus haben wir gelernt: Ändert sich ein Prozess, müssen auch die zugehörigen Use Cases und Sequenzdiagramme geprüft werden.</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Das Projekt ist nach Scrum organisiert (Vorlesung Kapitel 2). Der Product Owner priorisiert den Product Backlog und nimmt Ergebnisse im Sprint Review ab. Die Rituale moderiert der Scrum Master, der auch das Board pflegt. Das Projektteam bearbeitet den Sprint Backlog, wobei jede Aufgabe genau einer Person zugeordnet ist. Abweichend vom reinen Scrum gibt es, wie in der Aufgabenstellung vorgesehen, eine Projektleitung, die Planung und Termine koordiniert.</w:t>
      </w:r>
    </w:p>
    <w:p>
      <w:pPr>
        <w:spacing w:after="120" w:line="276"/>
        <w:jc w:val="both"/>
      </w:pPr>
      <w:r>
        <w:rPr>
          <w:rFonts w:ascii="Calibri" w:cs="Calibri" w:eastAsia="Calibri" w:hAnsi="Calibri"/>
          <w:sz w:val="22"/>
          <w:szCs w:val="22"/>
        </w:rPr>
        <w:t>Den Sprint-Takt geben die Gruppentermine in Präsenz vor (jeweils 4:15 Stunden). Für jeden Termin sind Sprint Review und Retrospektive des vorangegangenen Sprints sowie das Sprint Planning des nächsten vorgesehen. Das Feedback des Dozenten aus dem Coaching planen wir direkt im Planning ein. Zwischen den Terminen arbeiten wir asynchron. Abstimmungen laufen über eine WhatsApp-Gruppe, Dateien teilen wir ausschließlich über das GitHub-Repository.</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 und Planung</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Review-Korrekturen an BPMN und UML (E-15 bis E-20), sechs Sequenzdiagramme als PlantUML, aktualisierte Bilder und Dokumentation. Am 05.10. wurden die Grundentscheidungen bestätigt (E-21); die Übernahme in Visual Paradigm und offene QA-Befunde bleiben Aufgaben für Sprint 3.</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BPMN- und UML-Stand abschließen, VPP-Datei sichern, Dokumentationsplatzhalter füllen, Folien mit finalen Diagrammen und Sprechtexte. Das BPMN-ZIP wird zur Abgabe von Hand gepackt.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Geplant: 15 bis 20 Minuten im Plenum, alle Gruppenmitglieder tragen vor; Kapitel 6 und 7 abschließen; das vollständige Abgabe-Archiv über Moodle hochladen, jede Person separat</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Kilian übernimmt stattdessen das UML-Modell),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sz w:val="22"/>
          <w:szCs w:val="22"/>
        </w:rPr>
        <w:t>An zwei Stellen verlief die Arbeit anders als geplant. Die Übernahme des UML-Modells in Visual Paradigm war für Sprint 1 vorgesehen, wurde aber erst in Sprint 3 begonnen, auch weil die Modelle nach den Prüfrunden in Sprint 2 noch mehrfach geändert wurden (E-15 bis E-20). Deshalb entstanden die Sequenzdiagramme zunächst als PlantUML-Quellen. Außerdem kamen in Sprint 2 mit der Gesamtprüfung und dem Komplettcheck zwei Korrekturrunden hinzu, die nicht als Karten geplant waren. Am 05.10.2026 hat die Gruppe alle offenen Grundsatzentscheidungen getroffen (E-21) und die Arbeit für Sprint 3 neu verteilt. Bis zum 08.10.2026 sind das Use-Case-Diagramm in Visual Paradigm angelegt und die offenen QA-Befunde in den Modellen behoben. Klassendiagramm, Sequenzdiagramme in Visual Paradigm und die Prüfung im Camunda Modeler folgen bis zum 15.10.2026.</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Änderungen am gemeinsamen Stand laufen über einen Git-Workflow, den wir in der README des Repositories festgehalten haben: vor Beginn main aktualisieren, keine direkten Commits auf main, ein Branch je Aufgabe, Pull Request mit Beschreibung, Review durch ein anderes Teammitglied und Merge durch den Qualitätsmanager.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in der aktuellen Kurzfassung doku/03-entscheidungen.md. Der ausführliche frühere Verlauf liegt im Archiv, die Rückmeldungen des Dozenten stehen in einer eigenen Datei.</w:t>
      </w:r>
    </w:p>
    <w:p>
      <w:pPr>
        <w:spacing w:after="120" w:line="276"/>
        <w:jc w:val="both"/>
      </w:pPr>
      <w:r>
        <w:rPr>
          <w:rFonts w:ascii="Calibri" w:cs="Calibri" w:eastAsia="Calibri" w:hAnsi="Calibri"/>
          <w:sz w:val="22"/>
          <w:szCs w:val="22"/>
        </w:rPr>
        <w:t>Die BPMN-Modelle liegen ausschließlich im Git-Repository, Camunda Cloud wird nicht genutzt. Für UML ist der VP-Teamwork-Server das Zielrepository. Im Git liegen derzeit PlantUML-Quellen, PNGs und XMI. Die lokale VPP-Sicherung wird nach der Fertigstellung ergänzt. Seit E-21 werden Word- und PowerPoint-Dateien direkt bearbeitet. Weil diese Dateien nicht automatisch zusammengeführt werden können, stimmt das Team die Bearbeitung vorher über WhatsApp ab. Die Dateien selbst werden ausschließlich über GitHub geteilt.</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Zugang über das Lehre-VPN; nach der Fertigstellung regelmäßige lokale VPP-Sicherung über „Save Project As“, XMI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Folien und Sprecherzuordnung liegen im Repository; Vertretung vor der Generalprobe im Team abstimmen</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mit gleichnamigen PNGs vor. Zur Abgabe werden die zehn XML-Dateien von Hand als BPMN-WWI25B4-Gruppe1.zip gepackt und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(42 %)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angestoßen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7 (64 %)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(79 %)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Bestellbedarf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(38 %)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Gerät abholbereit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17</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 (65 %)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(53 %)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(73 %)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Insgesamt enthalten die zehn Werkstatt-Prozesse 131 Aktivitäten, im Durchschnitt 13,1 je Diagramm. Gezählt werden alle Task-Typen, Aufruf-Aktivitäten und der Mehrfach-Teilprozess einschließlich seiner enthaltenen Aktivitäten. Die Kundenabläufe bringen 26 weitere Aktivitäten mit, die in Tabelle 1 nicht mitgezählt sind. Hinzu kommen 41 Nachrichtenflüsse sowie 48 Datenobjekt-Referenzen und zwölf Datenspeicherdefinitionen, zusammen 60. Mehrere Referenzen auf denselben Speicher innerhalb eines Diagramms zählen dabei einmal. Jeder Prozess hat auf Prozessebene genau ein Start- und ein Endereignis.</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Beteiligte und deshalb eigene Pools, mit denen ausschließlich über Nachrichtenflüsse kommuniziert wird. Der Kunde hat in den Prozessen 01 bis 09 einen eigenen Ablauf mit Start- und Endereignis, zum Beispiel Foto aufnehmen, Anfrage senden, auf Rückfrage oder Diagnose warten, Kostenvoranschlag freigeben oder ablehnen. Dieser Ablauf ist nicht ausführbar, weil RepairFlow ihn nicht steuert. Er zeigt aber, wann der Kunde reagiert und wie der Vorgang für ihn endet. Die Nachrichtenflüsse verbinden deshalb konkrete Aktivitäten und Ereignisse beider Pools. Der Lieferant bleibt ein Empty Pool (Black Box), weil wir seine internen Abläufe weder kennen noch beeinflussen. Der KI-Diagnosedienst ist im Systemkontext zwar ein externer Dienst, bekommt aber keinen eigenen Pool: RepairFlow ruft ihn synchron innerhalb der Geschäftsregel-Aktivität „KI-Diagnosevorschlag erstellen" auf, und er hat keinen eigenen Geschäftsprozess, mit dem Nachrichten ausgetauscht würden.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Lieferanten-Rückmeldung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 oder „08 Abholung abwickeln" aus Diagnose, KVA und Reklamation.</w:t>
            </w:r>
          </w:p>
        </w:tc>
      </w:tr>
    </w:tbl>
    <w:p>
      <w:pPr>
        <w:spacing w:after="160"/>
      </w:pPr>
    </w:p>
    <w:p>
      <w:pPr>
        <w:spacing w:after="120" w:line="276"/>
        <w:jc w:val="both"/>
      </w:pPr>
      <w:r>
        <w:rPr>
          <w:rFonts w:ascii="Calibri" w:cs="Calibri" w:eastAsia="Calibri" w:hAnsi="Calibri"/>
          <w:sz w:val="22"/>
          <w:szCs w:val="22"/>
        </w:rPr>
        <w:t>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Der Kunde lädt in der App Foto, Video oder eine Tonaufnahme hoch, und RepairFlow legt daraus sofort eine Voranmeldung an. Die Medien werden geprüft und vom KI-Dienst ausgewertet. Sind sie nicht auswertbar, fragt das System nach einer besseren Aufnahme. Bleibt die bessere Aufnahme sieben Tage aus, wird die Voranmeldung verworfen. RepairFlow berechnet einen vorläufigen Kostenvoranschlag, prüft die Teileverfügbarkeit in allen Filialen und schlägt Filiale und Termin vor. Bestätigt der Kunde, werden die Voranmeldung als bestätigt markiert und die Teile vorreserviert. Lehnt er den Termin ab oder reagiert er sieben Tage nicht, wird die Voranmeldung verworfen.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Der Techniker sichtet den KI-Diagnosevorschlag und führt Funktionstest und Messung durch. Ist der Fehler nicht reproduzierbar, kommt eine erweiterte Prüfung hinzu. Den Fehlerbefund dokumentiert der Techniker samt Ersatzteilbedarf. RepairFlow bewertet die Wirtschaftlichkeit der Reparatur. Bei einem Totalschaden oder ohne Befund wird der Kunde informiert, der Auftrag auf „abgelehnt" gesetzt und über Prozess 08 mit der Diagnosepauschale zur Abholung gebracht.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Nach der Prüfung durch den Service setzt RepairFlow den Auftrag auf „KVA offen", sendet den KVA und wartet auf Freigabe, Ablehnung oder eine dreitägige Frist. Bei jedem Fristablauf wird der Erinnerungszähler erhöht: Unter drei wird erneut gesendet, beim dritten Fristablauf wird der Auftrag abgelehnt. Nach Freigabe startet die Disposition (Prozess 05), nach Ablehnung folgt die Abholung mit Diagnosepauschale über Prozess 08.</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Je Ersatzteil prüft RepairFlow in einem parallelen Mehrfach-Teilprozess zuerst den Bestand der eigenen Filiale, dann den der anderen Filialen. Teile werden reserviert, bei Bestand in einer anderen Filiale zusätzlich per Umlagerung angefordert, Fehlteile für die Bestellung markiert. Danach werden die Reservierungen bestätigt. Ein unterschrittener Meldebestand erzeugt einen Nachbestellvorschlag. Der Service informiert den Kunden über den voraussichtlichen Reparaturbeginn. Nur Fehlteile lösen Prozess 06 direkt aus. Ein Nachbestellvorschlag bleibt im Status Vorschlag und wird mit der nächsten Bestellung gebündelt, damit die Reparatur nicht auf Lagernachschub wartet.</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Die Fehlteile eines Auftrags werden mit offenen Nachbestellvorschlägen gebündelt und beim Lieferanten bestellt. Wird die Freigabegrenze überschritten, muss die Werkstattleitung die Bestellung vorher freigeben. Kommt binnen 3 Tagen keine Auftragsbestätigung oder kann der Lieferant nicht liefern, wird die Bestellung storniert und ein alternativer Lieferant gesucht. Nach Auftragsbestätigung wird der Liefertermin am Auftrag hinterlegt (Status „Teile bestellt") und der Kunde bei Verzögerung informiert. Bleibt die Lieferung 14 Tage aus, wird sie angemahnt und erneut gewartet. Kommt auch nach der zweiten Mahnung keine Lieferung, wird die Bestellung wie bei fehlender Auftragsbestätigung storniert und ein alternativer Lieferant gesucht (E-22). Der Wareneingang wird geprüft und gebucht, mangelhafte Lieferungen gehen in die Retoure (Prozess 10). Eine Ersatzlieferung wird geprüft, bevor die Fehlteile dem Auftrag zugeordnet werden. Bei Gutschrift wird neu bestellt, solange das Teil noch benötigt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Der Techniker entnimmt die reservierten Teile und arbeitet die Reparaturschritte mit Zeiterfassung ab. Bei einem Zusatzbefund entsteht ein Nachtrags-KVA. Nach Freigabe werden die zusätzlichen Teile über Prozess 05 disponiert und entnommen; Ablehnung oder drei Tage ohne Antwort führen zur Endkontrolle. Nach bestandener Endkontrolle setzt RepairFlow den Auftrag auf „fertig“. Bei Mängeln sind höchstens zwei Nacharbeiten vorgesehen. Bleibt die zweite erfolglos, wird der Auftrag auf „abgelehnt“ gesetzt. Auch ein Nacharbeitsauftrag aus einer Reklamation (Prozess 09) läuft über diesen Prozess.</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Für ein abholbereites Gerät entsteht die Rechnung aus KVA und Arbeitszeiten, bei abgelehnten Aufträgen über die Diagnosepauschale. Kostenfreie Nacharbeit wird ohne Rechnung abgewickelt. RepairFlow benachrichtigt den Kunden und erinnert alle 14 Tage. Nach der dritten Erinnerung wird eine Lagergebühr aufgenommen, beim vierten Fristablauf wird die Verwertung des Geräts eingeleitet. Bei regulärer Abholung werden Zahlungsart und Zahlung erfasst beziehungsweise die Rechnung mit Zahlungsziel versandt, danach das Gerät übergeben und der Auftrag auf „abgeholt“ gesetzt. Offene Rechnungen werden alle 14 Tage gemahnt. Bleibt die dritte Mahnung erfolglos, geht die Forderung an Inkasso. Andernfalls wird die Zahlung verbucht und an die Buchhaltung übergeben. Im regulären Abschluss folgt eine Bewertungsanfrage. Die Verwertungs- und Mahngrenzen aus E-19 sind noch durch die Gruppe zu bestätigen.</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Meldet der Kunde nach der Abholung einen Mangel, wird die Reklamation erfasst, dem Ursprungsauftrag zugeordnet und das Gerät angenommen. Der Techniker prüft den Mangel, RepairFlow bewertet den Gewährleistungsfall. Die Werkstattleitung entscheidet über die kostenfreie Nacharbeit. Andernfalls erhält der Kunde ein kostenpflichtiges Angebot. Nur nach Freigabe oder Angebotsannahme legt der Techniker einen Nacharbeitsauftrag an, der über Prozess 07 durchgeführt wird. Defekte Lieferantenteile gehen in die Retoure (Prozess 10). Die Rückgabe des Geräts läuft in allen Zweigen über Prozess 08, danach wird die Reklamation geschlossen.</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Defekte oder falsche Lieferantenteile werden beim Lieferanten angemeldet. Bleibt die RMA-Freigabe fünf Tage aus, eskaliert die Werkstattleitung. Nach weiteren fünf Tagen ohne Freigabe wird das Teil abgeschrieben. Nach der Freigabe wird das Teil versendet und der Bestand korrigiert. Je nach Rückmeldung wird eine Gutschrift verbucht oder auf die Ersatzlieferung gewartet und diese nach ihrem Eingang gebucht (E-22). Ob nach einer Gutschrift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Von den 131 Aktivitäten sind 79 automatisierte, regelbasierte, sendende oder empfangende Aktivitäten, also rund 60 Prozent. Weitere 33 Benutzer-Aktivitäten werden von Mitarbeitern in der Plattform ausgeführt. Neun manuelle Aktivitäten liegen außerhalb der Systemgrenze. Neun Aktivitäten rufen einen anderen Prozess auf, eine weitere ist der Mehrfach-Teilprozess. Die Software, die wir in der objektorientierten Analyse entwerfen, unterstützt und automatisiert damit den Reparaturauftrags-Lebenszyklus:</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Erinnerungen, Mahnungen und Lagergebühr.</w:t>
      </w:r>
    </w:p>
    <w:p>
      <w:pPr>
        <w:pStyle w:val="ListParagraph"/>
        <w:numPr>
          <w:ilvl w:val="0"/>
          <w:numId w:val="2"/>
        </w:numPr>
        <w:spacing w:after="60" w:line="264"/>
      </w:pPr>
      <w:r>
        <w:rPr>
          <w:rFonts w:ascii="Calibri" w:cs="Calibri" w:eastAsia="Calibri" w:hAnsi="Calibri"/>
          <w:sz w:val="22"/>
          <w:szCs w:val="22"/>
        </w:rPr>
        <w:t xml:space="preserve">Automatisierte Kundenkommunikation zu den vorgesehenen Prozessschritten: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Die objektorientierte Analyse folgt der Reihenfolge aus der Vorlesung: Use-Case-Diagramm, Klassendiagramm, Interaktionsdiagramme zu ausgewählten Use Cases und ergänzend ein Zustandsdiagramm des Reparaturauftrags. Der aktuelle Git-Stand enthält PlantUML-Quellen, PNGs und uml/modell.xmi mit Klassen- und Use-Case-Modell. Diese Modelle werden in Visual Paradigm importiert. Dort sind die sechs Sequenzdiagramme als Unterdiagramme der zugehörigen Use Cases anzulegen. UML-WWI25B4-Gruppe1.vpp ist noch zu erstellen und in uml/ zu sichern.</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Das Use-Case-Diagramm beschreibt, was RepairFlow aus Sicht seiner Benutzer leistet. Es enthält 19 Use Cases in vier Bereichen (Kundenportal, Auftrag und Werkstatt, Ersatzteil-Disposition, Administration) und acht Akteure. Primäre Akteure sind Kunde, Servicemitarbeiter, Techniker, Disponent, Werkstattleiter und Werkstattinhaber. Lieferant und KI-Diagnosedienst sind sekundäre, externe Akteure. Jede Lane der Prozessmodelle hat damit einen Akteur, die Lane Service / Annahme den Servicemitarbeiter.</w:t>
      </w:r>
    </w:p>
    <w:p>
      <w:pPr>
        <w:keepNext/>
        <w:spacing w:after="0" w:before="120"/>
        <w:jc w:val="center"/>
      </w:pPr>
      <w:r>
        <w:drawing>
          <wp:inline distT="0" distB="0" distL="0" distR="0">
            <wp:extent cx="4188973" cy="4581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88973" cy="45815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Für die Beziehungen zwischen den Use Cases gilt: include steht für einen Teilschritt, der immer ausgeführt wird, extend für bedingtes Verhalten. So schließen „Sofortdiagnose anfordern" und „Ersatzteile disponieren und reservieren" im erfolgreichen Hauptablauf „Ersatzteil-Verfügbarkeit prüfen" ein. „Reparaturauftrag anlegen" erweitert „Reklamation bearbeiten" nur bei freigegebener Nacharbeit oder angenommenem Angebot. Bei Ablehnung entsteht kein neuer Auftrag. „Voranmeldung bestätigen" erweitert die Sofortdiagnose nur dann, wenn der Kunde den Vorschlag annimmt. „Diagnosevorschlag prüfen" bleibt ein eigener Use Case vor der Befunderfassung. Prozess 03 enthält dafür keine bedingte Verzweigung, deshalb wird hier keine extend-Beziehung behauptet. „Nachbestellvorschlag erzeugen" erweitert die Disposition bei unterschrittenem Meldebestand, „Lieferantenbestellung auslösen" erweitert sie, wenn Fehlteile vorhanden sind. „Retoure abwickeln" erweitert den Wareneingang bei mangelhafter Lieferung und die Reklamation bei einem defekten Lieferantenteil. Die Bedingungen und Erweiterungspunkte stehen auch in der XMI-Datei. Vorbedingungen wie die Fertigmeldung vor der Rechnung sind bewusst keine include-Beziehungen, weil der Basis-Use-Case den anderen nicht ausführt.</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Das Klassendiagramm umfasst 27 Klassen, darunter die abstrakten Klassen Person und Mitarbeiter, sowie sieben Aufzählungen und 36 Assoziationen. Es gibt genau ein vollständiges Klassendiagramm in Anhang C und im Repository (uml/klassen.png). Alle Klassen, Operationen und Beziehungen stehen in derselben Abbildung, zusätzliche Fokusdiagramme entfallen. In Visual Paradigm wird es aus der XMI-Datei aufgebaut.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Fehlerbefund und Reparaturschritte existieren nur mit ihrem Auftrag und sind deshalb Kompositionen. Der Kostenvoranschlag ist dagegen nur assoziiert, weil der vorläufige KVA aus der Sofortdiagnose schon vor dem Auftrag entsteht (Multiplizität 0..1 auf Auftragsseite). Das Gerät existiert unabhängig vom Auftrag und ist nur zugeordnet, weil es mehrfach repariert werden kann. Der Auftrag hält den Status und damit die Methode wechsleStatus(). Die Statuswerte bilden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 (vorreserviere() statt reserviere()).</w:t>
      </w:r>
    </w:p>
    <w:p>
      <w:pPr>
        <w:pStyle w:val="ListParagraph"/>
        <w:numPr>
          <w:ilvl w:val="0"/>
          <w:numId w:val="2"/>
        </w:numPr>
        <w:spacing w:after="60" w:line="264"/>
      </w:pPr>
      <w:r>
        <w:rPr>
          <w:rFonts w:ascii="Calibri" w:cs="Calibri" w:eastAsia="Calibri" w:hAnsi="Calibri"/>
          <w:b/>
          <w:bCs/>
          <w:sz w:val="22"/>
          <w:szCs w:val="22"/>
        </w:rPr>
        <w:t xml:space="preserve">Nacharbeit als neuer Auftrag. </w:t>
      </w:r>
      <w:r>
        <w:rPr>
          <w:rFonts w:ascii="Calibri" w:cs="Calibri" w:eastAsia="Calibri" w:hAnsi="Calibri"/>
          <w:sz w:val="22"/>
          <w:szCs w:val="22"/>
        </w:rPr>
        <w:t xml:space="preserve">Eine Reklamation verweist auf den Ursprungsauftrag und führt zu einem neuen Reparaturauftrag für die Nacharbeit, der mit dem Attribut kostenfrei kennzeichnet, ob die Gewährleistung greift. So erhält die Nacharbeit einen eigenen Auftragslebenszyklus, und Prozess 09 kann die Nacharbeit über die Prozesse 07 und 08 abwickeln.</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Als Solution Provider bedienen wir viele Werkstätten. Der Werkstattbetrieb steht als Mandant über seinen Filialen und Mitarbeitern, und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Servicemitarbeiter, Techniker, Disponent und Werkstattleiter entspricht den vier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Für sechs Use Cases mit vielen Interaktionen haben wir Sequenzdiagramme erstellt (gefordert waren fünf). Die Lebenslinien zeigen Klassenobjekte und beteiligte Akteure. Klassenbotschaften verwenden die Operationen des Klassendiagramms. Antworten, Konstruktoren und Nachrichten an menschliche oder externe Akteure werden gesondert dargestellt. Kombinierte Fragmente bilden Verzweigungen, optionale Schritte, Schleifen und parallele Teileprüfungen ab.</w:t>
      </w:r>
    </w:p>
    <w:p>
      <w:pPr>
        <w:keepNext/>
        <w:spacing w:after="0" w:before="120"/>
        <w:jc w:val="center"/>
      </w:pPr>
      <w:r>
        <w:drawing>
          <wp:inline distT="0" distB="0" distL="0" distR="0">
            <wp:extent cx="3800475" cy="49530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00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SD1 – Sofortdiagnose anfordern (UC01)</w:t>
      </w:r>
    </w:p>
    <w:p>
      <w:pPr>
        <w:spacing w:after="120" w:line="276"/>
        <w:jc w:val="both"/>
      </w:pPr>
      <w:r>
        <w:rPr>
          <w:rFonts w:ascii="Calibri" w:cs="Calibri" w:eastAsia="Calibri" w:hAnsi="Calibri"/>
          <w:sz w:val="22"/>
          <w:szCs w:val="22"/>
        </w:rPr>
        <w:t>SD1 folgt Prozess 01: RepairFlow legt die Voranmeldung an und prüft die Medienqualität. Nicht auswertbare Aufnahmen können nachgereicht werden. Kommt sieben Tage lang keine neue Aufnahme, endet der Ablauf. Erst danach wertet der KI-Dienst die Medien aus. Vorab-KVA, Verfügbarkeit und Filialauslastung führen zum Terminvorschlag. Bestätigung, Terminablehnung und sieben Tage ohne Entscheidung sind getrennte Pfade. Verfügbare Teile werden erst nach der Bestätigung vorreserviert.</w:t>
      </w:r>
    </w:p>
    <w:p>
      <w:pPr>
        <w:keepNext/>
        <w:spacing w:after="0" w:before="120"/>
        <w:jc w:val="center"/>
      </w:pPr>
      <w:r>
        <w:drawing>
          <wp:inline distT="0" distB="0" distL="0" distR="0">
            <wp:extent cx="3000375" cy="4572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003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SD2 – KVA freigeben / ablehnen (UC07)</w:t>
      </w:r>
    </w:p>
    <w:p>
      <w:pPr>
        <w:spacing w:after="120" w:line="276"/>
        <w:jc w:val="both"/>
      </w:pPr>
      <w:r>
        <w:rPr>
          <w:rFonts w:ascii="Calibri" w:cs="Calibri" w:eastAsia="Calibri" w:hAnsi="Calibri"/>
          <w:sz w:val="22"/>
          <w:szCs w:val="22"/>
        </w:rPr>
        <w:t>SD2 übernimmt Positionen und Ersatzteilpreise aus UC06, die Prüfung durch Service / Annahme und den Status „KVA offen". Nach jeweils drei Tagen ohne Antwort wird ein Fristablauf protokolliert. Vor dem dritten Ablauf wird der KVA mit Erinnerung erneut gesendet. Mit der Freigabe startet Prozess 05. Eine echte Kundenablehnung und der dritte Fristablauf führen auf getrennten Pfaden zur Abholung über Prozess 08. Der Timeout wird dabei nicht als Kundenbotschaft dargestellt.</w:t>
      </w:r>
    </w:p>
    <w:p>
      <w:pPr>
        <w:keepNext/>
        <w:spacing w:after="0" w:before="120"/>
        <w:jc w:val="center"/>
      </w:pPr>
      <w:r>
        <w:drawing>
          <wp:inline distT="0" distB="0" distL="0" distR="0">
            <wp:extent cx="4943475" cy="4953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43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SD3 – Ersatzteile disponieren und reservieren (UC09)</w:t>
      </w:r>
    </w:p>
    <w:p>
      <w:pPr>
        <w:spacing w:after="120" w:line="276"/>
        <w:jc w:val="both"/>
      </w:pPr>
      <w:r>
        <w:rPr>
          <w:rFonts w:ascii="Calibri" w:cs="Calibri" w:eastAsia="Calibri" w:hAnsi="Calibri"/>
          <w:sz w:val="22"/>
          <w:szCs w:val="22"/>
        </w:rPr>
        <w:t>SD3 zeigt den parallelen Mehrfach-Teilprozess je Ersatzteil: eigene Filiale, andere Filialen mit Umlagerung oder Fehlteil markieren. Danach folgen die Bestätigung aller Reservierungen und die Meldebestandsprüfung mit optionalem Nachbestellvorschlag (UC12). Der Servicemitarbeiter ermittelt den Reparaturbeginn und informiert den Kunden. Erst dann startet bei Fehlteilen UC10. Ein Nachbestellvorschlag allein löst keine Bestellung aus. Der Status „Teile bestellt" folgt erst nach bestätigter Bestellung in SD6.</w:t>
      </w:r>
    </w:p>
    <w:p>
      <w:pPr>
        <w:keepNext/>
        <w:spacing w:after="0" w:before="120"/>
        <w:jc w:val="center"/>
      </w:pPr>
      <w:r>
        <w:drawing>
          <wp:inline distT="0" distB="0" distL="0" distR="0">
            <wp:extent cx="3238500" cy="452482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38500" cy="452482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SD4 – Auftrag fertigmelden (UC14)</w:t>
      </w:r>
    </w:p>
    <w:p>
      <w:pPr>
        <w:spacing w:after="120" w:line="276"/>
        <w:jc w:val="both"/>
      </w:pPr>
      <w:r>
        <w:rPr>
          <w:rFonts w:ascii="Calibri" w:cs="Calibri" w:eastAsia="Calibri" w:hAnsi="Calibri"/>
          <w:sz w:val="22"/>
          <w:szCs w:val="22"/>
        </w:rPr>
        <w:t>SD4 knüpft die Fertigmeldung an abgeschlossene Reparaturschritte und eine bestandene Endkontrolle. Der Verweis auf UC13 umfasst Schritte, Arbeitszeiten und einen möglichen Nachtrags-KVA. Nach dessen Freigabe werden die zusätzlichen Teile über UC09 (Prozess 05) disponiert. Ablehnung oder drei Tage ohne Antwort führen zur Endkontrolle. Die Schleife erlaubt höchstens zwei Nacharbeiten. Bleibt auch die zweite erfolglos, wechselt der Reparaturauftrag in den Status „abgelehnt“. Abholbenachrichtigung, Rückgabe und Rechnung gehören zu UC15 in Prozess 08.</w:t>
      </w:r>
    </w:p>
    <w:p>
      <w:pPr>
        <w:keepNext/>
        <w:spacing w:after="0" w:before="120"/>
        <w:jc w:val="center"/>
      </w:pPr>
      <w:r>
        <w:drawing>
          <wp:inline distT="0" distB="0" distL="0" distR="0">
            <wp:extent cx="3933825" cy="4572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SD5 – Reklamation bearbeiten (UC16)</w:t>
      </w:r>
    </w:p>
    <w:p>
      <w:pPr>
        <w:spacing w:after="120" w:line="276"/>
        <w:jc w:val="both"/>
      </w:pPr>
      <w:r>
        <w:rPr>
          <w:rFonts w:ascii="Calibri" w:cs="Calibri" w:eastAsia="Calibri" w:hAnsi="Calibri"/>
          <w:sz w:val="22"/>
          <w:szCs w:val="22"/>
        </w:rPr>
        <w:t>SD5 zeigt Geräteannahme, Mangelprüfung durch den Techniker und Gewährleistungsbewertung am Ursprungsauftrag. Kostenfreie Nacharbeit gibt die Werkstattleitung frei, andernfalls entscheidet der Kunde über das Angebot. Nur bei Freigabe oder Annahme legt der Techniker den Nacharbeitsauftrag an. Darauf folgen Prozess 07, gegebenenfalls Prozess 10 bei defektem Lieferantenteil und in allen Pfaden Prozess 08 zur Abholung. Erst danach wird die Reklamation abgeschlossen.</w:t>
      </w:r>
    </w:p>
    <w:p>
      <w:pPr>
        <w:keepNext/>
        <w:spacing w:after="0" w:before="120"/>
        <w:jc w:val="center"/>
      </w:pPr>
      <w:r>
        <w:drawing>
          <wp:inline distT="0" distB="0" distL="0" distR="0">
            <wp:extent cx="3381375" cy="4908616"/>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81375" cy="490861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SD6 – Lieferantenbestellung auslösen (UC10, mit Verweis auf UC12)</w:t>
      </w:r>
    </w:p>
    <w:p>
      <w:pPr>
        <w:spacing w:after="120" w:line="276"/>
        <w:jc w:val="both"/>
      </w:pPr>
      <w:r>
        <w:rPr>
          <w:rFonts w:ascii="Calibri" w:cs="Calibri" w:eastAsia="Calibri" w:hAnsi="Calibri"/>
          <w:sz w:val="22"/>
          <w:szCs w:val="22"/>
        </w:rPr>
        <w:t>SD6 bündelt den Bestellbedarf aus Prozess 05, wählt einen Lieferanten und legt eine Bestellung mit Positionen an. Oberhalb der Freigabegrenze muss die Werkstattleitung die Bestellung freigeben. Nur eine bestätigte und lieferbare Bestellung setzt bei auftragsbezogenen Fehlteilen den Status „Teile bestellt". Verzögerungen werden dem Kunden mitgeteilt. Nicht lieferbare oder binnen drei Tagen nicht bestätigte Bestellungen werden storniert, und es wird ein alternativer Lieferant gesucht. Die Lieferwartezeit beträgt 14 Tage. Danach wird angemahnt und weiter gewartet, nach der zweiten erfolglosen Mahnung wird die Bestellung storniert. UC11 verfeinert Lieferung und Wareneingang, bei Mängeln mit UC19 Retoure. Ohne Ersatz wird nur erneut bestellt, solange das Teil noch benötigt wird. Prozess 06 enthält keinen Pfad für eine Zusammenführung mit offenen Bestellungen, deshalb wird sie nicht behauptet.</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Die Modelle werden über gemeinsame Namen, Rollen und Statuswerte abgeglichen. BPMN-Datenobjekte tragen die Klassennamen, bei Bedarf mit Zustand in eckigen Klammern. Der Pool Kunde und die Werkstatt-Lanes entsprechen den Akteuren Kunde, Servicemitarbeiter, Techniker, Disponent und Werkstattleiter sowie den Rollenklassen. Die Auftragszustände folgen AuftragStatus: „abgelehnt“ wird in Prozess 03, 04 und seit E-19 auch in Prozess 07 gesetzt, „angenommen“ in Prozess 02 und bei einem neuen Nacharbeitsauftrag in Prozess 09. Tabelle 2 zeigt die fachliche Zuordnung. Ein vollständig abgeschlossener Abgleich ist damit noch nicht belegt.</w:t>
      </w:r>
    </w:p>
    <w:p>
      <w:pPr>
        <w:spacing w:after="120" w:line="276"/>
        <w:jc w:val="both"/>
        <w:keepLines/>
      </w:pPr>
      <w:r>
        <w:rPr>
          <w:rFonts w:ascii="Calibri" w:cs="Calibri" w:eastAsia="Calibri" w:hAnsi="Calibri"/>
          <w:sz w:val="22"/>
          <w:szCs w:val="22"/>
        </w:rPr>
        <w:t>Am 05.10.2026 waren noch folgende Abweichungen offen: SD4 gegenüber dem Nachtrags- und Abbruchpfad in Prozess 07, die fehlende Begrenzung der Liefermahnungen in Prozess 06 und der fehlende Empfang der Ersatzlieferung in Prozess 10. Seit dem 08.10.2026 sind sie behoben (E-22). Von der Gruppe zu bestätigen sind noch die Fristen aus E-19, E-20 und E-22. Ungeklärt ist, ob verwertete Geräte einen eigenen Wert in AuftragStatus brauchen. Die Diagrammbilder entsprechen den aktuell eingecheckten PNGs.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Servicemitarbeiter,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 Reparaturauftrag [in Diagnose,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 UC10 bei Fehlteilen</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Servicemitarbeiter,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 aus P05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 UC09 bei freigegebenem Nachtrag</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 abgelehnt]</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sz w:val="19"/>
                <w:szCs w:val="19"/>
              </w:rPr>
              <w:t>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[offen, Mahnung, bezahlt], Servicemitarbeiter,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 UC03 nur bei Nacharbeit; UC19 bei defektem Teil</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Servicemitarbeiter, Werkstattleiter, Reparaturauftrag [angenommen]</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UC19</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[Retoure, Gutschrift],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die für den damaligen Stand dokumentierten Linter-Prüfungen ohne Befund passiert haben. Aus dem Betreiber-Entwurf haben wir die Rollenklassen Mitarbeiter, Disponent und Werkstattleiter übernommen, dazu die Datenspeicher Technikerplan und Buchhaltung, das Sequenzdiagramm zum Nachbestellvorschlag, den Abschnitt zur Konsistenz der Modelle sowie Sprintplan und Trello-Board. Die Gegenüberstellung steht im Repository (archiv/doku/05-vergleich-und-zusammenfuehrung.md).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Ein erster Entwurf modellierte Werkstatt und Ersatzteil-Disposition als getrennte Pools. Nach der Vorlesungsregel „Pool = Unternehmen, Lanes = Rollen" haben wir auf einen Pool mit Lanes umgestellt, Kunde und Lieferant blieben eigene Pools. Erst dadurch wurden die Nachrichtenflüsse eindeutig. Den Kunden hatten wir zunächst als Black Box gezeichnet. Dabei war aber nicht sichtbar, wann er antwortet, entscheidet oder fertig ist, also bekam er einen eigenen Ablauf (Entscheidungslog E-16). Eine Gesamtprüfung aller Modelle am 05.10.2026 (E-17) zeigte danach Lücken zwischen den Prozessen. Sie zeigte etwa, dass abgelehnte Aufträge nie abgeholt wurden und Warteschleifen keinen Ausstieg hatten. Seitdem laufen die Rückgaben über Prozess 08, und Wartesituationen haben modellierte Fristen. Die letzte Schleife dieser Art, die Liefermahnung in Prozess 06, hat seit E-22 ebenfalls einen Ausstieg.</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In der ersten Fassung waren wir gleichzeitig Werkstatt und Softwareanbieter. Die Rückfrage des Dozenten hat uns dazu gebracht, das zu klären. Die Entscheidung für den Solution Provider hat sich gelohnt, denn die Prozesse blieben gültig. Texte, Use Cases (Onboarding) und das Klassenmodell (Mandant) mussten allerdings nachziehen.</w:t>
      </w:r>
    </w:p>
    <w:p>
      <w:pPr>
        <w:spacing w:after="120" w:line="276"/>
        <w:jc w:val="both"/>
      </w:pPr>
      <w:r>
        <w:rPr>
          <w:rFonts w:ascii="Calibri" w:cs="Calibri" w:eastAsia="Calibri" w:hAnsi="Calibri"/>
          <w:b/>
          <w:bCs/>
          <w:sz w:val="22"/>
          <w:szCs w:val="22"/>
        </w:rPr>
        <w:t xml:space="preserve">Zehn Kollaborationsdiagramme mit durchschnittlich zehn Aktivitäten. </w:t>
      </w:r>
      <w:r>
        <w:rPr>
          <w:rFonts w:ascii="Calibri" w:cs="Calibri" w:eastAsia="Calibri" w:hAnsi="Calibri"/>
          <w:sz w:val="22"/>
          <w:szCs w:val="22"/>
        </w:rPr>
        <w:t>Unsere ursprüngliche Prozessliste enthielt die Terminplanung als eigenen Prozess, der aber nur einen Pool und wenige Schritte hatte.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Datenobjekte, Klassen, Lebenslinien und Statuswerte müssen wortgleich sein. Frühere Fassungen der Sequenzdiagramme verwendeten „Diagnose" und „Reservierung", das Klassendiagramm „Fehlerbefund" und „ErsatzteilReservierung". Die Rohentwürfe wurden deshalb aus einer gemeinsamen Modellbeschreibung erzeugt. Seit E-21 bearbeiten wir die aktiven Quellen direkt. Nach Änderungen müssen Namen, Operationen und Beziehungen erneut gegeneinander geprüft werden. Wie nötig das ist, zeigte SD4: Nach den Korrekturen an Prozess 07 (E-19) musste es erst nachgezogen werden.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Der Teamwork-Server von Visual Paradigm ist nur über das Lehre-VPN erreichbar, und der Camunda Modeler meldet für Camunda-8-Diagramme technische Details als Fehler, etwa fehlende Task-Definitionen oder Message-Subscriptions. Wir haben die Diagramme „engine-ready" angereichert, statt die Fehler zu ignorieren. Diese Anreicherung dient der technischen Modellprüfung. Dass die gesamte Prozesskette in einer Camunda-Engine läuft, ist damit nicht nachgewiesen.</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möglichst aus der obersten Zeile einer Lane nach außen laufen, im Kunden-Pool senkrecht über ihrem Gegenstück liegen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Die KI-Sofortdiagnose soll beeindrucken und trotzdem glaubwürdig bleiben. Deshalb trennen wir in Modell und Text zwischen dem, was heute mit Bildanalyse geht, und dem, was Vision ist. Den Vorschlag halten wir im Prozess ausdrücklich unverbindlich.</w:t>
      </w:r>
    </w:p>
    <w:p>
      <w:pPr>
        <w:spacing w:after="120" w:line="276"/>
        <w:jc w:val="both"/>
      </w:pPr>
      <w:r>
        <w:rPr>
          <w:rFonts w:ascii="Calibri" w:cs="Calibri" w:eastAsia="Calibri" w:hAnsi="Calibri"/>
          <w:b/>
          <w:sz w:val="22"/>
          <w:szCs w:val="22"/>
        </w:rPr>
        <w:t xml:space="preserve">Zusammenarbeit im Team. </w:t>
      </w:r>
      <w:r>
        <w:rPr>
          <w:rFonts w:ascii="Calibri" w:cs="Calibri" w:eastAsia="Calibri" w:hAnsi="Calibri"/>
          <w:sz w:val="22"/>
          <w:szCs w:val="22"/>
        </w:rPr>
        <w:t>Sechs Personen arbeiten am selben Repository, aber nicht alle mit denselben Werkzeugen. Zugriff auf Visual Paradigm und den Teamwork-Server haben bei uns nur David und Kilian, also konzentriert sich die UML-Arbeit auf zwei Personen. Am 05.10.2026 haben zwei Pull Requests parallel eine Entscheidung mit der Nummer E-20 angelegt. Die Konflikte wurden gleichzeitig an zwei Stellen gelöst, und ein Stand musste neu aufgesetzt werden. Seitdem gilt die Regel, vor jeder neuen Entscheidung main zu aktualisieren und die nächste freie Nummer zu nehmen. Word- und PowerPoint-Dateien lassen sich in Git nicht zusammenführen. Wer sie bearbeitet, kündigt das deshalb vorher in der WhatsApp-Gruppe an.</w:t>
      </w:r>
    </w:p>
    <w:p>
      <w:pPr>
        <w:spacing w:after="120" w:line="276"/>
        <w:jc w:val="both"/>
      </w:pPr>
      <w:r>
        <w:rPr>
          <w:rFonts w:ascii="Calibri" w:cs="Calibri" w:eastAsia="Calibri" w:hAnsi="Calibri"/>
          <w:b/>
          <w:bCs/>
          <w:sz w:val="22"/>
          <w:szCs w:val="22"/>
        </w:rPr>
        <w:t xml:space="preserve">Werkzeuge im Alltag. </w:t>
      </w:r>
      <w:r>
        <w:rPr>
          <w:rFonts w:ascii="Calibri" w:cs="Calibri" w:eastAsia="Calibri" w:hAnsi="Calibri"/>
          <w:bCs/>
          <w:sz w:val="22"/>
          <w:szCs w:val="22"/>
        </w:rPr>
        <w:t>Ein Repository, das in einem synchronisierten OneDrive-Ordner liegt, sperrte Dateien im Git-Verzeichnis, sodass Git beim Wechsel von Branches Löschvorgänge nicht abschließen konnte. Beim Aufbau des Use-Case-Diagramms in Visual Paradigm führte ein wiederholter XMI-Import zu doppelten Beziehungen. Gelöst haben wir das, indem wir das Modell vollständig gelöscht und einmal sauber neu importiert haben.</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sz w:val="22"/>
          <w:szCs w:val="22"/>
        </w:rPr>
        <w:t>Fragen zum Vorgehen klären wir in den Gruppenterminen direkt mit dem Dozenten. Eine feste Ansprechperson gibt es dafür nicht (E-21). Rückmeldungen, die zu Änderungen an den Modellen führen, halten wir im Repository fest und verknüpfen sie mit der zugehörigen Entscheidung.</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Am meisten gebracht hat uns, ein Szenario durchgehend von der Prozessanalyse bis zum Sequenzdiagramm zu modellieren. Erst dabei wurde sichtbar, wie eng BPMN, Use Cases und Klassenmodell zusammenhängen: Jede Korrektur an einem Prozess hatte Folgen für mindestens ein UML-Diagramm. Die Reviews im Zweierteam und die Gesamtprüfungen haben mehr Fehler gefunden, als wir beim Modellieren selbst bemerkt hätten.</w:t>
      </w:r>
    </w:p>
    <w:p>
      <w:pPr>
        <w:spacing w:after="120" w:line="276"/>
        <w:jc w:val="both"/>
      </w:pPr>
      <w:r>
        <w:rPr>
          <w:rFonts w:ascii="Calibri" w:cs="Calibri" w:eastAsia="Calibri" w:hAnsi="Calibri"/>
          <w:sz w:val="22"/>
          <w:szCs w:val="22"/>
        </w:rPr>
        <w:t>Viel Aufwand steckte in Dingen am Rand der eigentlichen Analyse, etwa im Zugang zum Teamwork-Server über das VPN und in der Camunda-8-Anreicherung, die der Modeler für fehlerfreie Diagramme verlangt. Beim nächsten Mal würden wir früher festlegen, welche Datei die verbindliche Quelle eines Modells ist, und das UML-Modell schon in Sprint 1 in Visual Paradigm anlegen, statt es mehrfach außerhalb zu überarbeiten.</w:t>
      </w:r>
    </w:p>
    <w:p>
      <w:pPr>
        <w:pStyle w:val="Heading1"/>
        <w:keepNext/>
        <w:spacing w:after="120" w:before="360"/>
      </w:pPr>
      <w:r>
        <w:rPr>
          <w:rFonts w:ascii="Calibri" w:cs="Calibri" w:eastAsia="Calibri" w:hAnsi="Calibri"/>
        </w:rPr>
        <w:t xml:space="preserve">Anhang A: Abgabestruktur</w:t>
      </w:r>
    </w:p>
    <w:p>
      <w:pPr>
        <w:keepNext/>
        <w:spacing w:after="120" w:line="276"/>
        <w:jc w:val="both"/>
      </w:pPr>
      <w:r>
        <w:rPr>
          <w:rFonts w:ascii="Calibri" w:cs="Calibri" w:eastAsia="Calibri" w:hAnsi="Calibri"/>
          <w:sz w:val="22"/>
          <w:szCs w:val="22"/>
        </w:rPr>
        <w:t xml:space="preserve">Zur Abgabe wird das vollständige Archiv Fallstudie-WWI25B4-Gruppe1.zip zusammengestellt. Vorgesehen sind:</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cantSplit/>
        </w:trPr>
        <w:tc>
          <w:tcPr>
            <w:tcW w:type="dxa" w:w="340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keepNext/>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w:t>
            </w:r>
          </w:p>
        </w:tc>
      </w:tr>
      <w:tr>
        <w:trPr>
          <w:cantSplit/>
        </w:trPr>
        <w:tc>
          <w:tcPr>
            <w:tcW w:type="dxa" w:w="340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keepNext/>
              <w:spacing w:after="40" w:line="252"/>
              <w:jc w:val="left"/>
            </w:pPr>
            <w:r>
              <w:rPr>
                <w:rFonts w:ascii="Calibri" w:cs="Calibri" w:eastAsia="Calibri" w:hAnsi="Calibri"/>
                <w:b w:val="false"/>
                <w:bCs w:val="false"/>
                <w:color w:val="000000"/>
                <w:sz w:val="19"/>
                <w:szCs w:val="19"/>
              </w:rPr>
              <w:t xml:space="preserve">Noch zu erstellendes Visual-Paradigm-Projekt mit Use-Case-, genau einem Klassen- und sechs Sequenzdiagrammen, ergänzend dem Zustandsdiagramm. XMI liefert das Klassen- und Use-Case-Modell; Sequenzdiagramme werden in VP angelegt. Die finale VPP-Datei wird in uml/ gesichert.</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6"/>
          <w:footerReference w:type="default" r:id="rId7"/>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333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144000" cy="33337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Prozess 01 KI-Sofortdiagnose und Voranmeldung (Pools: Werkstattbetrieb, Kunde)</w:t>
      </w:r>
    </w:p>
    <w:p>
      <w:r>
        <w:br w:type="page"/>
      </w:r>
    </w:p>
    <w:p>
      <w:pPr>
        <w:keepNext/>
        <w:spacing w:after="0" w:before="120"/>
        <w:jc w:val="center"/>
      </w:pPr>
      <w:r>
        <w:drawing>
          <wp:inline distT="0" distB="0" distL="0" distR="0">
            <wp:extent cx="9144000" cy="28384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144000" cy="283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Prozess 02 Auftragsannahme, Geräteregistrierung und Terminplanung (Pools: Werkstattbetrieb, Kunde)</w:t>
      </w:r>
    </w:p>
    <w:p>
      <w:r>
        <w:br w:type="page"/>
      </w:r>
    </w:p>
    <w:p>
      <w:pPr>
        <w:keepNext/>
        <w:spacing w:after="0" w:before="120"/>
        <w:jc w:val="center"/>
      </w:pPr>
      <w:r>
        <w:drawing>
          <wp:inline distT="0" distB="0" distL="0" distR="0">
            <wp:extent cx="9144000" cy="2943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29432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03 Fehlerdiagnose (Pools: Werkstattbetrieb, Kunde)</w:t>
      </w:r>
    </w:p>
    <w:p>
      <w:r>
        <w:br w:type="page"/>
      </w:r>
    </w:p>
    <w:p>
      <w:pPr>
        <w:keepNext/>
        <w:spacing w:after="0" w:before="120"/>
        <w:jc w:val="center"/>
      </w:pPr>
      <w:r>
        <w:drawing>
          <wp:inline distT="0" distB="0" distL="0" distR="0">
            <wp:extent cx="9144000" cy="37528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37528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04 Kostenvoranschlag und Kundenfreigabe (Pools: Werkstattbetrieb, Kunde)</w:t>
      </w:r>
    </w:p>
    <w:p>
      <w:r>
        <w:br w:type="page"/>
      </w:r>
    </w:p>
    <w:p>
      <w:pPr>
        <w:keepNext/>
        <w:spacing w:after="0" w:before="120"/>
        <w:jc w:val="center"/>
      </w:pPr>
      <w:r>
        <w:drawing>
          <wp:inline distT="0" distB="0" distL="0" distR="0">
            <wp:extent cx="9144000" cy="23050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23050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05 Ersatzteil-Verfügbarkeit und Reservierung (Pools: Werkstattbetrieb, Kunde)</w:t>
      </w:r>
    </w:p>
    <w:p>
      <w:r>
        <w:br w:type="page"/>
      </w:r>
    </w:p>
    <w:p>
      <w:pPr>
        <w:keepNext/>
        <w:spacing w:after="0" w:before="120"/>
        <w:jc w:val="center"/>
      </w:pPr>
      <w:r>
        <w:drawing>
          <wp:inline distT="0" distB="0" distL="0" distR="0">
            <wp:extent cx="9144000" cy="2400393"/>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400393"/>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06 Ersatzteil-Bestellung beim Lieferanten (Pools: Werkstattbetrieb, Lieferant, Kunde)</w:t>
      </w:r>
    </w:p>
    <w:p>
      <w:r>
        <w:br w:type="page"/>
      </w:r>
    </w:p>
    <w:p>
      <w:pPr>
        <w:keepNext/>
        <w:spacing w:after="0" w:before="120"/>
        <w:jc w:val="center"/>
      </w:pPr>
      <w:r>
        <w:drawing>
          <wp:inline distT="0" distB="0" distL="0" distR="0">
            <wp:extent cx="9144000" cy="2600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6003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07 Reparaturdurchführung und Arbeitszeiterfassung (Pools: Werkstattbetrieb, Kunde)</w:t>
      </w:r>
    </w:p>
    <w:p>
      <w:r>
        <w:br w:type="page"/>
      </w:r>
    </w:p>
    <w:p>
      <w:pPr>
        <w:keepNext/>
        <w:spacing w:after="0" w:before="120"/>
        <w:jc w:val="center"/>
      </w:pPr>
      <w:r>
        <w:drawing>
          <wp:inline distT="0" distB="0" distL="0" distR="0">
            <wp:extent cx="9144000" cy="2505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050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08 Abholung, Rechnung und Zahlung (Pools: Werkstattbetrieb, Kunde)</w:t>
      </w:r>
    </w:p>
    <w:p>
      <w:r>
        <w:br w:type="page"/>
      </w:r>
    </w:p>
    <w:p>
      <w:pPr>
        <w:keepNext/>
        <w:spacing w:after="0" w:before="120"/>
        <w:jc w:val="center"/>
      </w:pPr>
      <w:r>
        <w:drawing>
          <wp:inline distT="0" distB="0" distL="0" distR="0">
            <wp:extent cx="9144000" cy="3124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31242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09 Reklamation und Gewährleistung (Pools: Werkstattbetrieb, Kunde)</w:t>
      </w:r>
    </w:p>
    <w:p>
      <w:r>
        <w:br w:type="page"/>
      </w:r>
    </w:p>
    <w:p>
      <w:pPr>
        <w:keepNext/>
        <w:spacing w:after="0" w:before="120"/>
        <w:jc w:val="center"/>
      </w:pPr>
      <w:r>
        <w:drawing>
          <wp:inline distT="0" distB="0" distL="0" distR="0">
            <wp:extent cx="9144000" cy="2555528"/>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55552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10 Ersatzteil-Retoure und Lieferanten-Reklamation (Pools: Werkstattbetrieb, Lieferant)</w:t>
      </w:r>
    </w:p>
    <w:p>
      <w:r>
        <w:br w:type="page"/>
      </w:r>
    </w:p>
    <w:p>
      <w:pPr>
        <w:pStyle w:val="Heading1"/>
        <w:keepNext/>
        <w:spacing w:after="120" w:before="360"/>
      </w:pPr>
      <w:r>
        <w:rPr>
          <w:rFonts w:ascii="Calibri" w:cs="Calibri" w:eastAsia="Calibri" w:hAnsi="Calibri"/>
        </w:rPr>
        <w:t xml:space="preserve">Anhang C: Das vollständige Klassendiagramm</w:t>
      </w:r>
    </w:p>
    <w:p>
      <w:pPr>
        <w:keepNext/>
        <w:spacing w:after="0" w:before="120"/>
        <w:jc w:val="center"/>
      </w:pPr>
      <w:r>
        <w:drawing>
          <wp:inline distT="0" distB="0" distL="0" distR="0">
            <wp:extent cx="5324475" cy="49530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2447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Klassendiagramm cd : RepairFlow mit allen 27 Klassen, 7 Aufzählungen und 36 Assoziationen</w:t>
      </w:r>
    </w:p>
    <w:sectPr>
      <w:headerReference w:type="default" r:id="rId8"/>
      <w:footerReference w:type="default" r:id="rId9"/>
      <w:pgSz w:w="16838" w:h="11906" w:orient="landscape"/>
      <w:pgMar w:top="10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02a9aeefee5e95870cc49e49b894080708c67.png"/><Relationship Id="rId12" Type="http://schemas.openxmlformats.org/officeDocument/2006/relationships/image" Target="media/80f9df417d37dec2d797149a62cc268a0a6db1b7.png"/><Relationship Id="rId13" Type="http://schemas.openxmlformats.org/officeDocument/2006/relationships/image" Target="media/d1d41a90e55f399d423313a2cc09f34deb8988a6.png"/><Relationship Id="rId14" Type="http://schemas.openxmlformats.org/officeDocument/2006/relationships/image" Target="media/37f36d51a93770381da15a87fa9bd48b596ba69b.png"/><Relationship Id="rId15" Type="http://schemas.openxmlformats.org/officeDocument/2006/relationships/image" Target="media/294f0f3fe469a4c0d7c833184582151ee1ab3e03.png"/><Relationship Id="rId16" Type="http://schemas.openxmlformats.org/officeDocument/2006/relationships/image" Target="media/11a0c2fe931b9fcc48ddb15e8cdfd1fea8fed605.png"/><Relationship Id="rId17" Type="http://schemas.openxmlformats.org/officeDocument/2006/relationships/image" Target="media/38e5de919292f39312c65f8d37a97eb17fd5f00c.png"/><Relationship Id="rId18" Type="http://schemas.openxmlformats.org/officeDocument/2006/relationships/image" Target="media/6e6d4ddb48b253b68e6b06c43c09c59f2d671e29.png"/><Relationship Id="rId19" Type="http://schemas.openxmlformats.org/officeDocument/2006/relationships/image" Target="media/a5eca7de5fa4434157315ad80ffffc3eb4abb380.png"/><Relationship Id="rId20" Type="http://schemas.openxmlformats.org/officeDocument/2006/relationships/image" Target="media/86b6c83b1409475cb8a663efe9e35a0713c341ad.png"/><Relationship Id="rId21" Type="http://schemas.openxmlformats.org/officeDocument/2006/relationships/image" Target="media/a138c8262cca5aec886abd06361d4692c7836926.png"/><Relationship Id="rId22" Type="http://schemas.openxmlformats.org/officeDocument/2006/relationships/image" Target="media/b3e54ce6bf2b9c53ada8e818dfdf00453a69268e.png"/><Relationship Id="rId23" Type="http://schemas.openxmlformats.org/officeDocument/2006/relationships/image" Target="media/cf431306389b14b92da8711c4c9082a824146b45.png"/><Relationship Id="rId24" Type="http://schemas.openxmlformats.org/officeDocument/2006/relationships/image" Target="media/d7065cdeb23af1b4d852920c7b500d7b7723143c.png"/><Relationship Id="rId25" Type="http://schemas.openxmlformats.org/officeDocument/2006/relationships/image" Target="media/f6c4644a37f704555594db8d98d05c3139cd7e28.png"/><Relationship Id="rId26" Type="http://schemas.openxmlformats.org/officeDocument/2006/relationships/image" Target="media/de39026c6bd813cee621afd7be1e52c850522e65.png"/><Relationship Id="rId27" Type="http://schemas.openxmlformats.org/officeDocument/2006/relationships/image" Target="media/2a08f7f2c3ca018b8be9a12c08468fd398680065.png"/><Relationship Id="rId28" Type="http://schemas.openxmlformats.org/officeDocument/2006/relationships/image" Target="media/322a52ec316878ad29d747f3f149c323965ed071.png"/><Relationship Id="rId29" Type="http://schemas.openxmlformats.org/officeDocument/2006/relationships/image" Target="media/3dfcf27ffbd1d012ab0a08b4561fe8488abd0f5d.png"/><Relationship Id="rId30" Type="http://schemas.openxmlformats.org/officeDocument/2006/relationships/image" Target="media/89ffadb71f52f746f5229a8a2c1cf472845e030f.png"/><Relationship Id="rId3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
  <cp:revision>1</cp:revision>
  <dcterms:created xsi:type="dcterms:W3CDTF">2026-10-05T09:30:36.646Z</dcterms:created>
  <dcterms:modified xsi:type="dcterms:W3CDTF">2026-10-05T10:03:10Z</dcterms:modified>
</cp:coreProperties>
</file>