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tab/>
        <w:t>2</w:t>
      </w:r>
    </w:p>
    <w:p w14:paraId="6AC55036" w14:textId="77777777" w:rsidR="00570CD3" w:rsidRDefault="004E0540">
      <w:pPr>
        <w:tabs>
          <w:tab w:val="right" w:leader="dot" w:pos="9026"/>
        </w:tabs>
        <w:spacing w:after="40"/>
      </w:pPr>
      <w:r>
        <w:rPr>
          <w:b/>
          <w:bCs/>
        </w:rPr>
        <w:t>2 Das Projekt RepairFlow</w:t>
        <w:tab/>
        <w:t>3</w:t>
      </w:r>
    </w:p>
    <w:p w14:paraId="2EA31D8E" w14:textId="77777777" w:rsidR="00570CD3" w:rsidRDefault="004E0540">
      <w:pPr>
        <w:tabs>
          <w:tab w:val="right" w:leader="dot" w:pos="9026"/>
        </w:tabs>
        <w:spacing w:after="40"/>
        <w:ind w:left="400"/>
      </w:pPr>
      <w:r>
        <w:rPr>
          <w:sz w:val="20"/>
          <w:szCs w:val="20"/>
        </w:rPr>
        <w:t>2.1 Ausgangslage und Problem</w:t>
        <w:tab/>
        <w:t>3</w:t>
      </w:r>
    </w:p>
    <w:p w14:paraId="42B1A6AE" w14:textId="77777777" w:rsidR="00570CD3" w:rsidRDefault="004E0540">
      <w:pPr>
        <w:tabs>
          <w:tab w:val="right" w:leader="dot" w:pos="9026"/>
        </w:tabs>
        <w:spacing w:after="40"/>
        <w:ind w:left="400"/>
      </w:pPr>
      <w:r>
        <w:rPr>
          <w:sz w:val="20"/>
          <w:szCs w:val="20"/>
        </w:rPr>
        <w:t>2.2 RepairFlow als Solution Provider</w:t>
        <w:tab/>
        <w:t>3</w:t>
      </w:r>
    </w:p>
    <w:p w14:paraId="34542FBD" w14:textId="77777777" w:rsidR="00570CD3" w:rsidRDefault="004E0540">
      <w:pPr>
        <w:tabs>
          <w:tab w:val="right" w:leader="dot" w:pos="9026"/>
        </w:tabs>
        <w:spacing w:after="40"/>
        <w:ind w:left="400"/>
      </w:pPr>
      <w:r>
        <w:rPr>
          <w:sz w:val="20"/>
          <w:szCs w:val="20"/>
        </w:rPr>
        <w:t>2.3 Systemkontext und Systemgrenze</w:t>
        <w:tab/>
        <w:t>3</w:t>
      </w:r>
    </w:p>
    <w:p w14:paraId="1CB826ED" w14:textId="77777777" w:rsidR="00570CD3" w:rsidRDefault="004E0540">
      <w:pPr>
        <w:tabs>
          <w:tab w:val="right" w:leader="dot" w:pos="9026"/>
        </w:tabs>
        <w:spacing w:after="40"/>
        <w:ind w:left="400"/>
      </w:pPr>
      <w:r>
        <w:rPr>
          <w:sz w:val="20"/>
          <w:szCs w:val="20"/>
        </w:rPr>
        <w:t>2.4 Der Reparaturauftrag als roter Faden</w:t>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tab/>
        <w:t>4</w:t>
      </w:r>
    </w:p>
    <w:p w14:paraId="067F41A1" w14:textId="388A246F" w:rsidR="005F444F" w:rsidRDefault="005F444F">
      <w:pPr>
        <w:tabs>
          <w:tab w:val="right" w:leader="dot" w:pos="9026"/>
        </w:tabs>
        <w:spacing w:after="40"/>
        <w:ind w:left="400"/>
      </w:pPr>
      <w:r>
        <w:rPr>
          <w:sz w:val="20"/>
          <w:szCs w:val="20"/>
        </w:rPr>
        <w:t>2.6 Ausblick</w:t>
        <w:tab/>
        <w:t>5</w:t>
      </w:r>
    </w:p>
    <w:p w14:paraId="7FA83C3C" w14:textId="77777777" w:rsidR="00570CD3" w:rsidRDefault="004E0540">
      <w:pPr>
        <w:tabs>
          <w:tab w:val="right" w:leader="dot" w:pos="9026"/>
        </w:tabs>
        <w:spacing w:after="40"/>
      </w:pPr>
      <w:r>
        <w:rPr>
          <w:b/>
          <w:bCs/>
        </w:rPr>
        <w:t>3 Vorgehen bei der Umsetzung</w:t>
        <w:tab/>
        <w:t>5</w:t>
      </w:r>
    </w:p>
    <w:p w14:paraId="741BB697" w14:textId="77777777" w:rsidR="00570CD3" w:rsidRDefault="004E0540">
      <w:pPr>
        <w:tabs>
          <w:tab w:val="right" w:leader="dot" w:pos="9026"/>
        </w:tabs>
        <w:spacing w:after="40"/>
        <w:ind w:left="400"/>
      </w:pPr>
      <w:r>
        <w:rPr>
          <w:sz w:val="20"/>
          <w:szCs w:val="20"/>
        </w:rPr>
        <w:t>3.1 Werkzeuge und Konventionen</w:t>
        <w:tab/>
        <w:t>5</w:t>
      </w:r>
    </w:p>
    <w:p w14:paraId="6638B52A" w14:textId="77777777" w:rsidR="00570CD3" w:rsidRDefault="004E0540">
      <w:pPr>
        <w:tabs>
          <w:tab w:val="right" w:leader="dot" w:pos="9026"/>
        </w:tabs>
        <w:spacing w:after="40"/>
        <w:ind w:left="400"/>
      </w:pPr>
      <w:r>
        <w:rPr>
          <w:sz w:val="20"/>
          <w:szCs w:val="20"/>
        </w:rPr>
        <w:t>3.2 Qualitätssicherung</w:t>
        <w:tab/>
        <w:t>6</w:t>
      </w:r>
    </w:p>
    <w:p w14:paraId="288B0545" w14:textId="77777777" w:rsidR="00570CD3" w:rsidRDefault="004E0540">
      <w:pPr>
        <w:tabs>
          <w:tab w:val="right" w:leader="dot" w:pos="9026"/>
        </w:tabs>
        <w:spacing w:after="40"/>
      </w:pPr>
      <w:r>
        <w:rPr>
          <w:b/>
          <w:bCs/>
        </w:rPr>
        <w:t>4 Projektmanagement</w:t>
        <w:tab/>
        <w:t>6</w:t>
      </w:r>
    </w:p>
    <w:p w14:paraId="7855E8F4" w14:textId="77777777" w:rsidR="00570CD3" w:rsidRDefault="004E0540">
      <w:pPr>
        <w:tabs>
          <w:tab w:val="right" w:leader="dot" w:pos="9026"/>
        </w:tabs>
        <w:spacing w:after="40"/>
        <w:ind w:left="400"/>
      </w:pPr>
      <w:r>
        <w:rPr>
          <w:sz w:val="20"/>
          <w:szCs w:val="20"/>
        </w:rPr>
        <w:t>4.1 Vorgehensmodell und Kommunikation</w:t>
        <w:tab/>
        <w:t>6</w:t>
      </w:r>
    </w:p>
    <w:p w14:paraId="12D6BE06" w14:textId="77777777" w:rsidR="00570CD3" w:rsidRDefault="004E0540">
      <w:pPr>
        <w:tabs>
          <w:tab w:val="right" w:leader="dot" w:pos="9026"/>
        </w:tabs>
        <w:spacing w:after="40"/>
        <w:ind w:left="400"/>
      </w:pPr>
      <w:r>
        <w:rPr>
          <w:sz w:val="20"/>
          <w:szCs w:val="20"/>
        </w:rPr>
        <w:t>4.2 Sprintplan und Verlauf</w:t>
        <w:tab/>
        <w:t>7</w:t>
      </w:r>
    </w:p>
    <w:p w14:paraId="53449683" w14:textId="77777777" w:rsidR="00570CD3" w:rsidRDefault="004E0540">
      <w:pPr>
        <w:tabs>
          <w:tab w:val="right" w:leader="dot" w:pos="9026"/>
        </w:tabs>
        <w:spacing w:after="40"/>
        <w:ind w:left="400"/>
      </w:pPr>
      <w:r>
        <w:rPr>
          <w:sz w:val="20"/>
          <w:szCs w:val="20"/>
        </w:rPr>
        <w:t>4.3 Aufgabensteuerung und Repository</w:t>
        <w:tab/>
        <w:t>7</w:t>
      </w:r>
    </w:p>
    <w:p w14:paraId="094F117C" w14:textId="77777777" w:rsidR="00570CD3" w:rsidRDefault="004E0540">
      <w:pPr>
        <w:tabs>
          <w:tab w:val="right" w:leader="dot" w:pos="9026"/>
        </w:tabs>
        <w:spacing w:after="40"/>
        <w:ind w:left="400"/>
      </w:pPr>
      <w:r>
        <w:rPr>
          <w:sz w:val="20"/>
          <w:szCs w:val="20"/>
        </w:rPr>
        <w:t>4.4 Risiken</w:t>
        <w:tab/>
        <w:t>7</w:t>
      </w:r>
    </w:p>
    <w:p w14:paraId="395E791F" w14:textId="77777777" w:rsidR="00570CD3" w:rsidRDefault="004E0540">
      <w:pPr>
        <w:tabs>
          <w:tab w:val="right" w:leader="dot" w:pos="9026"/>
        </w:tabs>
        <w:spacing w:after="40"/>
      </w:pPr>
      <w:r>
        <w:rPr>
          <w:b/>
          <w:bCs/>
        </w:rPr>
        <w:t>5 Überblick über die erstellten Artefakte</w:t>
        <w:tab/>
        <w:t>8</w:t>
      </w:r>
    </w:p>
    <w:p w14:paraId="78596124" w14:textId="77777777" w:rsidR="00570CD3" w:rsidRDefault="004E0540">
      <w:pPr>
        <w:tabs>
          <w:tab w:val="right" w:leader="dot" w:pos="9026"/>
        </w:tabs>
        <w:spacing w:after="40"/>
        <w:ind w:left="400"/>
      </w:pPr>
      <w:r>
        <w:rPr>
          <w:sz w:val="20"/>
          <w:szCs w:val="20"/>
        </w:rPr>
        <w:t>5.1 Geschäftsprozessmodell (BPMN)</w:t>
        <w:tab/>
        <w:t>8</w:t>
      </w:r>
    </w:p>
    <w:p w14:paraId="17F09BD7" w14:textId="77777777" w:rsidR="00570CD3" w:rsidRDefault="004E0540">
      <w:pPr>
        <w:tabs>
          <w:tab w:val="right" w:leader="dot" w:pos="9026"/>
        </w:tabs>
        <w:spacing w:after="40"/>
        <w:ind w:left="400"/>
      </w:pPr>
      <w:r>
        <w:rPr>
          <w:sz w:val="20"/>
          <w:szCs w:val="20"/>
        </w:rPr>
        <w:t>5.2 Automatisierungspotential</w:t>
        <w:tab/>
        <w:t>11</w:t>
      </w:r>
    </w:p>
    <w:p w14:paraId="04974107" w14:textId="77777777" w:rsidR="00570CD3" w:rsidRDefault="004E0540">
      <w:pPr>
        <w:tabs>
          <w:tab w:val="right" w:leader="dot" w:pos="9026"/>
        </w:tabs>
        <w:spacing w:after="40"/>
        <w:ind w:left="400"/>
      </w:pPr>
      <w:r>
        <w:rPr>
          <w:sz w:val="20"/>
          <w:szCs w:val="20"/>
        </w:rPr>
        <w:t>5.3 Use-Case-Diagramm</w:t>
        <w:tab/>
        <w:t>12</w:t>
      </w:r>
    </w:p>
    <w:p w14:paraId="39A66CAE" w14:textId="65F6688A" w:rsidR="00570CD3" w:rsidRDefault="004E0540">
      <w:pPr>
        <w:tabs>
          <w:tab w:val="right" w:leader="dot" w:pos="9026"/>
        </w:tabs>
        <w:spacing w:after="40"/>
        <w:ind w:left="400"/>
      </w:pPr>
      <w:r>
        <w:rPr>
          <w:sz w:val="20"/>
          <w:szCs w:val="20"/>
        </w:rPr>
        <w:t>5.4 Klassendiagramm</w:t>
        <w:tab/>
        <w:t>15</w:t>
      </w:r>
    </w:p>
    <w:p w14:paraId="40A41F76" w14:textId="77777777" w:rsidR="00570CD3" w:rsidRDefault="004E0540">
      <w:pPr>
        <w:tabs>
          <w:tab w:val="right" w:leader="dot" w:pos="9026"/>
        </w:tabs>
        <w:spacing w:after="40"/>
        <w:ind w:left="400"/>
      </w:pPr>
      <w:r>
        <w:rPr>
          <w:sz w:val="20"/>
          <w:szCs w:val="20"/>
        </w:rPr>
        <w:t>5.5 Sequenzdiagramme</w:t>
        <w:tab/>
        <w:t>17</w:t>
      </w:r>
    </w:p>
    <w:p w14:paraId="7357B9F2" w14:textId="77777777" w:rsidR="00570CD3" w:rsidRDefault="004E0540">
      <w:pPr>
        <w:tabs>
          <w:tab w:val="right" w:leader="dot" w:pos="9026"/>
        </w:tabs>
        <w:spacing w:after="40"/>
        <w:ind w:left="400"/>
      </w:pPr>
      <w:r>
        <w:rPr>
          <w:sz w:val="20"/>
          <w:szCs w:val="20"/>
        </w:rPr>
        <w:t>5.6 Konsistenz zwischen den Modellen</w:t>
        <w:tab/>
        <w:t>18</w:t>
      </w:r>
    </w:p>
    <w:p w14:paraId="07856F14" w14:textId="250E95E9" w:rsidR="00570CD3" w:rsidRDefault="004E0540">
      <w:pPr>
        <w:tabs>
          <w:tab w:val="right" w:leader="dot" w:pos="9026"/>
        </w:tabs>
        <w:spacing w:after="40"/>
      </w:pPr>
      <w:r>
        <w:rPr>
          <w:b/>
          <w:bCs/>
        </w:rPr>
        <w:t>6 Probleme und Herausforderungen</w:t>
        <w:tab/>
        <w:t>19</w:t>
      </w:r>
    </w:p>
    <w:p w14:paraId="250316FA" w14:textId="1902E35C" w:rsidR="00570CD3" w:rsidRDefault="004E0540">
      <w:pPr>
        <w:tabs>
          <w:tab w:val="right" w:leader="dot" w:pos="9026"/>
        </w:tabs>
        <w:spacing w:after="40"/>
      </w:pPr>
      <w:r>
        <w:rPr>
          <w:b/>
          <w:bCs/>
        </w:rPr>
        <w:t>7 Feedback</w:t>
        <w:tab/>
        <w:t>20</w:t>
      </w:r>
    </w:p>
    <w:p w14:paraId="02953DF4" w14:textId="11B0F33A" w:rsidR="00570CD3" w:rsidRDefault="004E0540">
      <w:pPr>
        <w:tabs>
          <w:tab w:val="right" w:leader="dot" w:pos="9026"/>
        </w:tabs>
        <w:spacing w:after="40"/>
        <w:ind w:left="400"/>
      </w:pPr>
      <w:r>
        <w:rPr>
          <w:sz w:val="20"/>
          <w:szCs w:val="20"/>
        </w:rPr>
        <w:t>7.1 Feedback des Dozenten und Umsetzung</w:t>
        <w:tab/>
        <w:t>20</w:t>
      </w:r>
    </w:p>
    <w:p w14:paraId="327677E8" w14:textId="77777777" w:rsidR="00570CD3" w:rsidRDefault="004E0540">
      <w:pPr>
        <w:tabs>
          <w:tab w:val="right" w:leader="dot" w:pos="9026"/>
        </w:tabs>
        <w:spacing w:after="40"/>
        <w:ind w:left="400"/>
      </w:pPr>
      <w:r>
        <w:rPr>
          <w:sz w:val="20"/>
          <w:szCs w:val="20"/>
        </w:rPr>
        <w:t>7.2 Unser Feedback zur Fallstudie</w:t>
        <w:tab/>
        <w:t>21</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Erstellung der BPMN-Diagramme 07 und 08, Redaktion der Projektdokumentation (Kapitel, Abbildungen, Inhaltsverzeichnis, PDF), Zusammenstellung des Abgabe-Archivs.</w:t>
      </w:r>
    </w:p>
    <w:p w14:paraId="3E63842F" w14:textId="219C1BFF" w:rsidR="00570CD3" w:rsidRDefault="004E0540">
      <w:pPr>
        <w:pStyle w:val="Listenabsatz"/>
        <w:numPr>
          <w:ilvl w:val="0"/>
          <w:numId w:val="2"/>
        </w:numPr>
        <w:spacing w:after="60" w:line="264" w:lineRule="auto"/>
      </w:pPr>
      <w:r>
        <w:rPr>
          <w:b/>
          <w:bCs/>
        </w:rPr>
        <w:t xml:space="preserve">David Leismann: </w:t>
      </w:r>
      <w:r>
        <w:t xml:space="preserve">Erstellung der BPMN-Diagramme 03 und 04, Abgleich der Use Cases und Sequenzdiagramme mit den Prozessen, Überarbeitung der Prozesse 05 und 06, Use-Case-Diagramm mit Rollenstruktur sowie SD5 und SD6 in Visual Paradigm,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t xml:space="preserve">Erstellung der BPMN-Diagramme 05 und 06, Fachkonzept (Ausgangslage, Solution Provider, Systemkontext, Zustandsautomat, KI-Sofortdiagnose), Pflege des Entscheidungslogs und Abstimmung der Prozessänderungen mit der Gruppe, Automatisierungspotential, Probleme und Herausforderungen.</w:t>
      </w:r>
    </w:p>
    <w:p w14:paraId="1D7E8EF6" w14:textId="6FC196CC" w:rsidR="00961AD4" w:rsidRDefault="004E0540" w:rsidP="00961AD4">
      <w:pPr>
        <w:pStyle w:val="Listenabsatz"/>
        <w:numPr>
          <w:ilvl w:val="0"/>
          <w:numId w:val="2"/>
        </w:numPr>
        <w:spacing w:after="60" w:line="264" w:lineRule="auto"/>
      </w:pPr>
      <w:r>
        <w:rPr>
          <w:b/>
          <w:bCs/>
        </w:rPr>
        <w:t xml:space="preserve">Kilian Platter: </w:t>
      </w:r>
      <w:r>
        <w:t xml:space="preserve">Erstellung des BPMN-Diagramms 10, von Klassendiagramm und Sequenzdiagrammen SD1 bis SD4 in Visual Paradigm, Visual-Paradigm-Projekt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Pr>
          <w:b/>
          <w:bCs/>
        </w:rPr>
        <w:t xml:space="preserve">Maximilian Ewald: </w:t>
      </w:r>
      <w:r>
        <w:t xml:space="preserve">Erstellung der BPMN-Diagramme 01, 02 und 09, alle zehn BPMN-Dateien im Camunda Modeler (Anreicherung für Camunda 8, Prüfung im Problems-Panel, PNG-Export), Prozesskennzahlen und Beschreibung der Prozesse, Erstellung der PowerPoint-Präsentation.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 xml:space="preserve">2.6 Ausblick</w:t>
      </w:r>
    </w:p>
    <w:p w14:paraId="440FBEB2" w14:textId="784CE858" w:rsidR="00763EAC" w:rsidRPr="00CA64B9" w:rsidRDefault="00CA64B9" w:rsidP="00D605B5">
      <w:pPr>
        <w:spacing w:line="276" w:lineRule="auto"/>
        <w:jc w:val="both"/>
        <w:rPr>
          <w:b/>
          <w:bCs/>
        </w:rPr>
      </w:pPr>
      <w:r>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Pr>
          <w:b/>
          <w:bCs/>
        </w:rPr>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eingeplant“).</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jeder direkt ausgelöste Use Case hat genau eine Rolle als Hauptakteur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 xml:space="preserve">Den Takt geben die vier Gruppentermine in Präsenz vor (jeweils 4:15 Stunden). Jeder Termin verbindet Review und Retrospektive des vergangenen Sprints mit dem Planning des nächsten, und Hinweise aus dem Coaching fließen direkt in die Planung ein. Tabelle 3 zeigt den Verlauf der vier Sprints.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QA-Befunde behoben, Zuständigkeiten für die Fertigstellung festgelegt, Use-Case-Diagramm nach dem Dozentenhinweis auf Rollen umgestellt.</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 xml:space="preserve">Präsentation am 27.10.2026, Abgabe bis 13.11.2026 über Moodle. Weitere Anpassungen in VP und Dokumentation.</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49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eingeplant</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 Dann erhält der Kunde eine Reparaturabsage, und der KVA verfällt auch in seinem Ablauf. Nach einer Freigabe wartet der Kunde auf den Reparaturbeginn; sind nicht alle Teile beschaffbar, erhält er stattdessen eine Reparaturabsage.</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 Ist ein Lieferantenteil defekt, wird es nach der Abholung über Prozess 10 retourniert, der Kunde wartet nicht darauf.</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Kommt das Teil aus dem Wareneingang (Prozess 06), prüft und bucht Prozess 06 die Ersatzlieferung; kommt es aus einer Reklamation (Prozess 09), war es bereits verbaut, und die Ersatzlieferung geht als normaler Wareneingang ins Lager.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3289"/>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289"/>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RepairFlow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direkt ausgelöste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Business Rule Task „KI-Diagnosevorschlag erstellen“ in Prozess 01 (Lane Service / Annahme)</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RepairFlow</w:t>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 xml:space="preserve">Das Klassendiagramm (Abbildung 5) umfasst 29 Klassen, darunter die abstrakten Klassen Person und Mitarbeiter, sowie sieben Aufzählungen und 40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Pr>
          <w:b/>
          <w:bCs/>
        </w:rPr>
        <w:t xml:space="preserve">Oberflächen als Klassen. </w:t>
      </w:r>
      <w:r>
        <w:t xml:space="preserve">Zwischen den Benutzern und den Fachobjekten stehen zwei Oberflächenklassen: Der Kunde arbeitet in der KundenApp, die Mitarbeiter in der Werkstattoberfläche. Ihre Methoden entsprechen den Aktionen der Benutzer, zum Beispiel gibKvaFrei() oder meldeFertig(). Ein Benutzer gibt dabei keine Objekte ein, sondern Merkmale wie die Auftragsnummer. Die Oberfläche sucht das Objekt über den Werkstattbetrieb, der als Mandant alle Aufträge und Reklamationen seiner Filialen kennt (sucheAuftrag()), und arbeitet mit dem zurückgegebenen Objekt weiter. Der Kunde findet über sucheAuftrag() nur seine eigenen Aufträge.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Pr>
          <w:b/>
        </w:rPr>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50609"/>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0609"/>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für dessen Freigaben es im Use-Case-Diagramm keine eigene Rolle gibt, erscheint als Objekt seiner Klasse (:Werkstattleiter) mit seinen Operationen. Die Rolle spricht nie direkt mit dem Fachobjekt, sondern immer mit der Oberfläche (:KundenApp oder :Werkstattoberflaeche). Die Oberfläche öffnet das benötigte Objekt über seine Nummer, ruft dessen Operationen auf und zeigt das Ergebnis an (anzeigenErgebnis()). Wo zwischen zwei Schritten Zeit vergeht, etwa nach einer Nacharbeit, wird das Objekt neu gesucht. Der Lieferant liegt außerhalb des Systems, Nachrichten an ihn sind in SD6 Lost bzw. Found Messages. Die übrigen Lebenslinien sind Objekte der Klassen, Botschaften an Objekte sind Operationen des Klassendiagramms. Kombinierte Fragmente bilden Verzweigungen (alt, opt), Schleifen (loop)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 xml:space="preserve">Medienprüfung mit Nachreichen; ohne neue Aufnahme nach sieben Tagen wird die Voranmeldung verworfen, sonst KI-Vorschlag, vorläufiger KVA, Vorreservierung erst nach Bestätigung. 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mit Reparaturabsage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nur bei zu wenig eigenem Bestand, sonst Fehlteil; Vorreservierung aus der Sofortdiagnose; Meldebestand; Reparaturbeginn nur bei der ersten Disposition;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und Gewährleistung; sonst Angebot an den Kunden mit Annahme, Ablehnung oder drei Tagen ohne Antwort. Vor der Nacharbeit Disposition (ref UC09), bei nicht beschaffbaren Teilen Absage über die Werkstattoberfläche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ohne Bestätigung innerhalb von drei Tagen, bei nicht lieferbaren Teilen oder nach zwei erfolglosen Mahnungen Storno, sonst Wareneingang; Nachrichten an den Lieferanten als Lost Messages, die Auftragsbestätigung als Found Message</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071513"/>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071513"/>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3682770"/>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682770"/>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Ausnahmen zeigt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t xml:space="preserve">Eine Kontrolle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wir konnten Visual Paradigm nicht nutzen. Die gesamte UML-Arbeit lag damit bei zwei Personen, die übrigen haben die Diagramme anhand der Exporte geprüft. Dazu kommt, dass der Teamwork-Server der DHBW nur über das Lehre-VPN erreichbar ist.</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w:t>
      </w:r>
    </w:p>
    <w:p w14:paraId="3A10FC39" w14:textId="77777777" w:rsidR="0051613C" w:rsidRDefault="00371E82">
      <w:pPr>
        <w:spacing w:after="120" w:line="276" w:lineRule="auto"/>
        <w:jc w:val="both"/>
      </w:pPr>
      <w:r>
        <w:rPr>
          <w:b/>
          <w:bCs/>
        </w:rPr>
        <w:t xml:space="preserve">Camunda Modeler. </w:t>
      </w:r>
      <w:r>
        <w:t>Der Modeler meldet für Camunda 8 fehlende technische Angaben wie Task-Definitionen oder Timer-Ausdrücke als Fehler. Wir haben die Diagramme entsprechend ergänzt, bis das Problems-Panel keine Einträge mehr zeigte.</w:t>
      </w:r>
    </w:p>
    <w:p w14:paraId="38A8EF59" w14:textId="27BF6DF5" w:rsidR="00570CD3" w:rsidRDefault="004E0540">
      <w:pPr>
        <w:spacing w:after="120" w:line="276" w:lineRule="auto"/>
        <w:jc w:val="both"/>
      </w:pPr>
      <w:r>
        <w:rPr>
          <w:b/>
          <w:bCs/>
        </w:rPr>
        <w:t xml:space="preserve">Zusammenarbeit. </w:t>
      </w:r>
      <w:r>
        <w:t xml:space="preserve">Am 05.10.2026 legten zwei Pull Requests in unserem privaten Repository 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 xml:space="preserve">Im Coaching am 15.10.2026 sah der Dozent das Use-Case-Diagramm als zu stark vernetzt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