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900"/>
      </w:pP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 xml:space="preserve">2.2 Das Startup RepairFlow	3</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 xml:space="preserve">2.6 Alleinstellungsmerkmal: die KI-Sofortdiagnose	5</w:t>
      </w:r>
    </w:p>
    <w:p>
      <w:pPr>
        <w:tabs>
          <w:tab w:val="right" w:pos="9026" w:leader="dot"/>
        </w:tabs>
        <w:spacing w:after="40"/>
        <w:ind w:left="0"/>
      </w:pPr>
      <w:r>
        <w:rPr>
          <w:rFonts w:ascii="Calibri" w:cs="Calibri" w:eastAsia="Calibri" w:hAnsi="Calibri"/>
          <w:b/>
          <w:bCs/>
          <w:sz w:val="22"/>
          <w:szCs w:val="22"/>
        </w:rPr>
        <w:t xml:space="preserve">3 Vorgehen bei der Umsetzung	6</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 xml:space="preserve">3.2 Konventionen	7</w:t>
      </w:r>
    </w:p>
    <w:p>
      <w:pPr>
        <w:tabs>
          <w:tab w:val="right" w:pos="9026" w:leader="dot"/>
        </w:tabs>
        <w:spacing w:after="40"/>
        <w:ind w:left="400"/>
      </w:pPr>
      <w:r>
        <w:rPr>
          <w:rFonts w:ascii="Calibri" w:cs="Calibri" w:eastAsia="Calibri" w:hAnsi="Calibri"/>
          <w:b w:val="false"/>
          <w:bCs w:val="false"/>
          <w:sz w:val="20"/>
          <w:szCs w:val="20"/>
        </w:rPr>
        <w:t xml:space="preserve">3.3 Qualitätssicherung	7</w:t>
      </w:r>
    </w:p>
    <w:p>
      <w:pPr>
        <w:tabs>
          <w:tab w:val="right" w:pos="9026" w:leader="dot"/>
        </w:tabs>
        <w:spacing w:after="40"/>
        <w:ind w:left="0"/>
      </w:pPr>
      <w:r>
        <w:rPr>
          <w:rFonts w:ascii="Calibri" w:cs="Calibri" w:eastAsia="Calibri" w:hAnsi="Calibri"/>
          <w:b/>
          <w:bCs/>
          <w:sz w:val="22"/>
          <w:szCs w:val="22"/>
        </w:rPr>
        <w:t xml:space="preserve">4 Projektmanagement	8</w:t>
      </w:r>
    </w:p>
    <w:p>
      <w:pPr>
        <w:tabs>
          <w:tab w:val="right" w:pos="9026" w:leader="dot"/>
        </w:tabs>
        <w:spacing w:after="40"/>
        <w:ind w:left="400"/>
      </w:pPr>
      <w:r>
        <w:rPr>
          <w:rFonts w:ascii="Calibri" w:cs="Calibri" w:eastAsia="Calibri" w:hAnsi="Calibri"/>
          <w:b w:val="false"/>
          <w:bCs w:val="false"/>
          <w:sz w:val="20"/>
          <w:szCs w:val="20"/>
        </w:rPr>
        <w:t xml:space="preserve">4.1 Vorgehensmodell und Arbeitsweise	8</w:t>
      </w:r>
    </w:p>
    <w:p>
      <w:pPr>
        <w:tabs>
          <w:tab w:val="right" w:pos="9026" w:leader="dot"/>
        </w:tabs>
        <w:spacing w:after="40"/>
        <w:ind w:left="400"/>
      </w:pPr>
      <w:r>
        <w:rPr>
          <w:rFonts w:ascii="Calibri" w:cs="Calibri" w:eastAsia="Calibri" w:hAnsi="Calibri"/>
          <w:b w:val="false"/>
          <w:bCs w:val="false"/>
          <w:sz w:val="20"/>
          <w:szCs w:val="20"/>
        </w:rPr>
        <w:t xml:space="preserve">4.2 Sprintplan und Meilensteine	8</w:t>
      </w:r>
    </w:p>
    <w:p>
      <w:pPr>
        <w:tabs>
          <w:tab w:val="right" w:pos="9026" w:leader="dot"/>
        </w:tabs>
        <w:spacing w:after="40"/>
        <w:ind w:left="400"/>
      </w:pPr>
      <w:r>
        <w:rPr>
          <w:rFonts w:ascii="Calibri" w:cs="Calibri" w:eastAsia="Calibri" w:hAnsi="Calibri"/>
          <w:b w:val="false"/>
          <w:bCs w:val="false"/>
          <w:sz w:val="20"/>
          <w:szCs w:val="20"/>
        </w:rPr>
        <w:t xml:space="preserve">4.3 Aufgabensteuerung mit Trello	9</w:t>
      </w:r>
    </w:p>
    <w:p>
      <w:pPr>
        <w:tabs>
          <w:tab w:val="right" w:pos="9026" w:leader="dot"/>
        </w:tabs>
        <w:spacing w:after="40"/>
        <w:ind w:left="400"/>
      </w:pPr>
      <w:r>
        <w:rPr>
          <w:rFonts w:ascii="Calibri" w:cs="Calibri" w:eastAsia="Calibri" w:hAnsi="Calibri"/>
          <w:b w:val="false"/>
          <w:bCs w:val="false"/>
          <w:sz w:val="20"/>
          <w:szCs w:val="20"/>
        </w:rPr>
        <w:t xml:space="preserve">4.4 Zusammenarbeit im Repository	9</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9</w:t>
      </w:r>
    </w:p>
    <w:p>
      <w:pPr>
        <w:tabs>
          <w:tab w:val="right" w:pos="9026" w:leader="dot"/>
        </w:tabs>
        <w:spacing w:after="40"/>
        <w:ind w:left="0"/>
      </w:pPr>
      <w:r>
        <w:rPr>
          <w:rFonts w:ascii="Calibri" w:cs="Calibri" w:eastAsia="Calibri" w:hAnsi="Calibri"/>
          <w:b/>
          <w:bCs/>
          <w:sz w:val="22"/>
          <w:szCs w:val="22"/>
        </w:rPr>
        <w:t xml:space="preserve">5 Überblick über die erstellten Artefakte	10</w:t>
      </w:r>
    </w:p>
    <w:p>
      <w:pPr>
        <w:tabs>
          <w:tab w:val="right" w:pos="9026" w:leader="dot"/>
        </w:tabs>
        <w:spacing w:after="40"/>
        <w:ind w:left="400"/>
      </w:pPr>
      <w:r>
        <w:rPr>
          <w:rFonts w:ascii="Calibri" w:cs="Calibri" w:eastAsia="Calibri" w:hAnsi="Calibri"/>
          <w:b w:val="false"/>
          <w:bCs w:val="false"/>
          <w:sz w:val="20"/>
          <w:szCs w:val="20"/>
        </w:rPr>
        <w:t xml:space="preserve">5.1 Geschäftsprozessmodell (BPMN)	10</w:t>
      </w:r>
    </w:p>
    <w:p>
      <w:pPr>
        <w:tabs>
          <w:tab w:val="right" w:pos="9026" w:leader="dot"/>
        </w:tabs>
        <w:spacing w:after="40"/>
        <w:ind w:left="800"/>
      </w:pPr>
      <w:r>
        <w:rPr>
          <w:rFonts w:ascii="Calibri" w:cs="Calibri" w:eastAsia="Calibri" w:hAnsi="Calibri"/>
          <w:b w:val="false"/>
          <w:bCs w:val="false"/>
          <w:sz w:val="20"/>
          <w:szCs w:val="20"/>
        </w:rPr>
        <w:t xml:space="preserve">5.1.1 Modellierungskonventionen	11</w:t>
      </w:r>
    </w:p>
    <w:p>
      <w:pPr>
        <w:tabs>
          <w:tab w:val="right" w:pos="9026" w:leader="dot"/>
        </w:tabs>
        <w:spacing w:after="40"/>
        <w:ind w:left="800"/>
      </w:pPr>
      <w:r>
        <w:rPr>
          <w:rFonts w:ascii="Calibri" w:cs="Calibri" w:eastAsia="Calibri" w:hAnsi="Calibri"/>
          <w:b w:val="false"/>
          <w:bCs w:val="false"/>
          <w:sz w:val="20"/>
          <w:szCs w:val="20"/>
        </w:rPr>
        <w:t xml:space="preserve">5.1.2 Die zehn Prozesse	12</w:t>
      </w:r>
    </w:p>
    <w:p>
      <w:pPr>
        <w:tabs>
          <w:tab w:val="right" w:pos="9026" w:leader="dot"/>
        </w:tabs>
        <w:spacing w:after="40"/>
        <w:ind w:left="400"/>
      </w:pPr>
      <w:r>
        <w:rPr>
          <w:rFonts w:ascii="Calibri" w:cs="Calibri" w:eastAsia="Calibri" w:hAnsi="Calibri"/>
          <w:b w:val="false"/>
          <w:bCs w:val="false"/>
          <w:sz w:val="20"/>
          <w:szCs w:val="20"/>
        </w:rPr>
        <w:t xml:space="preserve">5.2 Automatisierungspotential	13</w:t>
      </w:r>
    </w:p>
    <w:p>
      <w:pPr>
        <w:tabs>
          <w:tab w:val="right" w:pos="9026" w:leader="dot"/>
        </w:tabs>
        <w:spacing w:after="40"/>
        <w:ind w:left="400"/>
      </w:pPr>
      <w:r>
        <w:rPr>
          <w:rFonts w:ascii="Calibri" w:cs="Calibri" w:eastAsia="Calibri" w:hAnsi="Calibri"/>
          <w:b w:val="false"/>
          <w:bCs w:val="false"/>
          <w:sz w:val="20"/>
          <w:szCs w:val="20"/>
        </w:rPr>
        <w:t xml:space="preserve">5.3 Objektorientierte Analyse (UML)	13</w:t>
      </w:r>
    </w:p>
    <w:p>
      <w:pPr>
        <w:tabs>
          <w:tab w:val="right" w:pos="9026" w:leader="dot"/>
        </w:tabs>
        <w:spacing w:after="40"/>
        <w:ind w:left="800"/>
      </w:pPr>
      <w:r>
        <w:rPr>
          <w:rFonts w:ascii="Calibri" w:cs="Calibri" w:eastAsia="Calibri" w:hAnsi="Calibri"/>
          <w:b w:val="false"/>
          <w:bCs w:val="false"/>
          <w:sz w:val="20"/>
          <w:szCs w:val="20"/>
        </w:rPr>
        <w:t xml:space="preserve">5.3.1 Use-Case-Diagramm	14</w:t>
      </w:r>
    </w:p>
    <w:p>
      <w:pPr>
        <w:tabs>
          <w:tab w:val="right" w:pos="9026" w:leader="dot"/>
        </w:tabs>
        <w:spacing w:after="40"/>
        <w:ind w:left="800"/>
      </w:pPr>
      <w:r>
        <w:rPr>
          <w:rFonts w:ascii="Calibri" w:cs="Calibri" w:eastAsia="Calibri" w:hAnsi="Calibri"/>
          <w:b w:val="false"/>
          <w:bCs w:val="false"/>
          <w:sz w:val="20"/>
          <w:szCs w:val="20"/>
        </w:rPr>
        <w:t xml:space="preserve">5.3.2 Klassendiagramm	15</w:t>
      </w:r>
    </w:p>
    <w:p>
      <w:pPr>
        <w:tabs>
          <w:tab w:val="right" w:pos="9026" w:leader="dot"/>
        </w:tabs>
        <w:spacing w:after="40"/>
        <w:ind w:left="800"/>
      </w:pPr>
      <w:r>
        <w:rPr>
          <w:rFonts w:ascii="Calibri" w:cs="Calibri" w:eastAsia="Calibri" w:hAnsi="Calibri"/>
          <w:b w:val="false"/>
          <w:bCs w:val="false"/>
          <w:sz w:val="20"/>
          <w:szCs w:val="20"/>
        </w:rPr>
        <w:t xml:space="preserve">5.3.3 Sequenzdiagramme	16</w:t>
      </w:r>
    </w:p>
    <w:p>
      <w:pPr>
        <w:tabs>
          <w:tab w:val="right" w:pos="9026" w:leader="dot"/>
        </w:tabs>
        <w:spacing w:after="40"/>
        <w:ind w:left="400"/>
      </w:pPr>
      <w:r>
        <w:rPr>
          <w:rFonts w:ascii="Calibri" w:cs="Calibri" w:eastAsia="Calibri" w:hAnsi="Calibri"/>
          <w:b w:val="false"/>
          <w:bCs w:val="false"/>
          <w:sz w:val="20"/>
          <w:szCs w:val="20"/>
        </w:rPr>
        <w:t xml:space="preserve">5.4 Konsistenz zwischen den Modellen	21</w:t>
      </w:r>
    </w:p>
    <w:p>
      <w:pPr>
        <w:tabs>
          <w:tab w:val="right" w:pos="9026" w:leader="dot"/>
        </w:tabs>
        <w:spacing w:after="40"/>
        <w:ind w:left="0"/>
      </w:pPr>
      <w:r>
        <w:rPr>
          <w:rFonts w:ascii="Calibri" w:cs="Calibri" w:eastAsia="Calibri" w:hAnsi="Calibri"/>
          <w:b/>
          <w:bCs/>
          <w:sz w:val="22"/>
          <w:szCs w:val="22"/>
        </w:rPr>
        <w:t xml:space="preserve">6 Probleme und Herausforderungen	22</w:t>
      </w:r>
    </w:p>
    <w:p>
      <w:pPr>
        <w:tabs>
          <w:tab w:val="right" w:pos="9026" w:leader="dot"/>
        </w:tabs>
        <w:spacing w:after="40"/>
        <w:ind w:left="0"/>
      </w:pPr>
      <w:r>
        <w:rPr>
          <w:rFonts w:ascii="Calibri" w:cs="Calibri" w:eastAsia="Calibri" w:hAnsi="Calibri"/>
          <w:b/>
          <w:bCs/>
          <w:sz w:val="22"/>
          <w:szCs w:val="22"/>
        </w:rPr>
        <w:t xml:space="preserve">7 Feedback	23</w:t>
      </w:r>
    </w:p>
    <w:p>
      <w:pPr>
        <w:tabs>
          <w:tab w:val="right" w:pos="9026" w:leader="dot"/>
        </w:tabs>
        <w:spacing w:after="40"/>
        <w:ind w:left="400"/>
      </w:pPr>
      <w:r>
        <w:rPr>
          <w:rFonts w:ascii="Calibri" w:cs="Calibri" w:eastAsia="Calibri" w:hAnsi="Calibri"/>
          <w:b w:val="false"/>
          <w:bCs w:val="false"/>
          <w:sz w:val="20"/>
          <w:szCs w:val="20"/>
        </w:rPr>
        <w:t xml:space="preserve">7.1 Feedback des Dozenten und Umsetzung	23</w:t>
      </w:r>
    </w:p>
    <w:p>
      <w:pPr>
        <w:tabs>
          <w:tab w:val="right" w:pos="9026" w:leader="dot"/>
        </w:tabs>
        <w:spacing w:after="40"/>
        <w:ind w:left="400"/>
      </w:pPr>
      <w:r>
        <w:rPr>
          <w:rFonts w:ascii="Calibri" w:cs="Calibri" w:eastAsia="Calibri" w:hAnsi="Calibri"/>
          <w:b w:val="false"/>
          <w:bCs w:val="false"/>
          <w:sz w:val="20"/>
          <w:szCs w:val="20"/>
        </w:rPr>
        <w:t xml:space="preserve">7.2 Unser Feedback zur Fallstudie	24</w:t>
      </w:r>
    </w:p>
    <w:p>
      <w:pPr>
        <w:tabs>
          <w:tab w:val="right" w:pos="9026" w:leader="dot"/>
        </w:tabs>
        <w:spacing w:after="40"/>
        <w:ind w:left="0"/>
      </w:pPr>
      <w:r>
        <w:rPr>
          <w:rFonts w:ascii="Calibri" w:cs="Calibri" w:eastAsia="Calibri" w:hAnsi="Calibri"/>
          <w:b/>
          <w:bCs/>
          <w:sz w:val="22"/>
          <w:szCs w:val="22"/>
        </w:rPr>
        <w:t xml:space="preserve">Anhang A: Abgabestruktur	24</w:t>
      </w:r>
    </w:p>
    <w:p>
      <w:pPr>
        <w:tabs>
          <w:tab w:val="right" w:pos="9026" w:leader="dot"/>
        </w:tabs>
        <w:spacing w:after="40"/>
        <w:ind w:left="0"/>
      </w:pPr>
      <w:r>
        <w:rPr>
          <w:rFonts w:ascii="Calibri" w:cs="Calibri" w:eastAsia="Calibri" w:hAnsi="Calibri"/>
          <w:b/>
          <w:bCs/>
          <w:sz w:val="22"/>
          <w:szCs w:val="22"/>
        </w:rPr>
        <w:t xml:space="preserve">Anhang B: Die zehn BPMN-Kollaborationsdiagramme	25</w:t>
      </w:r>
    </w:p>
    <w:p>
      <w:pPr>
        <w:tabs>
          <w:tab w:val="right" w:pos="9026" w:leader="dot"/>
        </w:tabs>
        <w:spacing w:after="40"/>
        <w:ind w:left="0"/>
      </w:pPr>
      <w:r>
        <w:rPr>
          <w:rFonts w:ascii="Calibri" w:cs="Calibri" w:eastAsia="Calibri" w:hAnsi="Calibri"/>
          <w:b/>
          <w:bCs/>
          <w:sz w:val="22"/>
          <w:szCs w:val="22"/>
        </w:rPr>
        <w:t xml:space="preserve">Anhang C: Das vollständige Klassendiagramm	35</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 xml:space="preserve">Die Fallstudie wurde von sechs Studierenden des Kurses WWI25B4 bearbeitet. Das Team hat sich zu Beginn des Semesters konstituiert und die Zuständigkeiten nach dem Scrum-Vorgehensmodell verteilt (Kapitel 4): Jedes Artefakt hat eine verantwortliche Person, die Projektleitung ist Ansprechpartnerin für den Dozenten, und die Qualitätssicherung übernimmt eine Person, die nicht selbst modelliert.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Ansprechpartnerin für den Dozenten, 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Sicherung der Repositories (Git, Camunda, VP-Server), Termine, Abgabe-Check</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Klassen- und Sequenzdiagramme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Camunda-Repository,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20" w:line="276"/>
        <w:jc w:val="both"/>
      </w:pPr>
      <w:r>
        <w:rPr>
          <w:rFonts w:ascii="Calibri" w:cs="Calibri" w:eastAsia="Calibri" w:hAnsi="Calibri"/>
          <w:i/>
          <w:iCs/>
          <w:sz w:val="22"/>
          <w:szCs w:val="22"/>
          <w:shd w:fill="FFF2A8" w:color="auto" w:val="clear"/>
        </w:rPr>
        <w:t xml:space="preserve">[Gruppe: Vor der Abgabe ergänzen: tatsächliche Beiträge je Person (welche Diagramme, Kapitel und Folien wer erarbeitet hat), weil der Ablauf verlangt, dass erkennbar ist, was von wem erarbeitet wurde]</w:t>
      </w:r>
    </w:p>
    <w:p>
      <w:pPr>
        <w:spacing w:after="160"/>
      </w:pPr>
    </w:p>
    <w:p>
      <w:pPr>
        <w:spacing w:after="120" w:line="276"/>
        <w:jc w:val="both"/>
      </w:pPr>
      <w:r>
        <w:rPr>
          <w:rFonts w:ascii="Calibri" w:cs="Calibri" w:eastAsia="Calibri" w:hAnsi="Calibri"/>
          <w:sz w:val="22"/>
          <w:szCs w:val="22"/>
        </w:rPr>
        <w:t xml:space="preserve">Als „Dokumanager" haben wir zusätzlich das KI-Werkzeug Claude (Anthropic) eingesetzt: für Struktur und Formulierungsvorschläge dieser Dokumentation, für die Pflege des Entscheidungslogs im Git-Repository, für Konsistenzprüfungen zwischen den Modellen und für die Erzeugung der BPMN-Rohdiagramme aus unserer Prozessspezifikation. Claude hat außerdem am 26.09.2026 alle Artefakte gegen Aufgabenstellung und Vorlesung geprüft und Korrekturvorschläge gemacht (Entscheidungslog E-15) und am 28.09.2026 die Kundenabläufe in den BPMN-Diagrammen nach unserer Vorgabe erzeugt (E-16). Am 05.10.2026 hat Claude alle Modelle und Texte erneut geprüft und die Korrekturen aus E-17 (Abholung abgelehnter Aufträge, Schleifen-Ausstiege, Use-Case-Beziehungen, Akteur Servicemitarbeiter) vorbereitet; die Gruppe hat sie geprüft und übernommen. Die fachlichen Modellierungsentscheidungen, die Überarbeitung im Camunda Modeler, die Umsetzung in Visual Paradigm und die Präsentation verantwortet das Team. </w:t>
      </w:r>
      <w:r>
        <w:rPr>
          <w:rFonts w:ascii="Calibri" w:cs="Calibri" w:eastAsia="Calibri" w:hAnsi="Calibri"/>
          <w:i/>
          <w:iCs/>
          <w:sz w:val="22"/>
          <w:szCs w:val="22"/>
          <w:shd w:fill="FFF2A8" w:color="auto" w:val="clear"/>
        </w:rPr>
        <w:t xml:space="preserve">[Gruppe: Falls eine KI-Nutzungserklärung verlangt wird: geforderten Wortlaut einsetzen]</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Unabhängige Reparaturwerkstätten für Fahrräder, E-Bikes und Consumer-Elektronik arbeiten heute oft mit Papier-Auftragszetteln, Excel-Listen und Telefon. Das Reparaturgeschäft wächst, weil E-Bikes wartungsintensiv sind und das Recht auf Reparatur die Nachfrage nach Elektronikreparaturen stützt. Die Abläufe in den Werkstätten halten damit nicht Schritt.</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Aus Gesprächen mit dem Werkstattleiter und aus dem Ist-Ablauf ergeben sich vier wiederkehrende Probleme:</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Plattform entwickelt haben.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 xml:space="preserve">Werkstattsoftware gibt es bereits, meist entweder für Fahrradwerkstätten (fixdesk, RO App, Repero) oder für Elektronikreparaturen (RepairDesk, RepairShopr). Keine der verbreiteten Lösungen kombiniert beide Reparaturwelten oder deckt die Ersatzteilversorgung über mehrere Filialen ab. RepairFlow unterscheidet sich in drei Punkten: eine Plattform für Fahrrad, E-Bike und Elektronik mit gemeinsamem Ersatzteillager; eine filialübergreifende Ersatzteil-Disposition mit Beständen, Reservierungen und Umlagerungen über alle Standorte; und die KI-Sofortdiagnose, die dem Kunden einen Diagnosevorschlag mit vorläufigem Kostenvoranschlag liefert, bevor er die Werkstatt betritt (Abschnitt 2.6).</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715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86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 xml:space="preserve">Bewusst außerhalb der Systemgrenze liegen die physische Reparatur selbst, die Systeme der Lieferanten und die Buchhaltung.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 xml:space="preserve">Kern der Plattform ist der Reparaturauftrag. Er durchläuft einen festen Lebenszyklus, den alle Modelle gemeinsam verwenden: angenommen, in Diagnose, KVA offen, freigegeben oder abgelehnt, Teile bestellt, in Reparatur, fertig, abgeholt. Die zehn Geschäftsprozesse in Kapitel 5 sind die Übergänge dieses Automaten, das Klassendiagramm führt ihn als Attribut status mit der Aufzählung AuftragStatus, und die Sequenzdiagramme markieren die Statuswechsel, an denen sie beteiligt sind. Abbildung 2 zeigt den Zustandsautomaten als UML-Zustandsdiagramm.</w:t>
      </w:r>
    </w:p>
    <w:p>
      <w:pPr>
        <w:keepNext/>
        <w:spacing w:after="0" w:before="120"/>
        <w:jc w:val="center"/>
      </w:pPr>
      <w:r>
        <w:drawing>
          <wp:inline distT="0" distB="0" distL="0" distR="0">
            <wp:extent cx="4095750" cy="605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6057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r>
        <w:rPr>
          <w:rFonts w:ascii="Calibri" w:cs="Calibri" w:eastAsia="Calibri" w:hAnsi="Calibri"/>
          <w:sz w:val="22"/>
          <w:szCs w:val="22"/>
        </w:rPr>
        <w:t xml:space="preserve">So funktioniert sie: Der Kunde lädt in der RepairFlow-App ein Foto des Schadens, ein Video oder eine Tonaufnahme hoch, etwa das Klackern eines E-Bike-Motors, und beschreibt die Symptome.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entsteht eine Voranmeldung, und die benötigten Teile werden bereits vorreserviert. Bei der Fehlerdiagnose in der Werkstatt werden die Daten übernommen, der Techniker prüft den Vorschlag und bestätigt oder korrigiert ihn. Unser Slogan dafür: KVA in 60 Sekunden.</w:t>
      </w:r>
    </w:p>
    <w:p>
      <w:pPr>
        <w:spacing w:after="120" w:line="276"/>
        <w:jc w:val="both"/>
      </w:pPr>
      <w:r>
        <w:rPr>
          <w:rFonts w:ascii="Calibri" w:cs="Calibri" w:eastAsia="Calibri" w:hAnsi="Calibri"/>
          <w:sz w:val="22"/>
          <w:szCs w:val="22"/>
        </w:rPr>
        <w:t xml:space="preserve">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der Techniker muss ihn bestätigen, und bei nicht auswertbaren Medien fragt das System nach einer besseren Aufnahme. Medien werden nur mit Einwilligung des Kunden verarbeitet und nach Abschluss des Auftrags gelöscht.</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trPr>
        <w:tc>
          <w:tcPr>
            <w:tcW w:type="dxa" w:w="8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(fünf Minuten im Plenum). Rückmeldung: Perspektive klären (Betreiber oder Solution Provider) und ein Alleinstellungsmerkmal ergänzen. Entscheidung für Solution Provider und KI-Sofortdiagnose, dokumentiert im Entscheidungslog.</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Aufnahme der Ist-Abläufe beim Pilotkunden, Ableitung der Soll-Prozesse mit RepairFlow, Festlegung der Prozessliste mit zehn Kollaborationsdiagrammen und der Namenskonventionen als Single Source of Truth.</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Kunde als eigener Prozess, Lieferant als Empty Pool, Datenobjekte und Datenspeicher. Prüfung mit dem Linter des Camunda Modelers.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sechs Sequenzdiagramme (gefordert fünf) zu den interaktionsreichsten Use Cases, Zustandsdiagramm des Reparaturauftrags. Umsetzung in Visual Paradigm mit Teamwork-Server.</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Abschlusspräsentation mit Zuordnung der Vortragenden, Zusammenstellung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pPr>
      <w:r>
        <w:rPr>
          <w:rFonts w:ascii="Calibri" w:cs="Calibri" w:eastAsia="Calibri" w:hAnsi="Calibri"/>
          <w:b/>
          <w:bCs/>
          <w:sz w:val="22"/>
          <w:szCs w:val="22"/>
        </w:rPr>
        <w:t xml:space="preserve">Camunda Modeler (Camunda 8) </w:t>
      </w:r>
      <w:r>
        <w:rPr>
          <w:rFonts w:ascii="Calibri" w:cs="Calibri" w:eastAsia="Calibri" w:hAnsi="Calibri"/>
          <w:sz w:val="22"/>
          <w:szCs w:val="22"/>
        </w:rPr>
        <w:t xml:space="preserve">für die BPMN-Kollaborationsdiagramme. Die Diagramme sind so angereichert, dass der Camunda-Linter (dieselben Regeln wie das Problems-Panel des Modelers) keine Fehler meldet: Task-Definitionen für automatisierte Aktivitäten, Message-Subscriptions für empfangende Elemente, ISO-Dauern für Timer und FEEL-Bedingungen an allen Gateway-Ausgängen.</w:t>
      </w:r>
    </w:p>
    <w:p>
      <w:pPr>
        <w:pStyle w:val="ListParagraph"/>
        <w:numPr>
          <w:ilvl w:val="0"/>
          <w:numId w:val="2"/>
        </w:numPr>
        <w:spacing w:after="60" w:line="264"/>
      </w:pPr>
      <w:r>
        <w:rPr>
          <w:rFonts w:ascii="Calibri" w:cs="Calibri" w:eastAsia="Calibri" w:hAnsi="Calibri"/>
          <w:b/>
          <w:bCs/>
          <w:sz w:val="22"/>
          <w:szCs w:val="22"/>
        </w:rPr>
        <w:t xml:space="preserve">Visual Paradigm 18 </w:t>
      </w:r>
      <w:r>
        <w:rPr>
          <w:rFonts w:ascii="Calibri" w:cs="Calibri" w:eastAsia="Calibri" w:hAnsi="Calibri"/>
          <w:sz w:val="22"/>
          <w:szCs w:val="22"/>
        </w:rPr>
        <w:t xml:space="preserve">für Use-Case-, Klassen- und Sequenzdiagramme, mit dem Teamwork-Server der DHBW als gemeinsamem Repository (WWI25B4G1). Das Klassen- und Use-Case-Modell haben wir zusätzlich als XMI vorgehalten, damit es tool-unabhängig importierbar bleibt.</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pPr>
      <w:r>
        <w:rPr>
          <w:rFonts w:ascii="Calibri" w:cs="Calibri" w:eastAsia="Calibri" w:hAnsi="Calibri"/>
          <w:b/>
          <w:bCs/>
          <w:sz w:val="22"/>
          <w:szCs w:val="22"/>
        </w:rPr>
        <w:t xml:space="preserve">PlantUML </w:t>
      </w:r>
      <w:r>
        <w:rPr>
          <w:rFonts w:ascii="Calibri" w:cs="Calibri" w:eastAsia="Calibri" w:hAnsi="Calibri"/>
          <w:sz w:val="22"/>
          <w:szCs w:val="22"/>
        </w:rPr>
        <w:t xml:space="preserve">als textuelle Zwischenform der UML-Modelle. Aus einer gemeinsamen Modellbeschreibung entstehen Diagrammbilder für Dokumentation und Präsentation sowie die XMI-Datei für Visual Paradigm; so bleiben Klassennamen, Attribute und Operationen an allen Stellen identisch.</w:t>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 xml:space="preserve">Je Diagramm gibt es auf Prozessebene ein Start- und ein Endereignis (eingebettete Teilprozesse haben ihr eigenes); alternative Ausgänge werden vor dem Ende zusammengeführt.</w:t>
      </w:r>
    </w:p>
    <w:p>
      <w:pPr>
        <w:pStyle w:val="ListParagraph"/>
        <w:numPr>
          <w:ilvl w:val="0"/>
          <w:numId w:val="2"/>
        </w:numPr>
        <w:spacing w:after="60" w:line="264"/>
      </w:pPr>
      <w:r>
        <w:rPr>
          <w:rFonts w:ascii="Calibri" w:cs="Calibri" w:eastAsia="Calibri" w:hAnsi="Calibri"/>
          <w:sz w:val="22"/>
          <w:szCs w:val="22"/>
        </w:rPr>
        <w:t xml:space="preserve">Die Rollen Kunde, Servicemitarbeiter, Techniker, Disponent und Werkstattleiter sind in BPMN Pool beziehungsweise Lanes (Kunde, Service / Annahme, Techniker, Ersatzteil-Disposition, Werkstattleitung), im Use-Case-Diagramm und in den Sequenzdiagrammen Akteure und im Klassendiagramm Unterklassen von Person beziehungsweise Mitarbeiter.</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 xml:space="preserve">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r>
        <w:rPr>
          <w:rFonts w:ascii="Calibri" w:cs="Calibri" w:eastAsia="Calibri" w:hAnsi="Calibri"/>
          <w:sz w:val="22"/>
          <w:szCs w:val="22"/>
        </w:rPr>
        <w:t xml:space="preserve">Jedes Artefakt durchläuft eine Definition of Done: Ablage im Git-Repository über einen Pull Request mit Review durch eine zweite Person, Ablage im jeweiligen Fach-Repository (Camunda beziehungsweise VP-Teamwork-Server), Einhaltung der Namens- und Modellierungskonventionen und Abnahme über die QA-Checkliste des Qualitätsmanagers. Die BPMN-Dateien prüfen wir zusätzlich automatisiert mit zwei Werkzeugen: dem Regelsatz des Camunda Modelers (@camunda/linting, Camunda 8.7, dieselben Regeln wie das Problems-Panel) und dem allgemeinen bpmnlint-Regelsatz „recommended". Geprüft werden unter anderem: genau ein Startereignis, kein Flussobjekt ohne Ein- und Ausgang, Bedingungen an allen Ausgängen exklusiver Gateways, keine Zusammenführung mit einem Verzweigungs-Gateway, Beschriftung aller Aktivitäten und Ereignisse, gültige Endpunkte aller Nachrichtenflüsse. Beide Prüfungen laufen für alle zehn Diagramme ohne Befund; ein eigenes Skript prüft zusätzlich, dass kein Fluss durch ein fremdes Element läuft. Die Diagramme wurden mit einem Generator erzeugt und werden vor der Abgabe im Camunda Modeler geöffnet, geprüft und gespeichert.</w:t>
      </w:r>
    </w:p>
    <w:p>
      <w:pPr>
        <w:spacing w:after="120" w:line="276"/>
        <w:jc w:val="both"/>
      </w:pPr>
      <w:r>
        <w:rPr>
          <w:rFonts w:ascii="Calibri" w:cs="Calibri" w:eastAsia="Calibri" w:hAnsi="Calibri"/>
          <w:sz w:val="22"/>
          <w:szCs w:val="22"/>
        </w:rPr>
        <w:t xml:space="preserve">Für die UML-Modelle gilt die Konsistenzregel „Botschaft = Operation der Klasse": Jede Lebenslinie eines Sequenzdiagramms ist eine Klasse oder ein Akteur des Klassen- beziehungsweise Use-Case-Diagramms, jede Botschaft eine dort definierte Operation. Die Prüfung erfolgt beim Review, die Abweichungen und ihre Korrekturen stehen in Kapitel 6.</w:t>
      </w:r>
    </w:p>
    <w:p>
      <w:pPr>
        <w:spacing w:after="120" w:line="276"/>
        <w:jc w:val="both"/>
      </w:pPr>
      <w:r>
        <w:rPr>
          <w:rFonts w:ascii="Calibri" w:cs="Calibri" w:eastAsia="Calibri" w:hAnsi="Calibri"/>
          <w:i/>
          <w:iCs/>
          <w:sz w:val="22"/>
          <w:szCs w:val="22"/>
          <w:shd w:fill="FFF2A8" w:color="auto" w:val="clear"/>
        </w:rPr>
        <w:t xml:space="preserve">[Gruppe: Nach Sprint 2 ergänzen, wie die Reviews tatsächlich abgelaufen sind: Anzahl der Befunde, typische Fehler]</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 xml:space="preserve">Das Projekt ist nach Scrum organisiert (Vorlesung Kapitel 2): Der Product Owner priorisiert den Product Backlog und nimmt Ergebnisse im Sprint Review ab, der Scrum Master moderiert die Rituale und pflegt das Board, das Projektteam bearbeitet den Sprint Backlog, wobei jede Aufgabe genau einer Person zugeordnet ist. Abweichend vom reinen Scrum gibt es eine Projektleitung als Ansprechpartnerin für den Dozenten, wie es die Aufgabenstellung verlangt.</w:t>
      </w:r>
    </w:p>
    <w:p>
      <w:pPr>
        <w:spacing w:after="120" w:line="276"/>
        <w:jc w:val="both"/>
      </w:pPr>
      <w:r>
        <w:rPr>
          <w:rFonts w:ascii="Calibri" w:cs="Calibri" w:eastAsia="Calibri" w:hAnsi="Calibri"/>
          <w:sz w:val="22"/>
          <w:szCs w:val="22"/>
        </w:rPr>
        <w:t xml:space="preserve">Als Sprint-Takt dienen die Gruppentermine in Präsenz (jeweils 4:15 Stunden): Jeder Termin beginnt mit Sprint Review und Retrospektive des vorangegangenen Sprints und dem Sprint Planning des nächsten; das Feedback des Dozenten aus dem Coaching wird direkt im Planning eingeplant. Zwischen den Terminen arbeiten wir asynchron über das Repository und stimmen uns in einem wöchentlichen Kurz-Meeting online ab. </w:t>
      </w:r>
      <w:r>
        <w:rPr>
          <w:rFonts w:ascii="Calibri" w:cs="Calibri" w:eastAsia="Calibri" w:hAnsi="Calibri"/>
          <w:i/>
          <w:iCs/>
          <w:sz w:val="22"/>
          <w:szCs w:val="22"/>
          <w:shd w:fill="FFF2A8" w:color="auto" w:val="clear"/>
        </w:rPr>
        <w:t xml:space="preserve">[Gruppe: Kommunikationskanal und Wochentag des Online-Meetings eintragen]</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je zwei BPMN-Diagramme pro Person zur Prüfung im Camunda Modeler verteilt (Prüfer: Teampartner); Use-Case- und Klassendiagramm für Visual Paradigm vorbereitet (XMI);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Review-Befunde in den BPMN-Dateien einarbeiten, Modelle im Camunda Modeler nachziehen, Sequenzdiagramme als Unterdiagramme der Use Cases in Visual Paradigm, Dokumentationskapitel 1 bis 4</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BPMN-Freeze mit BPMN-Archiv, UML-Freeze mit VPP-Datei, Dokumentation fertig, Folien mit finalen Diagrammen, Sprechtexte</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 bis 20 Minuten im Plenum, alle Gruppenmitglieder tragen vor; Kapitel 6 und 7 abschließen; Abgabe-Archiv Fallstudie-WWI25B4-Gruppe1.zip über Moodle, jede Person lädt es selbst hoch</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 xml:space="preserve">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Für den ersten Gruppentermin sind das zehn Karten für die BPMN-Diagramme (je zwei pro Person, Kilian übernimmt stattdessen das UML-Modell),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i/>
          <w:iCs/>
          <w:sz w:val="22"/>
          <w:szCs w:val="22"/>
          <w:shd w:fill="FFF2A8" w:color="auto" w:val="clear"/>
        </w:rPr>
        <w:t xml:space="preserve">[Gruppe: Screenshot des Trello-Boards (Stand 05.10.) einfügen; tatsächliche Sprint-Ergebnisse und Abweichungen vom Plan beschreiben]</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 xml:space="preserve">Änderungen am gemeinsamen Stand laufen über einen Git-Workflow, den wir in der README des Repositories festgehalten haben: keine direkten Commits auf main, ein Branch je Aufgabe, Pull Request mit Beschreibung, Review durch ein anderes Teammitglied, Definition of Done.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mit Datum, Begründung und Auswirkung im Entscheidungslog, Rückmeldungen des Dozenten in einer eigenen Datei.</w:t>
      </w:r>
    </w:p>
    <w:p>
      <w:pPr>
        <w:spacing w:after="120" w:line="276"/>
        <w:jc w:val="both"/>
      </w:pPr>
      <w:r>
        <w:rPr>
          <w:rFonts w:ascii="Calibri" w:cs="Calibri" w:eastAsia="Calibri" w:hAnsi="Calibri"/>
          <w:sz w:val="22"/>
          <w:szCs w:val="22"/>
        </w:rPr>
        <w:t xml:space="preserve">Die Modellierungswerkzeuge haben jeweils ein eigenes Repository (Camunda beziehungsweise VP-Teamwork-Server); zusätzlich liegen Exporte und lokale Sicherungen (BPMN-XML, PlantUML, XMI, nach Fertigstellung auch die VPP-Datei) im Git, damit jederzeit ein vollständiger Stand wiederhergestellt werden kann. Office-Dateien lassen sich nicht mergen; wer Dokumentation oder Folien bearbeitet, stimmt das vorher im Team ab.</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Lehre-VPN eingerichtet, regelmäßige lokale Sicherung der VPP-Datei über „Save Project As", XMI-Export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1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Jeder Teil der Präsentation hat eine Vertretung, Folien liegen im Repository</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Folgeprozesse für Reklamation und Retoure. Tabelle 1 fasst die Prozesse zusammen, Anhang B zeigt alle Diagramme in voller Größe. Die Diagramme liegen im Repository unter bpmn/p01-sofortdiagnose.bpmn bis bpmn/p10-retoure.bpmn und als XML-Export in BPMN-WWI25B4-Gruppe1.zip, dort nach den Vorgaben des Ablaufs benannt (01-Sofortdiagnose.bpmn bis 10-Retoure.bpmn).</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(42 %)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angestoßen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7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(77 %)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Bestellbedarf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Bestellung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9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 (30 %)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Gerät abholbereit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(73 %)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(53 %)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(73 %)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r>
        <w:rPr>
          <w:rFonts w:ascii="Calibri" w:cs="Calibri" w:eastAsia="Calibri" w:hAnsi="Calibri"/>
          <w:sz w:val="22"/>
          <w:szCs w:val="22"/>
        </w:rPr>
        <w:t xml:space="preserve">Insgesamt enthalten die zehn Werkstatt-Prozesse 125 Aktivitäten, im Durchschnitt also 12,5 je Diagramm; die Abläufe im Pool Kunde kommen mit weiteren 26 Aktivitäten hinzu und sind in Tabelle 1 nicht mitgezählt. Dazu kommen 39 Nachrichtenflüsse zwischen den Pools und 57 Datenobjekte und Datenspeicher. Jeder Prozess hat auf Prozessebene genau ein Start- und ein Endereignis; alternative Ausgänge werden mit exklusiven Gateways zusammengeführt.</w:t>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 xml:space="preserve">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Beteiligte und deshalb eigene Pools, mit denen ausschließlich über Nachrichtenflüsse kommuniziert wird. Der Kunde hat in den Prozessen 01 bis 09 einen eigenen Ablauf mit Start- und Endereignis, zum Beispiel Foto aufnehmen, Anfrage senden, auf Rückfrage oder Diagnose warten, Kostenvoranschlag freigeben oder ablehnen; dieser Ablauf ist nicht ausführbar, weil RepairFlow ihn nicht steuert, zeigt aber, wann der Kunde reagiert und wie der Vorgang für ihn endet. Die Nachrichtenflüsse verbinden deshalb konkrete Aktivitäten und Ereignisse beider Pools. Der Lieferant bleibt ein Empty Pool (Black Box), weil wir seine internen Abläufe weder kennen noch beeinflussen. Der KI-Diagnosedienst ist kein eigener Pool, obwohl er im Systemkontext ein externer Dienst ist: RepairFlow ruft ihn synchron innerhalb der Geschäftsregel-Aktivität „KI-Diagnosevorschlag erstellen" auf, er hat keinen eigenen Geschäftsprozess, mit dem Nachrichten ausgetauscht würden.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Auftragsbestätigung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 oder „08 Abholung abwickeln" aus Diagnose, KVA und Reklamation.</w:t>
            </w:r>
          </w:p>
        </w:tc>
      </w:tr>
    </w:tbl>
    <w:p>
      <w:pPr>
        <w:spacing w:after="160"/>
      </w:pPr>
    </w:p>
    <w:p>
      <w:pPr>
        <w:spacing w:after="120" w:line="276"/>
        <w:jc w:val="both"/>
      </w:pPr>
      <w:r>
        <w:rPr>
          <w:rFonts w:ascii="Calibri" w:cs="Calibri" w:eastAsia="Calibri" w:hAnsi="Calibri"/>
          <w:sz w:val="22"/>
          <w:szCs w:val="22"/>
        </w:rPr>
        <w:t xml:space="preserve">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 xml:space="preserve">Der Kunde lädt in der App Foto, Video oder eine Tonaufnahme hoch; daraus legt RepairFlow sofort eine Voranmeldung an. Die Medien werden geprüft und vom KI-Dienst ausgewertet (bei nicht auswertbaren Medien fragt das System nach einer besseren Aufnahme, nach sieben Tagen ohne Antwort wird die Voranmeldung verworfen). RepairFlow berechnet einen vorläufigen Kostenvoranschlag, prüft die Teileverfügbarkeit in allen Filialen und schlägt Filiale und Termin vor. Bestätigt der Kunde, werden die Voranmeldung als bestätigt markiert und die Teile vorreserviert; lehnt er den Termin ab oder reagiert er sieben Tage nicht, wird die Voranmeldung verworfen.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leitet den Auftrag bei fehlender Kapazität an eine andere Filiale um,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 xml:space="preserve">Der Techniker sichtet den KI-Diagnosevorschlag, führt Funktionstest und Messung durch, bei nicht reproduzierbarem Fehler zusätzlich eine erweiterte Prüfung, und dokumentiert den Fehlerbefund samt Ersatzteilbedarf. RepairFlow bewertet die Wirtschaftlichkeit der Reparatur; bei einem Totalschaden oder ohne Befund wird der Kunde informiert, der Auftrag auf „abgelehnt" gesetzt und über Prozess 08 mit der Diagnosepauschale zur Abholung gebracht.</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Nach der Prüfung durch den Service setzt RepairFlow den Auftrag auf „KVA offen", sendet den KVA und wartet auf Freigabe, Ablehnung oder eine dreitägige Frist. Bei jedem Fristablauf wird der Erinnerungszähler erhöht: Unter drei wird erneut gesendet, beim dritten Fristablauf wird der Auftrag abgelehnt. Nach Freigabe startet die Disposition (Prozess 05), nach Ablehnung folgt die Abholung mit Diagnosepauschale über Prozess 08.</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 xml:space="preserve">Je Ersatzteil prüft RepairFlow in einem parallelen Mehrfach-Teilprozess zuerst den Bestand der eigenen Filiale, dann den der anderen Filialen. Teile werden reserviert oder per Umlagerung angefordert, Fehlteile für die Bestellung markiert. Danach werden die Reservierungen bestätigt; ein unterschrittener Meldebestand erzeugt einen Nachbestellvorschlag. Der Kunde erhält den voraussichtlichen Reparaturbeginn; Fehlteile und Nachbestellvorschläge werden über Prozess 06 bestellt.</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 xml:space="preserve">Fehlteile und Nachbestellvorschläge werden gebündelt und beim Lieferanten bestellt, bei Überschreitung der Freigabegrenze nach Freigabe durch die Werkstattleitung. Kann der Lieferant nicht liefern, wird die Bestellung storniert und ein alternativer Lieferant gesucht. Nach Auftragsbestätigung wird der Liefertermin am Auftrag hinterlegt (Status „Teile bestellt") und der Kunde bei Verzögerung informiert. Der Wareneingang wird geprüft und gebucht, mangelhafte Lieferungen gehen in die Retoure (Prozess 10). Kommt Ersatz, werden die Teile dem Auftrag zugeordnet; bei Gutschrift wird neu bestellt, solange das Teil noch benötigt wird.</w:t>
      </w:r>
    </w:p>
    <w:p>
      <w:pPr>
        <w:spacing w:after="120" w:line="276"/>
        <w:jc w:val="both"/>
      </w:pPr>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 xml:space="preserve">Der Techniker entnimmt die reservierten Teile und arbeitet die Reparaturschritte in einer Schleife mit Zeiterfassung ab. Ein Zusatzbefund führt zu einem Nachtrags-KVA, den der Kunde freigeben muss; ohne Antwort innerhalb von drei Tagen gilt er als abgelehnt. Nach Endkontrolle und Prüfprotokoll wird der Auftrag auf „fertig" gesetzt, bei Mängeln folgt Nacharbeit. Auch die Nacharbeit aus einer Reklamation (Prozess 09) läuft über diesen Prozess.</w:t>
      </w:r>
    </w:p>
    <w:p>
      <w:pPr>
        <w:spacing w:after="120" w:line="276"/>
        <w:jc w:val="both"/>
      </w:pPr>
      <w:r>
        <w:rPr>
          <w:rFonts w:ascii="Calibri" w:cs="Calibri" w:eastAsia="Calibri" w:hAnsi="Calibri"/>
          <w:b/>
          <w:bCs/>
          <w:sz w:val="22"/>
          <w:szCs w:val="22"/>
        </w:rPr>
        <w:t xml:space="preserve">08 Abholung, Rechnung und Zahlung. </w:t>
      </w:r>
      <w:r>
        <w:rPr>
          <w:rFonts w:ascii="Calibri" w:cs="Calibri" w:eastAsia="Calibri" w:hAnsi="Calibri"/>
          <w:sz w:val="22"/>
          <w:szCs w:val="22"/>
        </w:rPr>
        <w:t xml:space="preserve">Sobald ein Gerät abholbereit ist, erstellt RepairFlow die Rechnung aus KVA und Arbeitszeiten, bei abgelehnten Aufträgen über die Diagnosepauschale (kostenfreie Nacharbeit ohne Rechnung) und benachrichtigt den Kunden. Wird das Gerät nicht abgeholt, erinnert das System alle 14 Tage, nach der dritten Erinnerung mit Lagergebühr. Bei der Abholung teilt der Kunde die Zahlungsart mit, zahlt bar oder per Karte oder erhält die Rechnung mit Zahlungsziel; danach wird das Gerät übergeben und der Auftrag auf „abgeholt" gesetzt. Offene Rechnungen werden nach 14 Tagen gemahnt, eingegangene Zahlungen verbucht und an die Buchhaltung übergeben. Zum Schluss bittet RepairFlow um eine Bewertung.</w:t>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 xml:space="preserve">Meldet der Kunde nach der Abholung einen Mangel, wird die Reklamation erfasst, dem Ursprungsauftrag zugeordnet und das Gerät angenommen. Der Techniker prüft den Mangel, RepairFlow bewertet den Gewährleistungsfall. Die Werkstattleitung entscheidet über die kostenfreie Nacharbeit; andernfalls erhält der Kunde ein kostenpflichtiges Angebot. Nur nach Freigabe oder Angebotsannahme legt der Techniker einen Nacharbeitsauftrag an, der über Prozess 07 durchgeführt wird; defekte Lieferantenteile gehen in die Retoure (Prozess 10). Die Rückgabe des Geräts läuft in allen Zweigen über Prozess 08, danach wird die Reklamation geschlossen.</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 xml:space="preserve">Defekte oder falsche Lieferantenteile werden beim Lieferanten angemeldet. Bleibt die RMA-Freigabe fünf Tage aus, eskaliert die Werkstattleitung. Nach weiteren fünf Tagen ohne Freigabe wird das Teil abgeschrieben. Nach der Freigabe wird das Teil versendet, der Bestand korrigiert und je nach Rückmeldung eine Ersatzlieferung gebucht oder eine Gutschrift verbucht; ob danach neu bestellt wird, entscheidet der aufrufende Prozess 06.</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 xml:space="preserve">Von den 125 Aktivitäten sind 77 automatisierte, regelbasierte, sendende oder empfangende Aktivitäten, also 62 Prozent, die RepairFlow ohne manuelle Arbeit ausführt. Weitere 30 Benutzer-Aktivitäten laufen in der Oberfläche der Plattform. Nur 9 Aktivitäten sind manuell und liegen außerhalb der Systemgrenze; die übrigen 9 sind Aufruf-Aktivitäten und ein Mehrfach-Teilprozess. Die Software, die wir in der objektorientierten Analyse entwerfen, automatisiert damit den Reparaturauftrags-Lebenszyklus als zentrales Werkstatt-Management-System:</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Erinnerungen, Mahnungen und Lagergebühr.</w:t>
      </w:r>
    </w:p>
    <w:p>
      <w:pPr>
        <w:pStyle w:val="ListParagraph"/>
        <w:numPr>
          <w:ilvl w:val="0"/>
          <w:numId w:val="2"/>
        </w:numPr>
        <w:spacing w:after="60" w:line="264"/>
      </w:pPr>
      <w:r>
        <w:rPr>
          <w:rFonts w:ascii="Calibri" w:cs="Calibri" w:eastAsia="Calibri" w:hAnsi="Calibri"/>
          <w:sz w:val="22"/>
          <w:szCs w:val="22"/>
        </w:rPr>
        <w:t xml:space="preserve">Kundenkommunikation an jedem Statusübergang: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r>
        <w:rPr>
          <w:rFonts w:ascii="Calibri" w:cs="Calibri" w:eastAsia="Calibri" w:hAnsi="Calibri"/>
          <w:sz w:val="22"/>
          <w:szCs w:val="22"/>
        </w:rPr>
        <w:t xml:space="preserve">Die objektorientierte Analyse folgt der Reihenfolge aus der Vorlesung: Use-Case-Diagramm, Klassendiagramm, je Use Case ein Interaktionsdiagramm, Zustandsdiagramm je Klasse mit Lebenszyklus. Alle Diagramme werden aus der XMI-Datei in das Visual-Paradigm-Projekt UML-WWI25B4-Gruppe1.vpp übernommen, die Sequenzdiagramme dort als Unterdiagramme der zugehörigen Use Cases.</w:t>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 xml:space="preserve">Das Use-Case-Diagramm beschreibt, was RepairFlow aus Sicht seiner Benutzer leistet. Es enthält 19 Use Cases in vier Bereichen (Kundenportal, Auftrag und Werkstatt, Ersatzteil-Disposition, Administration) und acht Akteure. Primäre Akteure sind Kunde, Servicemitarbeiter, Techniker, Disponent, Werkstattleiter und Werkstattinhaber; Lieferant und KI-Diagnosedienst sind sekundäre, externe Akteure. Jede Lane der Prozessmodelle hat damit einen Akteur, die Lane Service / Annahme den Servicemitarbeiter.</w:t>
      </w:r>
    </w:p>
    <w:p>
      <w:pPr>
        <w:keepNext/>
        <w:spacing w:after="0" w:before="120"/>
        <w:jc w:val="center"/>
      </w:pPr>
      <w:r>
        <w:drawing>
          <wp:inline distT="0" distB="0" distL="0" distR="0">
            <wp:extent cx="4857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57750" cy="5334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3: Use-Case-Diagramm RepairFlow</w:t>
      </w:r>
    </w:p>
    <w:p>
      <w:pPr>
        <w:spacing w:after="120" w:line="276"/>
        <w:jc w:val="both"/>
      </w:pPr>
      <w:r>
        <w:rPr>
          <w:rFonts w:ascii="Calibri" w:cs="Calibri" w:eastAsia="Calibri" w:hAnsi="Calibri"/>
          <w:sz w:val="22"/>
          <w:szCs w:val="22"/>
        </w:rPr>
        <w:t xml:space="preserve">Die Beziehungen zwischen den Use Cases folgen der Regel: include für einen Teilschritt, der immer ausgeführt wird, extend für bedingtes Verhalten. So schließen „Sofortdiagnose anfordern" und „Ersatzteile disponieren und reservieren" im erfolgreichen Hauptablauf „Ersatzteil-Verfügbarkeit prüfen" ein. „Reparaturauftrag anlegen" erweitert „Reklamation bearbeiten" nur bei freigegebener Nacharbeit oder angenommenem Angebot; bei Ablehnung entsteht kein neuer Auftrag. „Voranmeldung bestätigen" erweitert die Sofortdiagnose nur dann, wenn der Kunde den Vorschlag annimmt; „Diagnosevorschlag prüfen" bleibt ein eigener Use Case vor der Befunderfassung; Prozess 03 enthält dafür keine bedingte Verzweigung, deshalb wird keine extend-Beziehung behauptet; „Nachbestellvorschlag erzeugen" erweitert die Disposition bei unterschrittenem Meldebestand. „Lieferantenbestellung auslösen" erweitert sie bei Fehlteilen oder Nachbestellvorschlag. „Retoure abwickeln" erweitert den Wareneingang bei mangelhafter Lieferung und die Reklamation bei einem defekten Lieferantenteil. Die Bedingungen und Erweiterungspunkte stehen auch in der XMI-Datei. Vorbedingungen wie die Fertigmeldung vor der Rechnung sind bewusst keine include-Beziehungen, weil der Basis-Use-Case den anderen nicht ausführt.</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 xml:space="preserve">Das Klassendiagramm umfasst 27 Klassen, darunter die abstrakten Klassen Person und Mitarbeiter, sowie sieben Aufzählungen und 36 Assoziationen. Es gibt genau ein vollständiges Klassendiagramm in Anhang C und im Repository (uml/klassen.png). Alle Klassen, Operationen und Beziehungen stehen in derselben Abbildung; zusätzliche Fokusdiagramme entfallen. In Visual Paradigm wird es aus der XMI-Datei aufgebaut.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 xml:space="preserve">Fehlerbefund und Reparaturschritte existieren nur mit ihrem Auftrag und sind deshalb Kompositionen. Der Kostenvoranschlag ist dagegen nur assoziiert, weil der vorläufige KVA aus der Sofortdiagnose schon vor dem Auftrag entsteht (Multiplizität 0..1 auf Auftragsseite). Das Gerät existiert unabhängig vom Auftrag und ist nur zugeordnet, weil es mehrfach repariert werden kann. Der Auftrag hält den Status und damit die Methode wechsleStatus(); die Statuswerte sind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 (vorreserviere() statt reserviere()).</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 xml:space="preserve">Eine Reklamation verweist auf den Ursprungsauftrag und führt zu einem neuen Reparaturauftrag für die Nacharbeit, der mit dem Attribut kostenfrei kennzeichnet, ob die Gewährleistung greift. So bleibt der Lebenszyklus jedes Auftrags linear, und Prozess 09 kann die Nacharbeit über die Prozesse 07 und 08 abwickeln.</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 xml:space="preserve">Als Solution Provider bedienen wir viele Werkstätten. Der Werkstattbetrieb steht als Mandant über seinen Filialen und Mitarbeitern;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Servicemitarbeiter, Techniker, Disponent und Werkstattleiter entspricht den vier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 xml:space="preserve">Für sechs Use Cases mit vielen Interaktionen haben wir Sequenzdiagramme erstellt (gefordert waren fünf). Die Lebenslinien zeigen Klassenobjekte und beteiligte Akteure. Klassenbotschaften verwenden die Operationen des Klassendiagramms; Antworten, Konstruktoren und Nachrichten an menschliche oder externe Akteure werden gesondert dargestellt. Kombinierte Fragmente bilden Verzweigungen, optionale Schritte, Schleifen und parallele Teileprüfungen ab.</w:t>
      </w:r>
    </w:p>
    <w:p>
      <w:pPr>
        <w:keepNext/>
        <w:spacing w:after="0" w:before="120"/>
        <w:jc w:val="center"/>
      </w:pPr>
      <w:r>
        <w:drawing>
          <wp:inline distT="0" distB="0" distL="0" distR="0">
            <wp:extent cx="3800475"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00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SD1 – Sofortdiagnose anfordern (UC01)</w:t>
      </w:r>
    </w:p>
    <w:p>
      <w:pPr>
        <w:spacing w:after="120" w:line="276"/>
        <w:jc w:val="both"/>
      </w:pPr>
      <w:r>
        <w:rPr>
          <w:rFonts w:ascii="Calibri" w:cs="Calibri" w:eastAsia="Calibri" w:hAnsi="Calibri"/>
          <w:sz w:val="22"/>
          <w:szCs w:val="22"/>
        </w:rPr>
        <w:t xml:space="preserve">SD1 folgt Prozess 01: RepairFlow legt die Voranmeldung an und prüft die Medienqualität. Nicht auswertbare Aufnahmen können nachgereicht werden; sieben Tage ohne neue Aufnahme beenden den Ablauf. Erst danach wertet der KI-Dienst die Medien aus. Vorab-KVA, Verfügbarkeit und Filialauslastung führen zum Terminvorschlag. Bestätigung, Terminablehnung und sieben Tage ohne Entscheidung sind getrennte Pfade; verfügbare Teile werden erst nach Bestätigung vorreserviert.</w:t>
      </w:r>
    </w:p>
    <w:p>
      <w:pPr>
        <w:keepNext/>
        <w:spacing w:after="0" w:before="120"/>
        <w:jc w:val="center"/>
      </w:pPr>
      <w:r>
        <w:drawing>
          <wp:inline distT="0" distB="0" distL="0" distR="0">
            <wp:extent cx="300037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003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SD2 – KVA freigeben / ablehnen (UC07)</w:t>
      </w:r>
    </w:p>
    <w:p>
      <w:pPr>
        <w:spacing w:after="120" w:line="276"/>
        <w:jc w:val="both"/>
      </w:pPr>
      <w:r>
        <w:rPr>
          <w:rFonts w:ascii="Calibri" w:cs="Calibri" w:eastAsia="Calibri" w:hAnsi="Calibri"/>
          <w:sz w:val="22"/>
          <w:szCs w:val="22"/>
        </w:rPr>
        <w:t xml:space="preserve">SD2 übernimmt Positionen und Ersatzteilpreise aus UC06, die Prüfung durch Service / Annahme und den Status „KVA offen". Alle drei Tage ohne Antwort wird ein Fristablauf protokolliert; vor dem dritten Ablauf wird der KVA mit Erinnerung erneut gesendet. Freigabe startet Prozess 05. Eine echte Kundenablehnung und der dritte Fristablauf sind getrennte Pfade zur Abholung über Prozess 08; der Timeout wird nicht als Kundenbotschaft dargestellt.</w:t>
      </w:r>
    </w:p>
    <w:p>
      <w:pPr>
        <w:keepNext/>
        <w:spacing w:after="0" w:before="120"/>
        <w:jc w:val="center"/>
      </w:pPr>
      <w:r>
        <w:drawing>
          <wp:inline distT="0" distB="0" distL="0" distR="0">
            <wp:extent cx="4733925"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3392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SD3 – Ersatzteile disponieren und reservieren (UC09)</w:t>
      </w:r>
    </w:p>
    <w:p>
      <w:pPr>
        <w:spacing w:after="120" w:line="276"/>
        <w:jc w:val="both"/>
      </w:pPr>
      <w:r>
        <w:rPr>
          <w:rFonts w:ascii="Calibri" w:cs="Calibri" w:eastAsia="Calibri" w:hAnsi="Calibri"/>
          <w:sz w:val="22"/>
          <w:szCs w:val="22"/>
        </w:rPr>
        <w:t xml:space="preserve">SD3 zeigt den parallelen Mehrfach-Teilprozess je Ersatzteil: eigene Filiale, andere Filialen mit Umlagerung oder Fehlteil markieren. Danach folgen die Bestätigung aller Reservierungen und die Meldebestandsprüfung mit optionalem Nachbestellvorschlag (UC12). Der Techniker ermittelt den Reparaturbeginn und informiert den Kunden. Erst dann startet bei Fehlteilen oder Nachbestellvorschlag UC10; der Status „Teile bestellt" folgt erst nach bestätigter Bestellung in SD6.</w:t>
      </w:r>
    </w:p>
    <w:p>
      <w:pPr>
        <w:keepNext/>
        <w:spacing w:after="0" w:before="120"/>
        <w:jc w:val="center"/>
      </w:pPr>
      <w:r>
        <w:drawing>
          <wp:inline distT="0" distB="0" distL="0" distR="0">
            <wp:extent cx="32385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4191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SD4 – Auftrag fertigmelden (UC14)</w:t>
      </w:r>
    </w:p>
    <w:p>
      <w:pPr>
        <w:spacing w:after="120" w:line="276"/>
        <w:jc w:val="both"/>
      </w:pPr>
      <w:r>
        <w:rPr>
          <w:rFonts w:ascii="Calibri" w:cs="Calibri" w:eastAsia="Calibri" w:hAnsi="Calibri"/>
          <w:sz w:val="22"/>
          <w:szCs w:val="22"/>
        </w:rPr>
        <w:t xml:space="preserve">SD4 knüpft die Fertigmeldung an abgeschlossene Reparaturschritte und bestandene Endkontrolle. UC13 umfasst die Schritte und Arbeitszeiten sowie den optionalen Nachtrags-KVA: Freigabe führt zu weiteren Schritten, Ablehnung oder drei Tage ohne Antwort zur Endkontrolle. Fehler in der Endkontrolle führen zur Nacharbeit und erneuter Prüfung. UC14 setzt erst dann den Status „fertig". Abholbenachrichtigung und Rechnung gehören zu UC15 in Prozess 08.</w:t>
      </w:r>
    </w:p>
    <w:p>
      <w:pPr>
        <w:keepNext/>
        <w:spacing w:after="0" w:before="120"/>
        <w:jc w:val="center"/>
      </w:pPr>
      <w:r>
        <w:drawing>
          <wp:inline distT="0" distB="0" distL="0" distR="0">
            <wp:extent cx="393382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3382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SD5 – Reklamation bearbeiten (UC16)</w:t>
      </w:r>
    </w:p>
    <w:p>
      <w:pPr>
        <w:spacing w:after="120" w:line="276"/>
        <w:jc w:val="both"/>
      </w:pPr>
      <w:r>
        <w:rPr>
          <w:rFonts w:ascii="Calibri" w:cs="Calibri" w:eastAsia="Calibri" w:hAnsi="Calibri"/>
          <w:sz w:val="22"/>
          <w:szCs w:val="22"/>
        </w:rPr>
        <w:t xml:space="preserve">SD5 zeigt Geräteannahme, Mangelprüfung durch den Techniker und Gewährleistungsbewertung am Ursprungsauftrag. Die Werkstattleitung gibt kostenfreie Nacharbeit frei; sonst entscheidet der Kunde über das Angebot. Nur bei Freigabe oder Annahme legt der Techniker den Nacharbeitsauftrag an. Darauf folgen Prozess 07, gegebenenfalls Prozess 10 bei defektem Lieferantenteil und in allen Pfaden Prozess 08 zur Abholung. Erst danach wird die Reklamation abgeschlossen.</w:t>
      </w:r>
    </w:p>
    <w:p>
      <w:pPr>
        <w:keepNext/>
        <w:spacing w:after="0" w:before="120"/>
        <w:jc w:val="center"/>
      </w:pPr>
      <w:r>
        <w:drawing>
          <wp:inline distT="0" distB="0" distL="0" distR="0">
            <wp:extent cx="4095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SD6 – Lieferantenbestellung auslösen (UC10, mit Verweis auf UC12)</w:t>
      </w:r>
    </w:p>
    <w:p>
      <w:pPr>
        <w:spacing w:after="120" w:line="276"/>
        <w:jc w:val="both"/>
      </w:pPr>
      <w:r>
        <w:rPr>
          <w:rFonts w:ascii="Calibri" w:cs="Calibri" w:eastAsia="Calibri" w:hAnsi="Calibri"/>
          <w:sz w:val="22"/>
          <w:szCs w:val="22"/>
        </w:rPr>
        <w:t xml:space="preserve">SD6 bündelt den Bestellbedarf aus Prozess 05, wählt einen Lieferanten und legt eine Bestellung mit Positionen an. Oberhalb der Freigabegrenze ist die Freigabe durch die Werkstattleitung erforderlich. Nur eine bestätigte und lieferbare Bestellung setzt bei auftragsbezogenen Fehlteilen den Status „Teile bestellt"; Verzögerungen werden dem Kunden mitgeteilt. Nicht lieferbare Bestellungen werden storniert, ein alternativer Lieferant wird gesucht. UC11 verfeinert Lieferung und Wareneingang, bei Mängeln mit UC19 Retoure. Ohne Ersatz wird nur erneut bestellt, solange das Teil noch benötigt wird. Eine Zusammenführung mit offenen Bestellungen wird nicht behauptet, weil Prozess 06 diesen Pfad nicht enthält.</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 xml:space="preserve">Die drei Modelle sind über drei Klammern verbunden: Erstens tragen die Datenobjekte der BPMN-Diagramme die Klassennamen des Klassendiagramms, teilweise mit dem Zustand in eckigen Klammern. Zweitens entsprechen der Pool Kunde und die Lanes Service / Annahme, Techniker, Ersatzteil-Disposition und Werkstattleitung den Akteuren Kunde, Servicemitarbeiter, Techniker, Disponent und Werkstattleiter und den gleichnamigen Klassen (Kunde beziehungsweise Unterklassen von Mitarbeiter). Drittens folgen Sequenzdiagramme, Datenobjekt-Zustände und Zustandsdiagramm demselben Zustandsautomaten, sodass jeder Statuswechsel als Aktivität „Auftragsstatus auf … setzen" in den Prozessen, als Aufruf von wechsleStatus() in den Sequenzdiagrammen und als Übergang im Zustandsdiagramm wiederzufinden ist (den Status „abgelehnt" setzen Prozess 03 und 04, „angenommen" Prozess 02 und 09, weil beide Prozesse denselben Übergang auslösen). Tabelle 2 zeigt die Zuordnung.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Servicemitarbeiter,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 Reparaturauftrag [in Diagnose,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Lagerbestand, ErsatzteilReservierung, Lieferantenbestellung [Vorschlag]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 aus P05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 Reparaturauftrag [Teile bestellt]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[offen, Mahnung, bezahlt], Servicemitarbeiter,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 UC03 nur bei Nacharbeit; UC19 bei defektem Teil</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Servicemitarbeiter, Werkstattleiter, Reparaturauftrag [angenommen]</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UC19</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[Retoure, Gutschrift],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 xml:space="preserve">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beide Linter ohne Befund passieren; aus dem Betreiber-Entwurf übernommen wurden die Rollenklassen Mitarbeiter, Disponent und Werkstattleiter, die Datenspeicher Technikerplan und Buchhaltung, das Sequenzdiagramm zum Nachbestellvorschlag, der Abschnitt zur Konsistenz der Modelle sowie Sprintplan und Trello-Board. Die Gegenüberstellung steht im Repository (doku/05-vergleich-und-zusammenfuehrung.md).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 xml:space="preserve">Ein erster Entwurf modellierte Werkstatt und Ersatzteil-Disposition als getrennte Pools. Nach der Vorlesungsregel „Pool = Unternehmen, Lanes = Rollen" wurde auf einen Pool mit Lanes umgestellt; Kunde und Lieferant blieben eigene Pools. Erst dadurch wurden die Nachrichtenflüsse eindeutig. Den Kunden hatten wir zunächst als Black Box gezeichnet; weil dabei nicht sichtbar war, wann er antwortet, entscheidet oder fertig ist, haben wir ihm einen eigenen Ablauf gegeben (Entscheidungslog E-16). Eine Gesamtprüfung aller Modelle am 05.10.2026 (E-17) zeigte danach Lücken zwischen den Prozessen, etwa dass abgelehnte Aufträge nie abgeholt wurden und Warteschleifen keinen Ausstieg hatten; seitdem laufen alle Rückgaben über Prozess 08 und jede Warteschleife hat einen Timer.</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 xml:space="preserve">In der ersten Fassung waren wir gleichzeitig Werkstatt und Softwareanbieter. Die Rückfrage des Dozenten hat uns gezwungen, das zu klären. Die Entscheidung für den Solution Provider hat sich gelohnt: Die Prozesse blieben gültig, aber Texte, Use Cases (Onboarding) und das Klassenmodell (Mandant) mussten nachziehen.</w:t>
      </w:r>
    </w:p>
    <w:p>
      <w:pPr>
        <w:spacing w:after="120" w:line="276"/>
        <w:jc w:val="both"/>
      </w:pPr>
      <w:r>
        <w:rPr>
          <w:rFonts w:ascii="Calibri" w:cs="Calibri" w:eastAsia="Calibri" w:hAnsi="Calibri"/>
          <w:b/>
          <w:bCs/>
          <w:sz w:val="22"/>
          <w:szCs w:val="22"/>
        </w:rPr>
        <w:t xml:space="preserve">Zehn Kollaborationsdiagramme mit durchschnittlich zehn Aktivitäten. </w:t>
      </w:r>
      <w:r>
        <w:rPr>
          <w:rFonts w:ascii="Calibri" w:cs="Calibri" w:eastAsia="Calibri" w:hAnsi="Calibri"/>
          <w:sz w:val="22"/>
          <w:szCs w:val="22"/>
        </w:rPr>
        <w:t xml:space="preserve">Unsere ursprüngliche Prozessliste enthielt die Terminplanung als eigenen Prozess; sie hatte aber nur einen Pool und wenige Schritte.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 xml:space="preserve">Datenobjekte, Klassen, Lebenslinien und Statuswerte müssen wortgleich sein. Frühere Fassungen der Sequenzdiagramme verwendeten „Diagnose" und „Reservierung", das Klassendiagramm „Fehlerbefund" und „ErsatzteilReservierung". Wir haben eine gemeinsame Modellbeschreibung eingeführt, aus der Klassendiagramm, XMI und die Namen in den anderen Modellen stammen.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 xml:space="preserve">Der Teamwork-Server von Visual Paradigm ist nur über das Lehre-VPN erreichbar, und der Camunda Modeler meldet für Camunda-8-Diagramme technische Details als Fehler, etwa fehlende Task-Definitionen oder Message-Subscriptions. Wir haben uns entschieden, die Diagramme „engine-ready" anzureichern, statt die Fehler zu ignorieren; das entspricht dem in der Vorlesung beschriebenen Weg vom fachlichen zum ausführbaren Modell.</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möglichst aus der obersten Zeile einer Lane nach außen laufen, im Kunden-Pool senkrecht über ihrem Gegenstück liegen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 xml:space="preserve">Die KI-Sofortdiagnose soll beeindrucken, aber nicht unglaubwürdig wirken. Wir trennen deshalb in Modell und Text zwischen dem, was heute mit Bildanalyse geht, und dem, was Vision ist, und halten den Vorschlag im Prozess ausdrücklich unverbindlich.</w:t>
      </w:r>
    </w:p>
    <w:p>
      <w:pPr>
        <w:spacing w:after="120" w:line="276"/>
        <w:jc w:val="both"/>
      </w:pPr>
      <w:r>
        <w:rPr>
          <w:rFonts w:ascii="Calibri" w:cs="Calibri" w:eastAsia="Calibri" w:hAnsi="Calibri"/>
          <w:i/>
          <w:iCs/>
          <w:sz w:val="22"/>
          <w:szCs w:val="22"/>
          <w:shd w:fill="FFF2A8" w:color="auto" w:val="clear"/>
        </w:rPr>
        <w:t xml:space="preserve">[Gruppe: Ergänzen: Herausforderungen in der Gruppenarbeit, zum Beispiel Terminfindung, Aufteilung, Git-Konflikte]</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i/>
          <w:iCs/>
          <w:sz w:val="22"/>
          <w:szCs w:val="22"/>
          <w:shd w:fill="FFF2A8" w:color="auto" w:val="clear"/>
        </w:rPr>
        <w:t xml:space="preserve">[Gruppe: Weitere Rückmeldungen aus den Coaching-Terminen und deren Umsetzung ergänzen]</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 xml:space="preserve">Die Fallstudie hat uns gezeigt, wie viel Abstimmung nötig ist, damit Prozessmodell, Use Cases und Klassenmodell zusammenpassen. Das Wechselspiel aus Coaching-Terminen und eigenständiger Arbeit hat gut funktioniert, weil wir das Feedback direkt einarbeiten konnten. Hilfreich wäre aus unserer Sicht eine frühere Klarstellung gewesen, wie streng die Vorgabe „durchschnittlich zehn Aktivitäten" gemeint ist.</w:t>
      </w:r>
    </w:p>
    <w:p>
      <w:pPr>
        <w:spacing w:after="120" w:line="276"/>
        <w:jc w:val="both"/>
      </w:pPr>
      <w:r>
        <w:rPr>
          <w:rFonts w:ascii="Calibri" w:cs="Calibri" w:eastAsia="Calibri" w:hAnsi="Calibri"/>
          <w:i/>
          <w:iCs/>
          <w:sz w:val="22"/>
          <w:szCs w:val="22"/>
          <w:shd w:fill="FFF2A8" w:color="auto" w:val="clear"/>
        </w:rPr>
        <w:t xml:space="preserve">[Gruppe: Ergänzen: Was hat euch am meisten gebracht, was war zu viel oder zu wenig, was würdet ihr beim nächsten Mal anders machen]</w:t>
      </w:r>
    </w:p>
    <w:p>
      <w:pPr>
        <w:pStyle w:val="Heading1"/>
        <w:keepNext/>
        <w:spacing w:after="120" w:before="360"/>
      </w:pPr>
      <w:r>
        <w:rPr>
          <w:rFonts w:ascii="Calibri" w:cs="Calibri" w:eastAsia="Calibri" w:hAnsi="Calibri"/>
        </w:rPr>
        <w:t xml:space="preserve">Anhang A: Abgabestruktur</w:t>
      </w:r>
    </w:p>
    <w:p>
      <w:pPr>
        <w:spacing w:after="120" w:line="276"/>
        <w:jc w:val="both"/>
      </w:pPr>
      <w:r>
        <w:rPr>
          <w:rFonts w:ascii="Calibri" w:cs="Calibri" w:eastAsia="Calibri" w:hAnsi="Calibri"/>
          <w:sz w:val="22"/>
          <w:szCs w:val="22"/>
        </w:rPr>
        <w:t xml:space="preserve">Das Abgabe-Archiv Fallstudie-WWI25B4-Gruppe1.zip enthält: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als BPMN-2.0-XML (01-Sofortdiagnose.bpmn bis 10-Retoure.bpmn nach den Namensvorgaben des Ablaufs), Camunda-8-Modelle (im Repository: bpmn/p01-sofortdiagnose.bpmn bis bpmn/p10-retoure.bpmn)</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Visual-Paradigm-Projekt mit Use-Case-, Klassen-, sechs Sequenz- und einem Zustandsdiagramm, aus uml/modell.xmi importiert (im Repository: uml/ als PlantUML, PNG und XMI)</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7"/>
          <w:footerReference w:type="default" r:id="rId8"/>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144000" cy="3333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Prozess 01 KI-Sofortdiagnose und Voranmeldung (Pools: Werkstattbetrieb, Kunde)</w:t>
      </w:r>
    </w:p>
    <w:p>
      <w:r>
        <w:br w:type="page"/>
      </w:r>
    </w:p>
    <w:p>
      <w:pPr>
        <w:keepNext/>
        <w:spacing w:after="0" w:before="120"/>
        <w:jc w:val="center"/>
      </w:pPr>
      <w:r>
        <w:drawing>
          <wp:inline distT="0" distB="0" distL="0" distR="0">
            <wp:extent cx="9144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83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Prozess 02 Auftragsannahme, Geräteregistrierung und Terminplanung (Pools: Werkstattbetrieb, Kunde)</w:t>
      </w:r>
    </w:p>
    <w:p>
      <w:r>
        <w:br w:type="page"/>
      </w:r>
    </w:p>
    <w:p>
      <w:pPr>
        <w:keepNext/>
        <w:spacing w:after="0" w:before="120"/>
        <w:jc w:val="center"/>
      </w:pPr>
      <w:r>
        <w:drawing>
          <wp:inline distT="0" distB="0" distL="0" distR="0">
            <wp:extent cx="9144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9432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03 Fehlerdiagnose (Pools: Werkstattbetrieb, Kunde)</w:t>
      </w:r>
    </w:p>
    <w:p>
      <w:r>
        <w:br w:type="page"/>
      </w:r>
    </w:p>
    <w:p>
      <w:pPr>
        <w:keepNext/>
        <w:spacing w:after="0" w:before="120"/>
        <w:jc w:val="center"/>
      </w:pPr>
      <w:r>
        <w:drawing>
          <wp:inline distT="0" distB="0" distL="0" distR="0">
            <wp:extent cx="9144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37528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04 Kostenvoranschlag und Kundenfreigabe (Pools: Werkstattbetrieb, Kunde)</w:t>
      </w:r>
    </w:p>
    <w:p>
      <w:r>
        <w:br w:type="page"/>
      </w:r>
    </w:p>
    <w:p>
      <w:pPr>
        <w:keepNext/>
        <w:spacing w:after="0" w:before="120"/>
        <w:jc w:val="center"/>
      </w:pPr>
      <w:r>
        <w:drawing>
          <wp:inline distT="0" distB="0" distL="0" distR="0">
            <wp:extent cx="9144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4098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05 Ersatzteil-Verfügbarkeit und Reservierung (Pools: Werkstattbetrieb, Kunde)</w:t>
      </w:r>
    </w:p>
    <w:p>
      <w:r>
        <w:br w:type="page"/>
      </w:r>
    </w:p>
    <w:p>
      <w:pPr>
        <w:keepNext/>
        <w:spacing w:after="0" w:before="120"/>
        <w:jc w:val="center"/>
      </w:pPr>
      <w:r>
        <w:drawing>
          <wp:inline distT="0" distB="0" distL="0" distR="0">
            <wp:extent cx="914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952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06 Ersatzteil-Bestellung beim Lieferanten (Pools: Werkstattbetrieb, Lieferant, Kunde)</w:t>
      </w:r>
    </w:p>
    <w:p>
      <w:r>
        <w:br w:type="page"/>
      </w:r>
    </w:p>
    <w:p>
      <w:pPr>
        <w:keepNext/>
        <w:spacing w:after="0" w:before="120"/>
        <w:jc w:val="center"/>
      </w:pPr>
      <w:r>
        <w:drawing>
          <wp:inline distT="0" distB="0" distL="0" distR="0">
            <wp:extent cx="9144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31908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07 Reparaturdurchführung und Arbeitszeiterfassung (Pools: Werkstattbetrieb, Kunde)</w:t>
      </w:r>
    </w:p>
    <w:p>
      <w:r>
        <w:br w:type="page"/>
      </w:r>
    </w:p>
    <w:p>
      <w:pPr>
        <w:keepNext/>
        <w:spacing w:after="0" w:before="120"/>
        <w:jc w:val="center"/>
      </w:pPr>
      <w:r>
        <w:drawing>
          <wp:inline distT="0" distB="0" distL="0" distR="0">
            <wp:extent cx="9144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4955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08 Abholung, Rechnung und Zahlung (Pools: Werkstattbetrieb, Kunde)</w:t>
      </w:r>
    </w:p>
    <w:p>
      <w:r>
        <w:br w:type="page"/>
      </w:r>
    </w:p>
    <w:p>
      <w:pPr>
        <w:keepNext/>
        <w:spacing w:after="0" w:before="120"/>
        <w:jc w:val="center"/>
      </w:pPr>
      <w:r>
        <w:drawing>
          <wp:inline distT="0" distB="0" distL="0" distR="0">
            <wp:extent cx="9144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3124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09 Reklamation und Gewährleistung (Pools: Werkstattbetrieb, Kunde)</w:t>
      </w:r>
    </w:p>
    <w:p>
      <w:r>
        <w:br w:type="page"/>
      </w:r>
    </w:p>
    <w:p>
      <w:pPr>
        <w:keepNext/>
        <w:spacing w:after="0" w:before="120"/>
        <w:jc w:val="center"/>
      </w:pPr>
      <w:r>
        <w:drawing>
          <wp:inline distT="0" distB="0" distL="0" distR="0">
            <wp:extent cx="9144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7051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10 Ersatzteil-Retoure und Lieferanten-Reklamation (Pools: Werkstattbetrieb, Lieferant)</w:t>
      </w:r>
    </w:p>
    <w:p>
      <w:r>
        <w:br w:type="page"/>
      </w:r>
    </w:p>
    <w:p>
      <w:pPr>
        <w:pStyle w:val="Heading1"/>
        <w:keepNext/>
        <w:spacing w:after="120" w:before="360"/>
      </w:pPr>
      <w:r>
        <w:rPr>
          <w:rFonts w:ascii="Calibri" w:cs="Calibri" w:eastAsia="Calibri" w:hAnsi="Calibri"/>
        </w:rPr>
        <w:t xml:space="preserve">Anhang C: Das vollständige Klassendiagramm</w:t>
      </w:r>
    </w:p>
    <w:p>
      <w:pPr>
        <w:keepNext/>
        <w:spacing w:after="0" w:before="120"/>
        <w:jc w:val="center"/>
      </w:pPr>
      <w:r>
        <w:drawing>
          <wp:inline distT="0" distB="0" distL="0" distR="0">
            <wp:extent cx="5324475"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24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Klassendiagramm cd : RepairFlow mit allen 27 Klassen, 7 Aufzählungen und 36 Assoziationen</w:t>
      </w:r>
    </w:p>
    <w:sectPr>
      <w:headerReference w:type="default" r:id="rId9"/>
      <w:footerReference w:type="default" r:id="rId10"/>
      <w:pgSz w:w="16838" w:h="11906" w:orient="landscape"/>
      <w:pgMar w:top="10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002a9aeefee5e95870cc49e49b894080708c67.png"/><Relationship Id="rId12" Type="http://schemas.openxmlformats.org/officeDocument/2006/relationships/image" Target="media/830346ca3d1156a84448291e9c604c2ba8abf87f.png"/><Relationship Id="rId13" Type="http://schemas.openxmlformats.org/officeDocument/2006/relationships/image" Target="media/9f75f3e48908ef2d8b18a02ca9bd7b35912beb54.png"/><Relationship Id="rId14" Type="http://schemas.openxmlformats.org/officeDocument/2006/relationships/image" Target="media/37f36d51a93770381da15a87fa9bd48b596ba69b.png"/><Relationship Id="rId15" Type="http://schemas.openxmlformats.org/officeDocument/2006/relationships/image" Target="media/294f0f3fe469a4c0d7c833184582151ee1ab3e03.png"/><Relationship Id="rId16" Type="http://schemas.openxmlformats.org/officeDocument/2006/relationships/image" Target="media/45cbb6140da9c7a14ade8245bd858c383c32870b.png"/><Relationship Id="rId17" Type="http://schemas.openxmlformats.org/officeDocument/2006/relationships/image" Target="media/38e5de919292f39312c65f8d37a97eb17fd5f00c.png"/><Relationship Id="rId18" Type="http://schemas.openxmlformats.org/officeDocument/2006/relationships/image" Target="media/6e6d4ddb48b253b68e6b06c43c09c59f2d671e29.png"/><Relationship Id="rId19" Type="http://schemas.openxmlformats.org/officeDocument/2006/relationships/image" Target="media/ff3b80d1ba13e51e5f2ffb8228bd61a74c25f12d.png"/><Relationship Id="rId20" Type="http://schemas.openxmlformats.org/officeDocument/2006/relationships/image" Target="media/74367f28869684a9e74416d0c0f889bab33fd136.png"/><Relationship Id="rId21" Type="http://schemas.openxmlformats.org/officeDocument/2006/relationships/image" Target="media/9e5208a850fbc44688d699ad0f7f8cb9359e1430.png"/><Relationship Id="rId22" Type="http://schemas.openxmlformats.org/officeDocument/2006/relationships/image" Target="media/b3e54ce6bf2b9c53ada8e818dfdf00453a69268e.png"/><Relationship Id="rId23" Type="http://schemas.openxmlformats.org/officeDocument/2006/relationships/image" Target="media/cf431306389b14b92da8711c4c9082a824146b45.png"/><Relationship Id="rId24" Type="http://schemas.openxmlformats.org/officeDocument/2006/relationships/image" Target="media/1216fdca715eb664890f1736b62dfb11ac7fa986.png"/><Relationship Id="rId25" Type="http://schemas.openxmlformats.org/officeDocument/2006/relationships/image" Target="media/59b1378e8a5be10daaae44e25092d1cd134ca23c.png"/><Relationship Id="rId26" Type="http://schemas.openxmlformats.org/officeDocument/2006/relationships/image" Target="media/f1a13214cffef4a3e6c9ba4114939d16fd0dce4d.png"/><Relationship Id="rId27" Type="http://schemas.openxmlformats.org/officeDocument/2006/relationships/image" Target="media/6ea094fcdabbae0cf4d486e477b9333c1ff79c47.png"/><Relationship Id="rId28" Type="http://schemas.openxmlformats.org/officeDocument/2006/relationships/image" Target="media/322a52ec316878ad29d747f3f149c323965ed071.png"/><Relationship Id="rId29" Type="http://schemas.openxmlformats.org/officeDocument/2006/relationships/image" Target="media/3dfcf27ffbd1d012ab0a08b4561fe8488abd0f5d.png"/><Relationship Id="rId30" Type="http://schemas.openxmlformats.org/officeDocument/2006/relationships/image" Target="media/89ffadb71f52f746f5229a8a2c1cf472845e030f.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Un-named</cp:lastModifiedBy>
  <cp:revision>1</cp:revision>
  <dcterms:created xsi:type="dcterms:W3CDTF">2026-10-05T08:13:58.611Z</dcterms:created>
  <dcterms:modified xsi:type="dcterms:W3CDTF">2026-10-05T08:13:58.615Z</dcterms:modified>
</cp:coreProperties>
</file>

<file path=docProps/custom.xml><?xml version="1.0" encoding="utf-8"?>
<Properties xmlns="http://schemas.openxmlformats.org/officeDocument/2006/custom-properties" xmlns:vt="http://schemas.openxmlformats.org/officeDocument/2006/docPropsVTypes"/>
</file>