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PartName="/word/comments.xml" ContentType="application/vnd.openxmlformats-officedocument.wordprocessingml.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color w:val="666666"/>
        </w:rPr>
        <w:t>Bearbeitungsstand: 5.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2</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4</w:t>
      </w:r>
    </w:p>
    <w:p>
      <w:pPr>
        <w:tabs>
          <w:tab w:val="right" w:pos="9026" w:leader="dot"/>
        </w:tabs>
        <w:spacing w:after="40"/>
        <w:ind w:left="0"/>
      </w:pPr>
      <w:r>
        <w:rPr>
          <w:rFonts w:ascii="Calibri" w:cs="Calibri" w:eastAsia="Calibri" w:hAnsi="Calibri"/>
          <w:b/>
          <w:bCs/>
          <w:sz w:val="22"/>
          <w:szCs w:val="22"/>
        </w:rPr>
        <w:t xml:space="preserve">3 Vorgehen bei der Umsetzung	5</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6</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 xml:space="preserve">4 Projektmanagement	7</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7</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7</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8</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8</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 xml:space="preserve">5 Überblick über die erstellten Artefakte	9</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9</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10</w:t>
      </w:r>
    </w:p>
    <w:p>
      <w:pPr>
        <w:tabs>
          <w:tab w:val="right" w:pos="9026" w:leader="dot"/>
        </w:tabs>
        <w:spacing w:after="40"/>
        <w:ind w:left="800"/>
      </w:pPr>
      <w:r>
        <w:rPr>
          <w:rFonts w:ascii="Calibri" w:cs="Calibri" w:eastAsia="Calibri" w:hAnsi="Calibri"/>
          <w:b w:val="false"/>
          <w:bCs w:val="false"/>
          <w:sz w:val="20"/>
          <w:szCs w:val="20"/>
        </w:rPr>
        <w:t xml:space="preserve">5.1.2 Die zehn Prozesse	11</w:t>
      </w:r>
    </w:p>
    <w:p>
      <w:pPr>
        <w:tabs>
          <w:tab w:val="right" w:pos="9026" w:leader="dot"/>
        </w:tabs>
        <w:spacing w:after="40"/>
        <w:ind w:left="400"/>
      </w:pPr>
      <w:r>
        <w:rPr>
          <w:rFonts w:ascii="Calibri" w:cs="Calibri" w:eastAsia="Calibri" w:hAnsi="Calibri"/>
          <w:b w:val="false"/>
          <w:bCs w:val="false"/>
          <w:sz w:val="20"/>
          <w:szCs w:val="20"/>
        </w:rPr>
        <w:t xml:space="preserve">5.2 Automatisierungspotential	13</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13</w:t>
      </w:r>
    </w:p>
    <w:p>
      <w:pPr>
        <w:tabs>
          <w:tab w:val="right" w:pos="9026" w:leader="dot"/>
        </w:tabs>
        <w:spacing w:after="40"/>
        <w:ind w:left="800"/>
      </w:pPr>
      <w:r>
        <w:rPr>
          <w:rFonts w:ascii="Calibri" w:cs="Calibri" w:eastAsia="Calibri" w:hAnsi="Calibri"/>
          <w:b w:val="false"/>
          <w:bCs w:val="false"/>
          <w:sz w:val="20"/>
          <w:szCs w:val="20"/>
        </w:rPr>
        <w:t xml:space="preserve">5.3.1 Use-Case-Diagramm	13</w:t>
      </w:r>
    </w:p>
    <w:p>
      <w:pPr>
        <w:tabs>
          <w:tab w:val="right" w:pos="9026" w:leader="dot"/>
        </w:tabs>
        <w:spacing w:after="40"/>
        <w:ind w:left="800"/>
      </w:pPr>
      <w:r>
        <w:rPr>
          <w:rFonts w:ascii="Calibri" w:cs="Calibri" w:eastAsia="Calibri" w:hAnsi="Calibri"/>
          <w:b w:val="false"/>
          <w:bCs w:val="false"/>
          <w:sz w:val="20"/>
          <w:szCs w:val="20"/>
        </w:rPr>
        <w:t xml:space="preserve">5.3.2 Klassendiagramm	14</w:t>
      </w:r>
    </w:p>
    <w:p>
      <w:pPr>
        <w:tabs>
          <w:tab w:val="right" w:pos="9026" w:leader="dot"/>
        </w:tabs>
        <w:spacing w:after="40"/>
        <w:ind w:left="800"/>
      </w:pPr>
      <w:r>
        <w:rPr>
          <w:rFonts w:ascii="Calibri" w:cs="Calibri" w:eastAsia="Calibri" w:hAnsi="Calibri"/>
          <w:b w:val="false"/>
          <w:bCs w:val="false"/>
          <w:sz w:val="20"/>
          <w:szCs w:val="20"/>
        </w:rPr>
        <w:t xml:space="preserve">5.3.3 Sequenzdiagramme	15</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21</w:t>
      </w:r>
    </w:p>
    <w:p>
      <w:pPr>
        <w:tabs>
          <w:tab w:val="right" w:pos="9026" w:leader="dot"/>
        </w:tabs>
        <w:spacing w:after="40"/>
        <w:ind w:left="0"/>
      </w:pPr>
      <w:r>
        <w:rPr>
          <w:rFonts w:ascii="Calibri" w:cs="Calibri" w:eastAsia="Calibri" w:hAnsi="Calibri"/>
          <w:b/>
          <w:bCs/>
          <w:sz w:val="22"/>
          <w:szCs w:val="22"/>
        </w:rPr>
        <w:t xml:space="preserve">6 Probleme und Herausforderungen	22</w:t>
      </w:r>
    </w:p>
    <w:p>
      <w:pPr>
        <w:tabs>
          <w:tab w:val="right" w:pos="9026" w:leader="dot"/>
        </w:tabs>
        <w:spacing w:after="40"/>
        <w:ind w:left="0"/>
      </w:pPr>
      <w:r>
        <w:rPr>
          <w:rFonts w:ascii="Calibri" w:cs="Calibri" w:eastAsia="Calibri" w:hAnsi="Calibri"/>
          <w:b/>
          <w:bCs/>
          <w:sz w:val="22"/>
          <w:szCs w:val="22"/>
        </w:rPr>
        <w:t xml:space="preserve">7 Feedback	24</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24</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24</w:t>
      </w:r>
    </w:p>
    <w:p>
      <w:pPr>
        <w:tabs>
          <w:tab w:val="right" w:pos="9026" w:leader="dot"/>
        </w:tabs>
        <w:spacing w:after="40"/>
        <w:ind w:left="0"/>
      </w:pPr>
      <w:r>
        <w:rPr>
          <w:rFonts w:ascii="Calibri" w:cs="Calibri" w:eastAsia="Calibri" w:hAnsi="Calibri"/>
          <w:b/>
          <w:bCs/>
          <w:sz w:val="22"/>
          <w:szCs w:val="22"/>
        </w:rPr>
        <w:t xml:space="preserve">Anhang A: Abgabestruktur	24</w:t>
      </w:r>
    </w:p>
    <w:p>
      <w:pPr>
        <w:tabs>
          <w:tab w:val="right" w:pos="9026" w:leader="dot"/>
        </w:tabs>
        <w:spacing w:after="40"/>
        <w:ind w:left="0"/>
      </w:pPr>
      <w:r>
        <w:rPr>
          <w:rFonts w:ascii="Calibri" w:cs="Calibri" w:eastAsia="Calibri" w:hAnsi="Calibri"/>
          <w:b/>
          <w:bCs/>
          <w:sz w:val="22"/>
          <w:szCs w:val="22"/>
        </w:rPr>
        <w:t xml:space="preserve">Anhang B: Die zehn BPMN-Kollaborationsdiagramme	25</w:t>
      </w:r>
    </w:p>
    <w:p>
      <w:pPr>
        <w:tabs>
          <w:tab w:val="right" w:pos="9026" w:leader="dot"/>
        </w:tabs>
        <w:spacing w:after="40"/>
        <w:ind w:left="0"/>
      </w:pPr>
      <w:r>
        <w:rPr>
          <w:rFonts w:ascii="Calibri" w:cs="Calibri" w:eastAsia="Calibri" w:hAnsi="Calibri"/>
          <w:b/>
          <w:bCs/>
          <w:sz w:val="22"/>
          <w:szCs w:val="22"/>
        </w:rPr>
        <w:t xml:space="preserve">Anhang C: Das vollständige Klassendiagramm	35</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wird von sechs Studierenden des Kurses WWI25B4 bearbeitet. Das Team hat sich zu Beginn des Semesters konstituiert und die Zuständigkeiten nach dem Scrum-Vorgehensmodell verteilt (Kapitel 4): Jedes Artefakt hat eine verantwortliche Person, die Projektleitung plant und koordiniert, und Reviews erfolgen durch eine zweite Person nach dem Vier-Augen-Prinzip.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commentRangeStart w:id="0"/>
            <w:r>
              <w:rPr>
                <w:rFonts w:ascii="Calibri" w:cs="Calibri" w:eastAsia="Calibri" w:hAnsi="Calibri"/>
                <w:b w:val="false"/>
                <w:bCs w:val="false"/>
                <w:color w:val="000000"/>
                <w:sz w:val="19"/>
                <w:szCs w:val="19"/>
              </w:rPr>
              <w:t xml:space="preserve">Sicherung der Repositories (Git, VP-Server), Termine, Abgabe-Check; SD2, SD4, SD5 und SD6 in Visual Paradigm</w:t>
            </w:r>
            <w:commentRangeEnd w:id="0"/>
            <w:r>
              <w:rPr>
                <w:rStyle w:val="CommentReference"/>
              </w:rPr>
              <w:commentReference w:id="0"/>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und Klassenmodell sowie SD1 und SD3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BPMN-Dateien im Git-Repository,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i/>
          <w:iCs/>
          <w:sz w:val="22"/>
          <w:szCs w:val="22"/>
          <w:shd w:fill="FFF2A8" w:color="auto" w:val="clear"/>
        </w:rPr>
        <w:t xml:space="preserve">[Gruppe: Vor der Abgabe ergänzen: tatsächliche Beiträge je Person (welche Diagramme, Kapitel und Folien wer erarbeitet hat), weil der Ablauf verlangt, dass erkennbar ist, was von wem erarbeitet wurde]</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Für unser Beispielszenario gehen wir davon aus, dass unabhängige Reparaturwerkstätten für Fahrräder, E-Bikes und Consumer-Elektronik mit Papier-Auftragszetteln, Excel-Listen und Telefon arbeiten. Wir untersuchen, wie RepairFlow diese Abläufe durch eine gemeinsame Auftragsverwaltung und digitale Kommunikation unterstützen kann.</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Für dieses Beispielszenario nehmen wir vier wiederkehrende Probleme an:</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Anforderungen an die Plattform modellieren.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RepairFlow soll Fahrrad-, E-Bike- und Elektronikreparaturen in einer gemeinsamen Plattform abbilden. Unser Konzept verbindet ein gemeinsames Ersatzteillager mit filialübergreifender Disposition: Bestände, Reservierungen und Umlagerungen werden über alle Standorte berücksichtigt. Als weiteres Merkmal liefert die KI-Sofortdiagnose dem Kunden einen Diagnosevorschlag mit vorläufigem Kostenvoranschlag, bevor er die Werkstatt betritt (Abschnitt 2.6). Diese Merkmale beschreiben den Zuschnitt unseres Entwurfs; ein belegter Funktionsvergleich mit bestehenden Werkstattlösungen liegt der Dokumentation nicht zugrunde.</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Alle Modelle verwenden die Zustände angenommen, in Diagnose, KVA offen, freigegeben, abgelehnt, Teile bestellt, in Reparatur, fertig und abgeholt. Je nach Ablauf werden einzelne Zustände übersprungen: Ohne Fehlteile entfällt „Teile bestellt“, ein Nacharbeitsauftrag beginnt ohne erneute Diagnose und KVA. Seit E-19 kann eine erfolglose zweite Nacharbeit aus „in Reparatur“ nach „abgelehnt“ führen. Das Klassendiagramm hält die Werte im Attribut status mit der Aufzählung AuftragStatus; Abbildung 2 zeigt die möglichen Übergänge.</w:t>
      </w:r>
    </w:p>
    <w:p>
      <w:pPr>
        <w:keepNext/>
        <w:spacing w:after="0" w:before="120"/>
        <w:jc w:val="center"/>
      </w:pPr>
      <w:r>
        <w:drawing>
          <wp:inline distT="0" distB="0" distL="0" distR="0">
            <wp:extent cx="4095750" cy="5438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438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commentRangeStart w:id="1"/>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RepairFlow legt mit Eingang der Anfrage eine Voranmeldung an.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den Vorschlag, wird die Voranmeldung als bestätigt markiert, und die benötigten Teile werden vorreserviert. Bei der Fehlerdiagnose in der Werkstatt werden die Daten übernommen, der Techniker prüft den Vorschlag und bestätigt oder korrigiert ihn. Unser Slogan dafür: KVA in 60 Sekunden.</w:t>
      </w:r>
      <w:commentRangeEnd w:id="1"/>
      <w:r>
        <w:rPr>
          <w:rStyle w:val="CommentReference"/>
        </w:rPr>
        <w:commentReference w:id="1"/>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Für die spätere Umsetzung ist als Anforderung vorgesehen, Medien nur mit Einwilligung des Kunden zu verarbeiten und nach Abschluss des Auftrags zu löschen.</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Beschreibung der Ist-Abläufe im fiktiven Pilotbetrieb, Ableitung der Soll-Prozesse mit RepairFlow, Festlegung der Prozessliste mit zehn Kollaborationsdiagrammen und der Namenskonventionen als gemeinsame Grundlage.</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Die aktuelle Fassung wird vor der Abgabe im Camunda Modeler geprüft und gespeichert.</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und Zustandsdiagramm des Reparaturauftrags. PlantUML-Quellen und XMI liegen vor; die Fertigstellung in Visual Paradigm und auf dem Teamwork-Server steht noch aus.</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und Abschlusspräsentation mit Zuordnung der Vortragenden; Vorbereitung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keepLines/>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Modelle enthalten Task-Definitionen für automatisierte Aktivitäten, Message-Subscriptions, ISO-Dauern für Timer und FEEL-Bedingungen. Verbindliche Quelle sind die .bpmn-Dateien; nach einer Änderung wird das PNG neu exportiert. Die abschließende Prüfung aller zehn Dateien im Modeler ist noch offen.</w:t>
      </w:r>
    </w:p>
    <w:p>
      <w:pPr>
        <w:pStyle w:val="ListParagraph"/>
        <w:numPr>
          <w:ilvl w:val="0"/>
          <w:numId w:val="2"/>
        </w:numPr>
        <w:spacing w:after="60" w:line="264"/>
        <w:keepLines/>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das finale UML-Projekt, mit dem DHBW-Teamwork-Server WWI25B4G1 als Zielrepository. Die XMI-Datei enthält das Klassen- und Use-Case-Modell für den Import. Sequenzdiagramme werden in Visual Paradigm als Unterdiagramme der jeweiligen Use Cases angelegt; die abzugebende VPP-Datei liegt noch nicht vor.</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keepLines/>
      </w:pPr>
      <w:commentRangeStart w:id="2"/>
      <w:r>
        <w:rPr>
          <w:rFonts w:ascii="Calibri" w:cs="Calibri" w:eastAsia="Calibri" w:hAnsi="Calibri"/>
          <w:b/>
          <w:bCs/>
          <w:sz w:val="22"/>
          <w:szCs w:val="22"/>
        </w:rPr>
        <w:t xml:space="preserve">PlantUML </w:t>
      </w:r>
      <w:r>
        <w:rPr>
          <w:rFonts w:ascii="Calibri" w:cs="Calibri" w:eastAsia="Calibri" w:hAnsi="Calibri"/>
          <w:sz w:val="22"/>
          <w:szCs w:val="22"/>
        </w:rPr>
        <w:t xml:space="preserve">als textuelle Quelle der UML-Diagramme im Verzeichnis uml/. Die PNGs werden aus der jeweils aktuellen .puml-Datei gerendert. Die frühere gemeinsame Modellgenerierung liegt seit dem Gruppenbeschluss E-21 in archiv/tools/ und wird nicht mehr zur Bearbeitung verwendet. Dokumentation und Folien werden direkt in Word und PowerPoint gepflegt.</w:t>
      </w:r>
      <w:commentRangeEnd w:id="2"/>
      <w:r>
        <w:rPr>
          <w:rStyle w:val="CommentReference"/>
        </w:rPr>
        <w:commentReference w:id="2"/>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Servicemitarbeiter, Techniker, Disponent und Werkstattleiter sind in BPMN Pool beziehungsweise Lanes (Kunde, Service / Annahme, Techniker, Ersatzteil-Disposition, Werkstattleitung), im Use-Case-Diagramm und in den Sequenzdiagrammen Akteure und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commentRangeStart w:id="3"/>
      <w:r>
        <w:rPr>
          <w:rFonts w:ascii="Calibri" w:cs="Calibri" w:eastAsia="Calibri" w:hAnsi="Calibri"/>
          <w:sz w:val="22"/>
          <w:szCs w:val="22"/>
        </w:rPr>
        <w:t xml:space="preserve">Jedes Artefakt durchläuft eine Definition of Done: eigener Branch mit aktuellem main-Stand, Pull Request, Review durch eine zweite Person und Abnahme anhand der QA-Checkliste. Jakob übernimmt die Qualitätssicherung und den Merge; bei UML gehört außerdem der Commit auf dem VP-Teamwork-Server dazu. Die seit dem 05.10.2026 gültige Liste steht in doku/qa-checkliste.md. Frühere Rohdiagramme wurden mit dem Camunda-Regelsatz und bpmnlint geprüft; die Skripte und damaligen Protokolle liegen im Archiv. Diese Ergebnisse ersetzen keine Prüfung späterer Änderungen. Für den aktuellen Stand sind das Öffnen, Prüfen und Speichern aller zehn BPMN-Dateien im Camunda Modeler sowie der Abschluss in Visual Paradigm noch ausstehend.</w:t>
      </w:r>
      <w:commentRangeEnd w:id="3"/>
      <w:r>
        <w:rPr>
          <w:rStyle w:val="CommentReference"/>
        </w:rPr>
        <w:commentReference w:id="3"/>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Noch offene Abweichungen werden in Abschnitt 5.4 benannt; Kapitel 6 beschreibt die bisherigen Korrekturen.</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wie in der Aufgabenstellung vorgesehen, eine Projektleitung, die Planung und Termine koordiniert.</w:t>
      </w:r>
    </w:p>
    <w:p>
      <w:pPr>
        <w:spacing w:after="120" w:line="276"/>
        <w:jc w:val="both"/>
      </w:pPr>
      <w:r>
        <w:rPr>
          <w:rFonts w:ascii="Calibri" w:cs="Calibri" w:eastAsia="Calibri" w:hAnsi="Calibri"/>
          <w:sz w:val="22"/>
          <w:szCs w:val="22"/>
        </w:rPr>
        <w:t xml:space="preserve">Als Sprint-Takt dienen die Gruppentermine in Präsenz (jeweils 4:15 Stunden): Für jeden Termin sind Sprint Review und Retrospektive des vorangegangenen Sprints sowie das Sprint Planning des nächsten vorgesehen; das Feedback des Dozenten aus dem Coaching wird direkt im Planning eingeplant. Zwischen den Terminen arbeiten wir asynchron: Abstimmungen laufen über eine WhatsApp-Gruppe, Dateien teilen wir ausschließlich über das GitHub-Repository.</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 und Planung</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Review-Korrekturen an BPMN und UML (E-15 bis E-20), sechs Sequenzdiagramme als PlantUML, aktualisierte Bilder und Dokumentation. Am 05.10. wurden die Grundentscheidungen bestätigt (E-21); die Übernahme in Visual Paradigm und offene QA-Befunde bleiben Aufgaben für Sprint 3.</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BPMN- und UML-Stand abschließen, VPP-Datei sichern, Dokumentationsplatzhalter füllen, Folien mit finalen Diagrammen und Sprechtexte. Das BPMN-ZIP wird zur Abgabe von Hand gepackt.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15 bis 20 Minuten im Plenum, alle Gruppenmitglieder tragen vor; Kapitel 6 und 7 abschließen; das vollständige Abgabe-Archiv über Moodle hochladen, jede Person separat</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vor Beginn main aktualisieren, keine direkten Commits auf main, ein Branch je Aufgabe, Pull Request mit Beschreibung, Review durch ein anderes Teammitglied und Merge durch den Qualitätsmanager.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in der aktuellen Kurzfassung doku/03-entscheidungen.md; der ausführliche frühere Verlauf liegt im Archiv, Rückmeldungen des Dozenten in einer eigenen Datei.</w:t>
      </w:r>
    </w:p>
    <w:p>
      <w:pPr>
        <w:spacing w:after="120" w:line="276"/>
        <w:jc w:val="both"/>
      </w:pPr>
      <w:r>
        <w:rPr>
          <w:rFonts w:ascii="Calibri" w:cs="Calibri" w:eastAsia="Calibri" w:hAnsi="Calibri"/>
          <w:sz w:val="22"/>
          <w:szCs w:val="22"/>
        </w:rPr>
        <w:t xml:space="preserve">Die BPMN-Modelle liegen ausschließlich im Git-Repository; Camunda Cloud wird nicht genutzt. Für UML ist der VP-Teamwork-Server das Zielrepository. Im Git liegen derzeit PlantUML-Quellen, PNGs und XMI; die lokale VPP-Sicherung wird nach der Fertigstellung ergänzt. Seit E-21 werden Word- und PowerPoint-Dateien direkt bearbeitet. Weil diese Dateien nicht automatisch zusammengeführt werden können, stimmt das Team die Bearbeitung vorher über WhatsApp ab; die Dateien selbst werden ausschließlich über GitHub geteilt.</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Zugang über das Lehre-VPN; nach der Fertigstellung regelmäßige lokale VPP-Sicherung über „Save Project As“, XMI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Folien und Sprecherzuordnung liegen im Repository; Vertretung vor der Generalprobe im Team abstimmen</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mit gleichnamigen PNGs vor. Zur Abgabe werden die zehn XML-Dateien von Hand als BPMN-WWI25B4-Gruppe1.zip gepackt und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(79 %)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(38 %)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17</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(65 %)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commentRangeStart w:id="4"/>
      <w:r>
        <w:rPr>
          <w:rFonts w:ascii="Calibri" w:cs="Calibri" w:eastAsia="Calibri" w:hAnsi="Calibri"/>
          <w:sz w:val="22"/>
          <w:szCs w:val="22"/>
        </w:rPr>
        <w:t xml:space="preserve">Insgesamt enthalten die zehn Werkstatt-Prozesse 131 Aktivitäten, im Durchschnitt 13,1 je Diagramm. Gezählt werden alle Task-Typen, Aufruf-Aktivitäten und der Mehrfach-Teilprozess einschließlich seiner enthaltenen Aktivitäten. Die Kundenabläufe kommen mit 26 weiteren Aktivitäten hinzu und sind in Tabelle 1 nicht mitgezählt. Dazu kommen 40 Nachrichtenflüsse sowie 48 Datenobjekt-Referenzen und zwölf Datenspeicherdefinitionen, zusammen 60; mehrere Referenzen auf denselben Speicher innerhalb eines Diagramms zählen dabei einmal. Jeder Prozess hat auf Prozessebene genau ein Start- und ein Endereignis.</w:t>
      </w:r>
      <w:commentRangeEnd w:id="4"/>
      <w:r>
        <w:rPr>
          <w:rStyle w:val="CommentReference"/>
        </w:rPr>
        <w:commentReference w:id="4"/>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kein eigener Pool, obwohl er im Systemkontext ein externer Dienst ist: RepairFlow ruft ihn synchron innerhalb der Geschäftsregel-Aktivität „KI-Diagnosevorschlag erstellen" auf,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Lieferanten-Rückmeldung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daraus legt RepairFlow sofort eine Voranmeldung an. Die Medien werden geprüft und vom KI-Dienst ausgewertet (bei nicht auswertbaren Medien fragt das System nach einer besseren Aufnahme, nach sieben Tagen ohne Antwort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bei nicht reproduzierbarem Fehler zusätzlich eine erweiterte Prüfung, und dokumentiert den Fehlerbefund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Nach der Prüfung durch den Service setzt RepairFlow den Auftrag auf „KVA offen", sendet den KVA und wartet auf Freigabe, Ablehnung oder eine dreitägige Frist. Bei jedem Fristablauf wird der Erinnerungszähler erhöht: Unter drei wird erneut gesendet, beim dritten Fristablauf wird der Auftrag abgelehnt. Nach Freigabe startet die Disposition (Prozess 05), nach Ablehnung folgt die Abholung mit Diagnosepauschale über Prozess 08.</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bei Bestand in einer anderen Filiale zusätzlich per Umlagerung angefordert, Fehlteile für die Bestellung markiert. Danach werden die Reservierungen bestätigt; ein unterschrittener Meldebestand erzeugt einen Nachbestellvorschlag. Der Service informiert den Kunden über den voraussichtlichen Reparaturbeginn. Nur Fehlteile lösen Prozess 06 direkt aus; ein Nachbestellvorschlag bleibt im Status Vorschlag und wird mit der nächsten Bestellung gebündelt, damit die Reparatur nicht auf Lagernachschub wartet.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Die Fehlteile eines Auftrags werden mit offenen Nachbestellvorschlägen gebündelt und beim Lieferanten bestellt, bei Überschreitung der Freigabegrenze nach Freigabe durch die Werkstattleitung. Kommt binnen 3 Tagen keine Auftragsbestätigung oder kann der Lieferant nicht liefern, wird die Bestellung storniert und ein alternativer Lieferant gesucht. Nach Auftragsbestätigung wird der Liefertermin am Auftrag hinterlegt (Status „Teile bestellt") und der Kunde bei Verzögerung informiert; bleibt die Lieferung 14 Tage aus, wird sie angemahnt und erneut gewartet. Eine Grenze für wiederholte Liefermahnungen ist bisher nicht modelliert und muss im Rahmen von E-20 festgelegt werden. Der Wareneingang wird geprüft und gebucht, mangelhafte Lieferungen gehen in die Retoure (Prozess 10). Eine Ersatzlieferung wird geprüft, bevor die Fehlteile dem Auftrag zugeordnet werden; bei Gutschrift wird neu bestellt, solange das Teil noch benötigt wird.</w:t>
      </w:r>
    </w:p>
    <w:p>
      <w:pPr>
        <w:spacing w:after="120" w:line="276"/>
        <w:jc w:val="both"/>
      </w:pPr>
      <w:commentRangeStart w:id="5"/>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mit Zeiterfassung ab. Bei einem Zusatzbefund entsteht ein Nachtrags-KVA. Nach Freigabe werden die zusätzlichen Teile über Prozess 05 disponiert und entnommen; Ablehnung oder drei Tage ohne Antwort führen zur Endkontrolle. Nach bestandener Endkontrolle setzt RepairFlow den Auftrag auf „fertig“. Bei Mängeln sind höchstens zwei Nacharbeiten vorgesehen; bleibt die zweite erfolglos, wird der Auftrag auf „abgelehnt“ gesetzt. Auch ein Nacharbeitsauftrag aus einer Reklamation (Prozess 09) läuft über diesen Prozess.</w:t>
      </w:r>
      <w:commentRangeEnd w:id="5"/>
      <w:r>
        <w:rPr>
          <w:rStyle w:val="CommentReference"/>
        </w:rPr>
        <w:commentReference w:id="5"/>
      </w:r>
    </w:p>
    <w:p>
      <w:pPr>
        <w:spacing w:after="120" w:line="276"/>
        <w:jc w:val="both"/>
      </w:pPr>
      <w:commentRangeStart w:id="6"/>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Für ein abholbereites Gerät entsteht die Rechnung aus KVA und Arbeitszeiten oder bei abgelehnten Aufträgen über die Diagnosepauschale; kostenfreie Nacharbeit wird ohne Rechnung abgewickelt. RepairFlow benachrichtigt den Kunden und erinnert alle 14 Tage. Nach der dritten Erinnerung wird eine Lagergebühr aufgenommen; beim vierten Fristablauf wird die Verwertung des Geräts eingeleitet. Bei regulärer Abholung werden Zahlungsart und Zahlung erfasst beziehungsweise die Rechnung mit Zahlungsziel versandt, danach das Gerät übergeben und der Auftrag auf „abgeholt“ gesetzt. Offene Rechnungen werden alle 14 Tage gemahnt. Bleibt die dritte Mahnung erfolglos, geht die Forderung an Inkasso; andernfalls wird die Zahlung verbucht und an die Buchhaltung übergeben. Im regulären Abschluss folgt eine Bewertungsanfrage. Die Verwertungs- und Mahngrenzen aus E-19 sind noch durch die Gruppe zu bestätigen.</w:t>
      </w:r>
      <w:commentRangeEnd w:id="6"/>
      <w:r>
        <w:rPr>
          <w:rStyle w:val="CommentReference"/>
        </w:rPr>
        <w:commentReference w:id="6"/>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erfasst, dem Ursprungsauftrag zugeordnet und das Gerät angenommen. Der Techniker prüft den Mangel, RepairFlow bewertet den Gewährleistungsfall. Die Werkstattleitung entscheidet über die kostenfreie Nacharbeit; andernfalls erhält der Kunde ein kostenpflichtiges Angebot. Nur nach Freigabe oder Angebotsannahme legt der Techniker einen Nacharbeitsauftrag an, der über Prozess 07 durchgeführt wird; defekte Lieferantenteile gehen in die Retoure (Prozess 10). Die Rückgabe des Geräts läuft in allen Zweigen über Prozess 08, danach wird die Reklamation geschlossen.</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fünf Tage aus, eskaliert die Werkstattleitung. Nach weiteren fünf Tagen ohne Freigabe wird das Teil abgeschrieben. Nach der Freigabe wird das Teil versendet, der Bestand korrigiert und je nach Rückmeldung eine Ersatzlieferung gebucht oder eine Gutschrift verbucht; ob danach neu bestellt wird, entscheidet der aufrufende Prozess 06. Im Ersatzpfad fehlt derzeit ein ausdrücklicher Empfang der Ersatzlieferung vor ihrer Buchung (offener Befund B12).</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131 Aktivitäten sind 79 automatisierte, regelbasierte, sendende oder empfangende Aktivitäten, also rund 60 Prozent. Weitere 33 Benutzer-Aktivitäten werden von Mitarbeitern in der Plattform ausgeführt. Neun manuelle Aktivitäten liegen außerhalb der Systemgrenze; neun Aktivitäten rufen einen anderen Prozess auf, und eine weitere ist der Mehrfach-Teilprozess. Die Software, die wir in der objektorientierten Analyse entwerfen, unterstützt und automatisiert damit den Reparaturauftrags-Lebenszyklus:</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Automatisierte Kundenkommunikation zu den vorgesehenen Prozessschritten: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commentRangeStart w:id="7"/>
      <w:r>
        <w:rPr>
          <w:rFonts w:ascii="Calibri" w:cs="Calibri" w:eastAsia="Calibri" w:hAnsi="Calibri"/>
          <w:sz w:val="22"/>
          <w:szCs w:val="22"/>
        </w:rPr>
        <w:t xml:space="preserve">Die objektorientierte Analyse folgt der Reihenfolge aus der Vorlesung: Use-Case-Diagramm, Klassendiagramm, Interaktionsdiagramme zu ausgewählten Use Cases und ergänzend ein Zustandsdiagramm des Reparaturauftrags. Der aktuelle Git-Stand enthält PlantUML-Quellen, PNGs und uml/modell.xmi mit Klassen- und Use-Case-Modell. Diese Modelle werden in Visual Paradigm importiert; die sechs Sequenzdiagramme sind dort als Unterdiagramme der zugehörigen Use Cases anzulegen. UML-WWI25B4-Gruppe1.vpp ist noch zu erstellen und in uml/ zu sichern.</w:t>
      </w:r>
      <w:commentRangeEnd w:id="7"/>
      <w:r>
        <w:rPr>
          <w:rStyle w:val="CommentReference"/>
        </w:rPr>
        <w:commentReference w:id="7"/>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4188973" cy="4581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88973" cy="4581525"/>
                    </a:xfrm>
                    <a:prstGeom prst="rect">
                      <a:avLst/>
                    </a:prstGeom>
                  </pic:spPr>
                </pic:pic>
              </a:graphicData>
            </a:graphic>
          </wp:inline>
        </w:drawing>
      </w:r>
    </w:p>
    <w:p>
      <w:pPr>
        <w:spacing w:after="200" w:before="60"/>
        <w:jc w:val="center"/>
      </w:pPr>
      <w:commentRangeStart w:id="10"/>
      <w:r>
        <w:rPr>
          <w:rFonts w:ascii="Calibri" w:cs="Calibri" w:eastAsia="Calibri" w:hAnsi="Calibri"/>
          <w:i/>
          <w:iCs/>
          <w:color w:val="595959"/>
          <w:sz w:val="18"/>
          <w:szCs w:val="18"/>
        </w:rPr>
        <w:t xml:space="preserve">Abbildung 3: Use-Case-Diagramm RepairFlow</w:t>
      </w:r>
      <w:commentRangeEnd w:id="10"/>
      <w:r>
        <w:rPr>
          <w:rStyle w:val="CommentReference"/>
        </w:rPr>
        <w:commentReference w:id="10"/>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schließen „Sofortdiagnose anfordern" und „Ersatzteile disponieren und reservieren" im erfolgreichen Hauptablauf „Ersatzteil-Verfügbarkeit prüfen" ein. „Reparaturauftrag anlegen" erweitert „Reklamation bearbeiten" nur bei freigegebener Nacharbeit oder angenommenem Angebot; bei Ablehnung entsteht kein neuer Auftrag. „Voranmeldung bestätigen" erweitert die Sofortdiagnose nur dann, wenn der Kunde den Vorschlag annimmt; „Diagnosevorschlag prüfen" bleibt ein eigener Use Case vor der Befunderfassung; Prozess 03 enthält dafür keine bedingte Verzweigung, deshalb wird keine extend-Beziehung behauptet; „Nachbestellvorschlag erzeugen" erweitert die Disposition bei unterschrittenem Meldebestand. „Lieferantenbestellung auslösen" erweitert sie, wenn Fehlteile vorhanden sind. „Retoure abwickeln" erweitert den Wareneingang bei mangelhafter Lieferung und die Reklamation bei einem defekten Lieferantenteil. Die Bedingungen und Erweiterungspunkte stehen auch in der XMI-Datei.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27 Klassen, darunter die abstrakten Klassen Person und Mitarbeiter, sowie sieben Aufzählungen und 36 Assoziationen. Es gibt genau ein vollständiges Klassendiagramm in Anhang C und im Repository (uml/klassen.png). Alle Klassen, Operationen und Beziehungen stehen in derselben Abbildung; zusätzliche Fokusdiagramme entfallen. In Visual Paradigm wird es aus der XMI-Datei aufgebaut.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erhält die Nacharbeit einen eigenen Auftragslebenszyklus,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zeigen Klassenobjekte und beteiligte Akteure. Klassenbotschaften verwenden die Operationen des Klassendiagramms; Antworten, Konstruktoren und Nachrichten an menschliche oder externe Akteure werden gesondert dargestellt. Kombinierte Fragmente bilden Verzweigungen, optionale Schritte, Schleifen und parallele Teileprüfungen ab.</w:t>
      </w:r>
    </w:p>
    <w:p>
      <w:pPr>
        <w:keepNext/>
        <w:spacing w:after="0" w:before="120"/>
        <w:jc w:val="center"/>
      </w:pPr>
      <w:r>
        <w:drawing>
          <wp:inline distT="0" distB="0" distL="0" distR="0">
            <wp:extent cx="3800475" cy="4953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0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SD1 – Sofortdiagnose anfordern (UC01)</w:t>
      </w:r>
    </w:p>
    <w:p>
      <w:pPr>
        <w:spacing w:after="120" w:line="276"/>
        <w:jc w:val="both"/>
      </w:pPr>
      <w:r>
        <w:rPr>
          <w:rFonts w:ascii="Calibri" w:cs="Calibri" w:eastAsia="Calibri" w:hAnsi="Calibri"/>
          <w:sz w:val="22"/>
          <w:szCs w:val="22"/>
        </w:rPr>
        <w:t xml:space="preserve">SD1 folgt Prozess 01: RepairFlow legt die Voranmeldung an und prüft die Medienqualität. Nicht auswertbare Aufnahmen können nachgereicht werden; sieben Tage ohne neue Aufnahme beenden den Ablauf. Erst danach wertet der KI-Dienst die Medien aus. Vorab-KVA, Verfügbarkeit und Filialauslastung führen zum Terminvorschlag. Bestätigung, Terminablehnung und sieben Tage ohne Entscheidung sind getrennte Pfade; verfügbare Teile werden erst nach Bestätigung vorreserviert.</w:t>
      </w:r>
    </w:p>
    <w:p>
      <w:pPr>
        <w:keepNext/>
        <w:spacing w:after="0" w:before="120"/>
        <w:jc w:val="center"/>
      </w:pPr>
      <w:r>
        <w:drawing>
          <wp:inline distT="0" distB="0" distL="0" distR="0">
            <wp:extent cx="3000375" cy="4572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00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SD2 – KVA freigeben / ablehnen (UC07)</w:t>
      </w:r>
    </w:p>
    <w:p>
      <w:pPr>
        <w:spacing w:after="120" w:line="276"/>
        <w:jc w:val="both"/>
      </w:pPr>
      <w:r>
        <w:rPr>
          <w:rFonts w:ascii="Calibri" w:cs="Calibri" w:eastAsia="Calibri" w:hAnsi="Calibri"/>
          <w:sz w:val="22"/>
          <w:szCs w:val="22"/>
        </w:rPr>
        <w:t xml:space="preserve">SD2 übernimmt Positionen und Ersatzteilpreise aus UC06, die Prüfung durch Service / Annahme und den Status „KVA offen". Alle drei Tage ohne Antwort wird ein Fristablauf protokolliert; vor dem dritten Ablauf wird der KVA mit Erinnerung erneut gesendet. Freigabe startet Prozess 05. Eine echte Kundenablehnung und der dritte Fristablauf sind getrennte Pfade zur Abholung über Prozess 08; der Timeout wird nicht als Kundenbotschaft dargestellt.</w:t>
      </w:r>
    </w:p>
    <w:p>
      <w:pPr>
        <w:keepNext/>
        <w:spacing w:after="0" w:before="120"/>
        <w:jc w:val="center"/>
      </w:pPr>
      <w:r>
        <w:drawing>
          <wp:inline distT="0" distB="0" distL="0" distR="0">
            <wp:extent cx="4943475" cy="4953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43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SD3 – Ersatzteile disponieren und reservieren (UC09)</w:t>
      </w:r>
    </w:p>
    <w:p>
      <w:pPr>
        <w:spacing w:after="120" w:line="276"/>
        <w:jc w:val="both"/>
      </w:pPr>
      <w:r>
        <w:rPr>
          <w:rFonts w:ascii="Calibri" w:cs="Calibri" w:eastAsia="Calibri" w:hAnsi="Calibri"/>
          <w:sz w:val="22"/>
          <w:szCs w:val="22"/>
        </w:rPr>
        <w:t xml:space="preserve">SD3 zeigt den parallelen Mehrfach-Teilprozess je Ersatzteil: eigene Filiale, andere Filialen mit Umlagerung oder Fehlteil markieren. Danach folgen die Bestätigung aller Reservierungen und die Meldebestandsprüfung mit optionalem Nachbestellvorschlag (UC12). Der Servicemitarbeiter ermittelt den Reparaturbeginn und informiert den Kunden. Erst dann startet bei Fehlteilen UC10, ein Nachbestellvorschlag allein löst keine Bestellung aus; der Status „Teile bestellt" folgt erst nach bestätigter Bestellung in SD6.</w:t>
      </w:r>
    </w:p>
    <w:p>
      <w:pPr>
        <w:keepNext/>
        <w:spacing w:after="0" w:before="120"/>
        <w:jc w:val="center"/>
      </w:pPr>
      <w:r>
        <w:drawing>
          <wp:inline distT="0" distB="0" distL="0" distR="0">
            <wp:extent cx="3238500" cy="4191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SD4 – Auftrag fertigmelden (UC14)</w:t>
      </w:r>
    </w:p>
    <w:p>
      <w:pPr>
        <w:spacing w:after="120" w:line="276"/>
        <w:jc w:val="both"/>
      </w:pPr>
      <w:commentRangeStart w:id="8"/>
      <w:r>
        <w:rPr>
          <w:rFonts w:ascii="Calibri" w:cs="Calibri" w:eastAsia="Calibri" w:hAnsi="Calibri"/>
          <w:sz w:val="22"/>
          <w:szCs w:val="22"/>
        </w:rPr>
        <w:t xml:space="preserve">SD4 knüpft die Fertigmeldung an abgeschlossene Reparaturschritte und bestandene Endkontrolle. Der Verweis auf UC13 umfasst Schritte, Arbeitszeiten und einen möglichen Nachtrags-KVA; Ablehnung oder drei Tage ohne Antwort führen zur Endkontrolle. Die dargestellte Fassung ist noch nicht vollständig an E-19 angepasst: Im freigegebenen Nachtrag fehlen die Teile-Disposition über Prozess 05, in der Endkontrollschleife der Abbruch nach der zweiten erfolglosen Nacharbeit. Diese Ergänzungen sind für SD4 noch offen. Abholbenachrichtigung und Rechnung gehören zu UC15 in Prozess 08.</w:t>
      </w:r>
      <w:commentRangeEnd w:id="8"/>
      <w:r>
        <w:rPr>
          <w:rStyle w:val="CommentReference"/>
        </w:rPr>
        <w:commentReference w:id="8"/>
      </w:r>
    </w:p>
    <w:p>
      <w:pPr>
        <w:keepNext/>
        <w:spacing w:after="0" w:before="120"/>
        <w:jc w:val="center"/>
      </w:pPr>
      <w:r>
        <w:drawing>
          <wp:inline distT="0" distB="0" distL="0" distR="0">
            <wp:extent cx="3933825" cy="4572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SD5 – Reklamation bearbeiten (UC16)</w:t>
      </w:r>
    </w:p>
    <w:p>
      <w:pPr>
        <w:spacing w:after="120" w:line="276"/>
        <w:jc w:val="both"/>
      </w:pPr>
      <w:r>
        <w:rPr>
          <w:rFonts w:ascii="Calibri" w:cs="Calibri" w:eastAsia="Calibri" w:hAnsi="Calibri"/>
          <w:sz w:val="22"/>
          <w:szCs w:val="22"/>
        </w:rPr>
        <w:t xml:space="preserve">SD5 zeigt Geräteannahme, Mangelprüfung durch den Techniker und Gewährleistungsbewertung am Ursprungsauftrag. Die Werkstattleitung gibt kostenfreie Nacharbeit frei; sonst entscheidet der Kunde über das Angebot. Nur bei Freigabe oder Annahme legt der Techniker den Nacharbeitsauftrag an. Darauf folgen Prozess 07, gegebenenfalls Prozess 10 bei defektem Lieferantenteil und in allen Pfaden Prozess 08 zur Abholung. Erst danach wird die Reklamation abgeschlossen.</w:t>
      </w:r>
    </w:p>
    <w:p>
      <w:pPr>
        <w:keepNext/>
        <w:spacing w:after="0" w:before="120"/>
        <w:jc w:val="center"/>
      </w:pPr>
      <w:r>
        <w:drawing>
          <wp:inline distT="0" distB="0" distL="0" distR="0">
            <wp:extent cx="3381375" cy="4572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81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SD6 – Lieferantenbestellung auslösen (UC10, mit Verweis auf UC12)</w:t>
      </w:r>
    </w:p>
    <w:p>
      <w:pPr>
        <w:spacing w:after="120" w:line="276"/>
        <w:jc w:val="both"/>
      </w:pPr>
      <w:r>
        <w:rPr>
          <w:rFonts w:ascii="Calibri" w:cs="Calibri" w:eastAsia="Calibri" w:hAnsi="Calibri"/>
          <w:sz w:val="22"/>
          <w:szCs w:val="22"/>
        </w:rPr>
        <w:t xml:space="preserve">SD6 bündelt den Bestellbedarf aus Prozess 05, wählt einen Lieferanten und legt eine Bestellung mit Positionen an. Oberhalb der Freigabegrenze ist die Freigabe durch die Werkstattleitung erforderlich. Nur eine bestätigte und lieferbare Bestellung setzt bei auftragsbezogenen Fehlteilen den Status „Teile bestellt"; Verzögerungen werden dem Kunden mitgeteilt. Nicht lieferbare oder binnen drei Tagen nicht bestätigte Bestellungen werden storniert, ein alternativer Lieferant wird gesucht. Die Lieferwartezeit beträgt 14 Tage, danach wird angemahnt und weiter gewartet; die Abbruchgrenze ist noch offen. UC11 verfeinert Lieferung und Wareneingang, bei Mängeln mit UC19 Retoure. Ohne Ersatz wird nur erneut bestellt, solange das Teil noch benötigt wird. Eine Zusammenführung mit offenen Bestellungen wird nicht behauptet, weil Prozess 06 diesen Pfad nicht enthält.</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Modelle werden über gemeinsame Namen, Rollen und Statuswerte abgeglichen. BPMN-Datenobjekte tragen die Klassennamen, bei Bedarf mit Zustand in eckigen Klammern. Der Pool Kunde und die Werkstatt-Lanes entsprechen den Akteuren Kunde, Servicemitarbeiter, Techniker, Disponent und Werkstattleiter sowie den Rollenklassen. Die Auftragszustände folgen AuftragStatus; „abgelehnt“ wird in Prozess 03, 04 und seit E-19 auch in Prozess 07 gesetzt, „angenommen“ in Prozess 02 und bei einem neuen Nacharbeitsauftrag in Prozess 09. Tabelle 2 zeigt die fachliche Zuordnung; sie belegt noch keinen vollständig abgeschlossenen Abgleich.</w:t>
      </w:r>
    </w:p>
    <w:p>
      <w:pPr>
        <w:spacing w:after="120" w:line="276"/>
        <w:jc w:val="both"/>
        <w:keepLines/>
      </w:pPr>
      <w:r>
        <w:rPr>
          <w:rFonts w:ascii="Calibri" w:cs="Calibri" w:eastAsia="Calibri" w:hAnsi="Calibri"/>
          <w:sz w:val="22"/>
          <w:szCs w:val="22"/>
        </w:rPr>
        <w:t xml:space="preserve">Offen sind im Stand vom 05.10.2026 die Anpassung von SD4 an den Nachtrags- und Abbruchpfad in P07, die Begrenzung der Liefermahnungen in P06 und der Empfang der Ersatzlieferung vor der Buchung in P10. E-19 und E-20 sind außerdem noch durch die Gruppe zu bestätigen; für verwertete Geräte ist ein möglicher zusätzlicher AuftragStatus ungeklärt. Die QA-Checkliste führt diese Punkte. Die Diagrammbilder entsprechen den aktuell eingecheckten PNGs.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 UC10 bei Fehlteilen</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Servicemitarbeiter,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 aus P05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 UC09 bei freigegebenem Nachtrag</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 (Abgleich offen)</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 nur bei Nacharbeit; UC19 bei defektem Teil</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die für den damaligen Stand dokumentierten Linter-Prüfungen ohne Befund passiert haben;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(archiv/doku/05-vergleich-und-zusammenfuehrung.md).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 Eine Gesamtprüfung aller Modelle am 05.10.2026 (E-17) zeigte danach Lücken zwischen den Prozessen, etwa dass abgelehnte Aufträge nie abgeholt wurden und Warteschleifen keinen Ausstieg hatten; die Rückgaben laufen seitdem über Prozess 08, und Wartesituationen haben modellierte Fristen. In Prozess 06 führt der Liefer-Timer allerdings nur zur Mahnung und zurück in die Warteschleife; ein endgültiger Ausstieg ist noch festzulegen.</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Die Rohentwürfe wurden deshalb aus einer gemeinsamen Modellbeschreibung erzeugt. Seit E-21 werden die aktiven Quellen direkt bearbeitet; Namen, Operationen und Beziehungen müssen nach Änderungen erneut gegeneinander geprüft werden. Der noch offene Abgleich von SD4 zeigt, warum diese Prüfung erforderlich bleibt.</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diese Anreicherung dient der technischen Modellprüfung. Eine Ausführung der gesamten Prozesskette in einer Camunda-Engine ist damit nicht nachgewiesen.</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bisherigen Review-Befunde zeigen, wie viel Abstimmung nötig ist, damit Prozessmodell, Use Cases und Klassenmodell zusammenpassen. Für die abschließende Bewertung der Fallstudie sammeln wir die persönlichen Rückmeldungen aller Gruppenmitglieder und die Erfahrungen aus den weiteren Coaching-Terminen.</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commentRangeStart w:id="9"/>
      <w:r>
        <w:rPr>
          <w:rFonts w:ascii="Calibri" w:cs="Calibri" w:eastAsia="Calibri" w:hAnsi="Calibri"/>
          <w:sz w:val="22"/>
          <w:szCs w:val="22"/>
        </w:rPr>
        <w:t xml:space="preserve">Zur Abgabe wird das vollständige Archiv Fallstudie-WWI25B4-Gruppe1.zip zusammengestellt. Vorgesehen sind:</w:t>
      </w:r>
      <w:commentRangeEnd w:id="9"/>
      <w:r>
        <w:rPr>
          <w:rStyle w:val="CommentReference"/>
        </w:rPr>
        <w:commentReference w:id="9"/>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Noch zu erstellendes Visual-Paradigm-Projekt mit Use-Case-, genau einem Klassen- und sechs Sequenzdiagrammen, ergänzend dem Zustandsdiagramm. XMI liefert das Klassen- und Use-Case-Modell; Sequenzdiagramme werden in VP angelegt. Die finale VPP-Datei wird in uml/ gesichert.</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6"/>
          <w:footerReference w:type="default" r:id="rId7"/>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03 Fehlerdiagnose (Pools: Werkstattbetrieb, Kunde)</w:t>
      </w:r>
    </w:p>
    <w:p>
      <w:r>
        <w:br w:type="page"/>
      </w:r>
    </w:p>
    <w:p>
      <w:pPr>
        <w:keepNext/>
        <w:spacing w:after="0" w:before="120"/>
        <w:jc w:val="center"/>
      </w:pPr>
      <w:r>
        <w:drawing>
          <wp:inline distT="0" distB="0" distL="0" distR="0">
            <wp:extent cx="9144000" cy="3752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04 Kostenvoranschlag und Kundenfreigabe (Pools: Werkstattbetrieb, Kunde)</w:t>
      </w:r>
    </w:p>
    <w:p>
      <w:r>
        <w:br w:type="page"/>
      </w:r>
    </w:p>
    <w:p>
      <w:pPr>
        <w:keepNext/>
        <w:spacing w:after="0" w:before="120"/>
        <w:jc w:val="center"/>
      </w:pPr>
      <w:r>
        <w:drawing>
          <wp:inline distT="0" distB="0" distL="0" distR="0">
            <wp:extent cx="9144000" cy="23050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3050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05 Ersatzteil-Verfügbarkeit und Reservierung (Pools: Werkstattbetrieb, Kunde)</w:t>
      </w:r>
    </w:p>
    <w:p>
      <w:r>
        <w:br w:type="page"/>
      </w:r>
    </w:p>
    <w:p>
      <w:pPr>
        <w:keepNext/>
        <w:spacing w:after="0" w:before="120"/>
        <w:jc w:val="center"/>
      </w:pPr>
      <w:r>
        <w:drawing>
          <wp:inline distT="0" distB="0" distL="0" distR="0">
            <wp:extent cx="9144000" cy="2400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4003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06 Ersatzteil-Bestellung beim Lieferanten (Pools: Werkstattbetrieb, Lieferant, Kunde)</w:t>
      </w:r>
    </w:p>
    <w:p>
      <w:r>
        <w:br w:type="page"/>
      </w:r>
    </w:p>
    <w:p>
      <w:pPr>
        <w:keepNext/>
        <w:spacing w:after="0" w:before="120"/>
        <w:jc w:val="center"/>
      </w:pPr>
      <w:r>
        <w:drawing>
          <wp:inline distT="0" distB="0" distL="0" distR="0">
            <wp:extent cx="9144000" cy="2600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600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07 Reparaturdurchführung und Arbeitszeiterfassung (Pools: Werkstattbetrieb, Kunde)</w:t>
      </w:r>
    </w:p>
    <w:p>
      <w:r>
        <w:br w:type="page"/>
      </w:r>
    </w:p>
    <w:p>
      <w:pPr>
        <w:keepNext/>
        <w:spacing w:after="0" w:before="120"/>
        <w:jc w:val="center"/>
      </w:pPr>
      <w:r>
        <w:drawing>
          <wp:inline distT="0" distB="0" distL="0" distR="0">
            <wp:extent cx="9144000" cy="2505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5050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09 Reklamation und Gewährleistung (Pools: Werkstattbetrieb, Kunde)</w:t>
      </w:r>
    </w:p>
    <w:p>
      <w:r>
        <w:br w:type="page"/>
      </w:r>
    </w:p>
    <w:p>
      <w:pPr>
        <w:keepNext/>
        <w:spacing w:after="0" w:before="120"/>
        <w:jc w:val="center"/>
      </w:pPr>
      <w:r>
        <w:drawing>
          <wp:inline distT="0" distB="0" distL="0" distR="0">
            <wp:extent cx="9144000" cy="27051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705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5324475" cy="4953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24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Klassendiagramm cd : RepairFlow mit allen 27 Klassen, 7 Aufzählungen und 36 Assoziationen</w:t>
      </w:r>
    </w:p>
    <w:sectPr>
      <w:headerReference w:type="default" r:id="rId8"/>
      <w:footerReference w:type="default" r:id="rId9"/>
      <w:pgSz w:w="16838" w:h="11906" w:orient="landscape"/>
      <w:pgMar w:top="1000" w:right="1100" w:bottom="900" w:left="1100" w:header="708" w:footer="708" w:gutter="0"/>
      <w:pgNumType/>
      <w:docGrid w:linePitch="360"/>
    </w:sectPr>
  </w:body>
</w:document>
</file>

<file path=word/comments.xml><?xml version="1.0" encoding="utf-8"?>
<w:comments xmlns:w="http://schemas.openxmlformats.org/wordprocessingml/2006/main">
  <w:comment w:id="0" w:author="David Leismann" w:initials="DL" w:date="2026-10-05T10:03:10Z">
    <w:p>
      <w:r>
        <w:t>Zuständigkeit laut doku/protokolle/2026-10-05-gruppentermin.md: David SD2/SD4/SD5/SD6, Kilian SD1/SD3. Dies ist die Aufgabenverteilung, kein Nachweis tatsächlicher Einzelbeiträge; der gelbe Platzhalter bleibt bestehen.</w:t>
      </w:r>
    </w:p>
  </w:comment>
  <w:comment w:id="1" w:author="David Leismann" w:initials="DL" w:date="2026-10-05T10:03:10Z">
    <w:p>
      <w:r>
        <w:t>Mit P01 und SD1 abgeglichen: Die Voranmeldung wird bei Eingang der Anfrage angelegt; bei Annahme des Vorschlags wird sie bestätigt.</w:t>
      </w:r>
    </w:p>
  </w:comment>
  <w:comment w:id="2" w:author="David Leismann" w:initials="DL" w:date="2026-10-05T10:03:10Z">
    <w:p>
      <w:r>
        <w:t>E-21: Aktive .bpmn/.puml-Dateien direkt bearbeiten, Generatoren nur im Archiv; Office-Dateien direkt pflegen.</w:t>
      </w:r>
    </w:p>
  </w:comment>
  <w:comment w:id="3" w:author="David Leismann" w:initials="DL" w:date="2026-10-05T10:03:10Z">
    <w:p>
      <w:r>
        <w:t>Abgleich mit main cc329e1 vom 05.10.2026. QA-Checkliste ist seit 05.10. gültig. Historische Linter-Ergebnisse sind keine Bestätigung für spätere Modelländerungen; Camunda-/VP-Abschluss bleibt offen.</w:t>
      </w:r>
    </w:p>
  </w:comment>
  <w:comment w:id="4" w:author="David Leismann" w:initials="DL" w:date="2026-10-05T10:03:10Z">
    <w:p>
      <w:r>
        <w:t>Aktuelle BPMN-XML nachgezählt: 131 Werkstatt-Aktivitäten, 79 automatisiert, 33 User Tasks, 9 Manual Tasks, 9 Call Activities, 1 Subprozess; 26 Kundenaktivitäten, 40 Nachrichtenflüsse, 48 Datenobjekt-Referenzen und 12 Datenspeicherdefinitionen.</w:t>
      </w:r>
    </w:p>
  </w:comment>
  <w:comment w:id="5" w:author="David Leismann" w:initials="DL" w:date="2026-10-05T10:03:10Z">
    <w:p>
      <w:r>
        <w:t>Quelle: P07 GW07_Grenze / T07_Abbruch / T07_Teile (E-19). Der Text beschreibt die aktuelle BPMN-Fassung; die fehlenden Ergänzungen in SD4 sind im Abschnitt zum Sequenzdiagramm und in 5.4 ausdrücklich offengelegt.</w:t>
      </w:r>
    </w:p>
  </w:comment>
  <w:comment w:id="6" w:author="David Leismann" w:initials="DL" w:date="2026-10-05T10:03:10Z">
    <w:p>
      <w:r>
        <w:t>Quelle: P08 GW08_Dritte / T08_Verwertung / GW08_Mahnstufe / T08_Inkasso (E-19). Die Gruppenbestätigung der Grenzwerte und ein möglicher Status für verwertete Geräte stehen noch aus.</w:t>
      </w:r>
    </w:p>
  </w:comment>
  <w:comment w:id="7" w:author="David Leismann" w:initials="DL" w:date="2026-10-05T10:03:10Z">
    <w:p>
      <w:r>
        <w:t>uml/modell.xmi enthält Klassen und Use Cases, keine sechs Sequenzdiagramme. Im aktuellen Git-Stand gibt es keine .vpp; deren Fertigstellung ist weiterhin Aufgabe von Kilian und David.</w:t>
      </w:r>
    </w:p>
  </w:comment>
  <w:comment w:id="8" w:author="David Leismann" w:initials="DL" w:date="2026-10-05T10:03:10Z">
    <w:p>
      <w:r>
        <w:t>Offene QA-Befunde Q2/Q3: SD4 wurde in diesem Dokumentationsabgleich nicht verändert. Die Doku nennt die tatsächliche Abweichung zu P07, statt einen abgeschlossenen Modellabgleich zu behaupten.</w:t>
      </w:r>
    </w:p>
  </w:comment>
  <w:comment w:id="9" w:author="David Leismann" w:initials="DL" w:date="2026-10-05T10:03:10Z">
    <w:p>
      <w:r>
        <w:t>E-21 und abgabe/README.md: BPMN-ZIP zur Abgabe von Hand packen. Das Abgabe-Archiv und die finale VPP-Datei werden hier als vorgesehen beschrieben.</w:t>
      </w:r>
    </w:p>
  </w:comment>
  <w:comment w:id="10" w:author="David Leismann" w:initials="DL" w:date="2026-10-05T10:03:10Z">
    <w:p>
      <w:r>
        <w:t>Das PNG auf main war oben abgeschnitten. Aus der unveränderten usecase.puml mit PlantUML 1.2026.8 vollständig neu exportiert und proportional eingebettet. Alle acht Akteure und 19 Use Cases sind enthalten; die aktualisierte PNG-Datei wird zusammen mit der Doku im Repository abgelegt.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12" Type="http://schemas.openxmlformats.org/officeDocument/2006/relationships/image" Target="media/80f9df417d37dec2d797149a62cc268a0a6db1b7.png"/><Relationship Id="rId13" Type="http://schemas.openxmlformats.org/officeDocument/2006/relationships/image" Target="media/d1d41a90e55f399d423313a2cc09f34deb8988a6.png"/><Relationship Id="rId14" Type="http://schemas.openxmlformats.org/officeDocument/2006/relationships/image" Target="media/37f36d51a93770381da15a87fa9bd48b596ba69b.png"/><Relationship Id="rId15" Type="http://schemas.openxmlformats.org/officeDocument/2006/relationships/image" Target="media/294f0f3fe469a4c0d7c833184582151ee1ab3e03.png"/><Relationship Id="rId16" Type="http://schemas.openxmlformats.org/officeDocument/2006/relationships/image" Target="media/11a0c2fe931b9fcc48ddb15e8cdfd1fea8fed605.png"/><Relationship Id="rId17" Type="http://schemas.openxmlformats.org/officeDocument/2006/relationships/image" Target="media/38e5de919292f39312c65f8d37a97eb17fd5f00c.png"/><Relationship Id="rId18" Type="http://schemas.openxmlformats.org/officeDocument/2006/relationships/image" Target="media/6e6d4ddb48b253b68e6b06c43c09c59f2d671e29.png"/><Relationship Id="rId19" Type="http://schemas.openxmlformats.org/officeDocument/2006/relationships/image" Target="media/a5eca7de5fa4434157315ad80ffffc3eb4abb380.png"/><Relationship Id="rId20" Type="http://schemas.openxmlformats.org/officeDocument/2006/relationships/image" Target="media/86b6c83b1409475cb8a663efe9e35a0713c341ad.png"/><Relationship Id="rId21" Type="http://schemas.openxmlformats.org/officeDocument/2006/relationships/image" Target="media/a138c8262cca5aec886abd06361d4692c7836926.png"/><Relationship Id="rId22" Type="http://schemas.openxmlformats.org/officeDocument/2006/relationships/image" Target="media/b3e54ce6bf2b9c53ada8e818dfdf00453a69268e.png"/><Relationship Id="rId23" Type="http://schemas.openxmlformats.org/officeDocument/2006/relationships/image" Target="media/cf431306389b14b92da8711c4c9082a824146b45.png"/><Relationship Id="rId24" Type="http://schemas.openxmlformats.org/officeDocument/2006/relationships/image" Target="media/d7065cdeb23af1b4d852920c7b500d7b7723143c.png"/><Relationship Id="rId25" Type="http://schemas.openxmlformats.org/officeDocument/2006/relationships/image" Target="media/f6c4644a37f704555594db8d98d05c3139cd7e28.png"/><Relationship Id="rId26" Type="http://schemas.openxmlformats.org/officeDocument/2006/relationships/image" Target="media/de39026c6bd813cee621afd7be1e52c850522e65.png"/><Relationship Id="rId27" Type="http://schemas.openxmlformats.org/officeDocument/2006/relationships/image" Target="media/2a08f7f2c3ca018b8be9a12c08468fd398680065.png"/><Relationship Id="rId28" Type="http://schemas.openxmlformats.org/officeDocument/2006/relationships/image" Target="media/322a52ec316878ad29d747f3f149c323965ed071.png"/><Relationship Id="rId29" Type="http://schemas.openxmlformats.org/officeDocument/2006/relationships/image" Target="media/3dfcf27ffbd1d012ab0a08b4561fe8488abd0f5d.png"/><Relationship Id="rId30" Type="http://schemas.openxmlformats.org/officeDocument/2006/relationships/image" Target="media/89ffadb71f52f746f5229a8a2c1cf472845e030f.png"/><Relationship Id="rId31" Type="http://schemas.openxmlformats.org/officeDocument/2006/relationships/fontTable" Target="fontTable.xml"/><Relationship Id="rId32" Type="http://schemas.openxmlformats.org/officeDocument/2006/relationships/comments" Target="comment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David Leismann</cp:lastModifiedBy>
  <cp:revision>1</cp:revision>
  <dcterms:created xsi:type="dcterms:W3CDTF">2026-10-05T09:30:36.646Z</dcterms:created>
  <dcterms:modified xsi:type="dcterms:W3CDTF">2026-10-05T10:03:10Z</dcterms:modified>
</cp:coreProperties>
</file>

<file path=docProps/custom.xml><?xml version="1.0" encoding="utf-8"?>
<Properties xmlns="http://schemas.openxmlformats.org/officeDocument/2006/custom-properties" xmlns:vt="http://schemas.openxmlformats.org/officeDocument/2006/docPropsVTypes"/>
</file>