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tab/>
        <w:t>2</w:t>
      </w:r>
    </w:p>
    <w:p w14:paraId="6AC55036" w14:textId="77777777" w:rsidR="00570CD3" w:rsidRDefault="004E0540">
      <w:pPr>
        <w:tabs>
          <w:tab w:val="right" w:leader="dot" w:pos="9026"/>
        </w:tabs>
        <w:spacing w:after="40"/>
      </w:pPr>
      <w:r>
        <w:rPr>
          <w:b/>
          <w:bCs/>
        </w:rPr>
        <w:t>2 Das Projekt RepairFlow</w:t>
        <w:tab/>
        <w:t>3</w:t>
      </w:r>
    </w:p>
    <w:p w14:paraId="2EA31D8E" w14:textId="77777777" w:rsidR="00570CD3" w:rsidRDefault="004E0540">
      <w:pPr>
        <w:tabs>
          <w:tab w:val="right" w:leader="dot" w:pos="9026"/>
        </w:tabs>
        <w:spacing w:after="40"/>
        <w:ind w:left="400"/>
      </w:pPr>
      <w:r>
        <w:rPr>
          <w:sz w:val="20"/>
          <w:szCs w:val="20"/>
        </w:rPr>
        <w:t>2.1 Ausgangslage und Problem</w:t>
        <w:tab/>
        <w:t>3</w:t>
      </w:r>
    </w:p>
    <w:p w14:paraId="42B1A6AE" w14:textId="77777777" w:rsidR="00570CD3" w:rsidRDefault="004E0540">
      <w:pPr>
        <w:tabs>
          <w:tab w:val="right" w:leader="dot" w:pos="9026"/>
        </w:tabs>
        <w:spacing w:after="40"/>
        <w:ind w:left="400"/>
      </w:pPr>
      <w:r>
        <w:rPr>
          <w:sz w:val="20"/>
          <w:szCs w:val="20"/>
        </w:rPr>
        <w:t>2.2 RepairFlow als Solution Provider</w:t>
        <w:tab/>
        <w:t>3</w:t>
      </w:r>
    </w:p>
    <w:p w14:paraId="34542FBD" w14:textId="77777777" w:rsidR="00570CD3" w:rsidRDefault="004E0540">
      <w:pPr>
        <w:tabs>
          <w:tab w:val="right" w:leader="dot" w:pos="9026"/>
        </w:tabs>
        <w:spacing w:after="40"/>
        <w:ind w:left="400"/>
      </w:pPr>
      <w:r>
        <w:rPr>
          <w:sz w:val="20"/>
          <w:szCs w:val="20"/>
        </w:rPr>
        <w:t>2.3 Systemkontext und Systemgrenze</w:t>
        <w:tab/>
        <w:t>3</w:t>
      </w:r>
    </w:p>
    <w:p w14:paraId="1CB826ED" w14:textId="77777777" w:rsidR="00570CD3" w:rsidRDefault="004E0540">
      <w:pPr>
        <w:tabs>
          <w:tab w:val="right" w:leader="dot" w:pos="9026"/>
        </w:tabs>
        <w:spacing w:after="40"/>
        <w:ind w:left="400"/>
      </w:pPr>
      <w:r>
        <w:rPr>
          <w:sz w:val="20"/>
          <w:szCs w:val="20"/>
        </w:rPr>
        <w:t>2.4 Der Reparaturauftrag als roter Faden</w:t>
        <w:tab/>
        <w:t>4</w:t>
      </w:r>
    </w:p>
    <w:p w14:paraId="5FBA0D97" w14:textId="77777777" w:rsidR="00570CD3" w:rsidRDefault="004E0540">
      <w:pPr>
        <w:tabs>
          <w:tab w:val="right" w:leader="dot" w:pos="9026"/>
        </w:tabs>
        <w:spacing w:after="40"/>
        <w:ind w:left="400"/>
        <w:rPr>
          <w:sz w:val="20"/>
          <w:szCs w:val="20"/>
        </w:rPr>
      </w:pPr>
      <w:r>
        <w:rPr>
          <w:sz w:val="20"/>
          <w:szCs w:val="20"/>
        </w:rPr>
        <w:t>2.5 Alleinstellungsmerkmal: die KI-Sofortdiagnose</w:t>
        <w:tab/>
        <w:t>4</w:t>
      </w:r>
    </w:p>
    <w:p w14:paraId="067F41A1" w14:textId="388A246F" w:rsidR="005F444F" w:rsidRDefault="005F444F">
      <w:pPr>
        <w:tabs>
          <w:tab w:val="right" w:leader="dot" w:pos="9026"/>
        </w:tabs>
        <w:spacing w:after="40"/>
        <w:ind w:left="400"/>
      </w:pPr>
      <w:r>
        <w:rPr>
          <w:sz w:val="20"/>
          <w:szCs w:val="20"/>
        </w:rPr>
        <w:t>2.6 Ausblick</w:t>
        <w:tab/>
        <w:t>5</w:t>
      </w:r>
    </w:p>
    <w:p w14:paraId="7FA83C3C" w14:textId="77777777" w:rsidR="00570CD3" w:rsidRDefault="004E0540">
      <w:pPr>
        <w:tabs>
          <w:tab w:val="right" w:leader="dot" w:pos="9026"/>
        </w:tabs>
        <w:spacing w:after="40"/>
      </w:pPr>
      <w:r>
        <w:rPr>
          <w:b/>
          <w:bCs/>
        </w:rPr>
        <w:t>3 Vorgehen bei der Umsetzung</w:t>
        <w:tab/>
        <w:t>5</w:t>
      </w:r>
    </w:p>
    <w:p w14:paraId="741BB697" w14:textId="77777777" w:rsidR="00570CD3" w:rsidRDefault="004E0540">
      <w:pPr>
        <w:tabs>
          <w:tab w:val="right" w:leader="dot" w:pos="9026"/>
        </w:tabs>
        <w:spacing w:after="40"/>
        <w:ind w:left="400"/>
      </w:pPr>
      <w:r>
        <w:rPr>
          <w:sz w:val="20"/>
          <w:szCs w:val="20"/>
        </w:rPr>
        <w:t>3.1 Werkzeuge und Konventionen</w:t>
        <w:tab/>
        <w:t>5</w:t>
      </w:r>
    </w:p>
    <w:p w14:paraId="6638B52A" w14:textId="77777777" w:rsidR="00570CD3" w:rsidRDefault="004E0540">
      <w:pPr>
        <w:tabs>
          <w:tab w:val="right" w:leader="dot" w:pos="9026"/>
        </w:tabs>
        <w:spacing w:after="40"/>
        <w:ind w:left="400"/>
      </w:pPr>
      <w:r>
        <w:rPr>
          <w:sz w:val="20"/>
          <w:szCs w:val="20"/>
        </w:rPr>
        <w:t>3.2 Qualitätssicherung</w:t>
        <w:tab/>
        <w:t>6</w:t>
      </w:r>
    </w:p>
    <w:p w14:paraId="288B0545" w14:textId="77777777" w:rsidR="00570CD3" w:rsidRDefault="004E0540">
      <w:pPr>
        <w:tabs>
          <w:tab w:val="right" w:leader="dot" w:pos="9026"/>
        </w:tabs>
        <w:spacing w:after="40"/>
      </w:pPr>
      <w:r>
        <w:rPr>
          <w:b/>
          <w:bCs/>
        </w:rPr>
        <w:t>4 Projektmanagement</w:t>
        <w:tab/>
        <w:t>6</w:t>
      </w:r>
    </w:p>
    <w:p w14:paraId="7855E8F4" w14:textId="77777777" w:rsidR="00570CD3" w:rsidRDefault="004E0540">
      <w:pPr>
        <w:tabs>
          <w:tab w:val="right" w:leader="dot" w:pos="9026"/>
        </w:tabs>
        <w:spacing w:after="40"/>
        <w:ind w:left="400"/>
      </w:pPr>
      <w:r>
        <w:rPr>
          <w:sz w:val="20"/>
          <w:szCs w:val="20"/>
        </w:rPr>
        <w:t>4.1 Vorgehensmodell und Kommunikation</w:t>
        <w:tab/>
        <w:t>6</w:t>
      </w:r>
    </w:p>
    <w:p w14:paraId="12D6BE06" w14:textId="77777777" w:rsidR="00570CD3" w:rsidRDefault="004E0540">
      <w:pPr>
        <w:tabs>
          <w:tab w:val="right" w:leader="dot" w:pos="9026"/>
        </w:tabs>
        <w:spacing w:after="40"/>
        <w:ind w:left="400"/>
      </w:pPr>
      <w:r>
        <w:rPr>
          <w:sz w:val="20"/>
          <w:szCs w:val="20"/>
        </w:rPr>
        <w:t>4.2 Sprintplan und Verlauf</w:t>
        <w:tab/>
        <w:t>7</w:t>
      </w:r>
    </w:p>
    <w:p w14:paraId="53449683" w14:textId="77777777" w:rsidR="00570CD3" w:rsidRDefault="004E0540">
      <w:pPr>
        <w:tabs>
          <w:tab w:val="right" w:leader="dot" w:pos="9026"/>
        </w:tabs>
        <w:spacing w:after="40"/>
        <w:ind w:left="400"/>
      </w:pPr>
      <w:r>
        <w:rPr>
          <w:sz w:val="20"/>
          <w:szCs w:val="20"/>
        </w:rPr>
        <w:t>4.3 Aufgabensteuerung und Repository</w:t>
        <w:tab/>
        <w:t>7</w:t>
      </w:r>
    </w:p>
    <w:p w14:paraId="094F117C" w14:textId="77777777" w:rsidR="00570CD3" w:rsidRDefault="004E0540">
      <w:pPr>
        <w:tabs>
          <w:tab w:val="right" w:leader="dot" w:pos="9026"/>
        </w:tabs>
        <w:spacing w:after="40"/>
        <w:ind w:left="400"/>
      </w:pPr>
      <w:r>
        <w:rPr>
          <w:sz w:val="20"/>
          <w:szCs w:val="20"/>
        </w:rPr>
        <w:t>4.4 Risiken</w:t>
        <w:tab/>
        <w:t>7</w:t>
      </w:r>
    </w:p>
    <w:p w14:paraId="395E791F" w14:textId="77777777" w:rsidR="00570CD3" w:rsidRDefault="004E0540">
      <w:pPr>
        <w:tabs>
          <w:tab w:val="right" w:leader="dot" w:pos="9026"/>
        </w:tabs>
        <w:spacing w:after="40"/>
      </w:pPr>
      <w:r>
        <w:rPr>
          <w:b/>
          <w:bCs/>
        </w:rPr>
        <w:t>5 Überblick über die erstellten Artefakte</w:t>
        <w:tab/>
        <w:t>8</w:t>
      </w:r>
    </w:p>
    <w:p w14:paraId="78596124" w14:textId="77777777" w:rsidR="00570CD3" w:rsidRDefault="004E0540">
      <w:pPr>
        <w:tabs>
          <w:tab w:val="right" w:leader="dot" w:pos="9026"/>
        </w:tabs>
        <w:spacing w:after="40"/>
        <w:ind w:left="400"/>
      </w:pPr>
      <w:r>
        <w:rPr>
          <w:sz w:val="20"/>
          <w:szCs w:val="20"/>
        </w:rPr>
        <w:t>5.1 Geschäftsprozessmodell (BPMN)</w:t>
        <w:tab/>
        <w:t>8</w:t>
      </w:r>
    </w:p>
    <w:p w14:paraId="17F09BD7" w14:textId="77777777" w:rsidR="00570CD3" w:rsidRDefault="004E0540">
      <w:pPr>
        <w:tabs>
          <w:tab w:val="right" w:leader="dot" w:pos="9026"/>
        </w:tabs>
        <w:spacing w:after="40"/>
        <w:ind w:left="400"/>
      </w:pPr>
      <w:r>
        <w:rPr>
          <w:sz w:val="20"/>
          <w:szCs w:val="20"/>
        </w:rPr>
        <w:t>5.2 Automatisierungspotential</w:t>
        <w:tab/>
        <w:t>11</w:t>
      </w:r>
    </w:p>
    <w:p w14:paraId="04974107" w14:textId="77777777" w:rsidR="00570CD3" w:rsidRDefault="004E0540">
      <w:pPr>
        <w:tabs>
          <w:tab w:val="right" w:leader="dot" w:pos="9026"/>
        </w:tabs>
        <w:spacing w:after="40"/>
        <w:ind w:left="400"/>
      </w:pPr>
      <w:r>
        <w:rPr>
          <w:sz w:val="20"/>
          <w:szCs w:val="20"/>
        </w:rPr>
        <w:t>5.3 Use-Case-Diagramm</w:t>
        <w:tab/>
        <w:t>12</w:t>
      </w:r>
    </w:p>
    <w:p w14:paraId="39A66CAE" w14:textId="65F6688A" w:rsidR="00570CD3" w:rsidRDefault="004E0540">
      <w:pPr>
        <w:tabs>
          <w:tab w:val="right" w:leader="dot" w:pos="9026"/>
        </w:tabs>
        <w:spacing w:after="40"/>
        <w:ind w:left="400"/>
      </w:pPr>
      <w:r>
        <w:rPr>
          <w:sz w:val="20"/>
          <w:szCs w:val="20"/>
        </w:rPr>
        <w:t>5.4 Klassendiagramm</w:t>
        <w:tab/>
        <w:t>15</w:t>
      </w:r>
    </w:p>
    <w:p w14:paraId="40A41F76" w14:textId="77777777" w:rsidR="00570CD3" w:rsidRDefault="004E0540">
      <w:pPr>
        <w:tabs>
          <w:tab w:val="right" w:leader="dot" w:pos="9026"/>
        </w:tabs>
        <w:spacing w:after="40"/>
        <w:ind w:left="400"/>
      </w:pPr>
      <w:r>
        <w:rPr>
          <w:sz w:val="20"/>
          <w:szCs w:val="20"/>
        </w:rPr>
        <w:t>5.5 Sequenzdiagramme</w:t>
        <w:tab/>
        <w:t>17</w:t>
      </w:r>
    </w:p>
    <w:p w14:paraId="7357B9F2" w14:textId="77777777" w:rsidR="00570CD3" w:rsidRDefault="004E0540">
      <w:pPr>
        <w:tabs>
          <w:tab w:val="right" w:leader="dot" w:pos="9026"/>
        </w:tabs>
        <w:spacing w:after="40"/>
        <w:ind w:left="400"/>
      </w:pPr>
      <w:r>
        <w:rPr>
          <w:sz w:val="20"/>
          <w:szCs w:val="20"/>
        </w:rPr>
        <w:t>5.6 Konsistenz zwischen den Modellen</w:t>
        <w:tab/>
        <w:t>18</w:t>
      </w:r>
    </w:p>
    <w:p w14:paraId="07856F14" w14:textId="250E95E9" w:rsidR="00570CD3" w:rsidRDefault="004E0540">
      <w:pPr>
        <w:tabs>
          <w:tab w:val="right" w:leader="dot" w:pos="9026"/>
        </w:tabs>
        <w:spacing w:after="40"/>
      </w:pPr>
      <w:r>
        <w:rPr>
          <w:b/>
          <w:bCs/>
        </w:rPr>
        <w:t>6 Probleme und Herausforderungen</w:t>
        <w:tab/>
        <w:t>19</w:t>
      </w:r>
    </w:p>
    <w:p w14:paraId="250316FA" w14:textId="1902E35C" w:rsidR="00570CD3" w:rsidRDefault="004E0540">
      <w:pPr>
        <w:tabs>
          <w:tab w:val="right" w:leader="dot" w:pos="9026"/>
        </w:tabs>
        <w:spacing w:after="40"/>
      </w:pPr>
      <w:r>
        <w:rPr>
          <w:b/>
          <w:bCs/>
        </w:rPr>
        <w:t>7 Feedback</w:t>
        <w:tab/>
        <w:t>20</w:t>
      </w:r>
    </w:p>
    <w:p w14:paraId="02953DF4" w14:textId="11B0F33A" w:rsidR="00570CD3" w:rsidRDefault="004E0540">
      <w:pPr>
        <w:tabs>
          <w:tab w:val="right" w:leader="dot" w:pos="9026"/>
        </w:tabs>
        <w:spacing w:after="40"/>
        <w:ind w:left="400"/>
      </w:pPr>
      <w:r>
        <w:rPr>
          <w:sz w:val="20"/>
          <w:szCs w:val="20"/>
        </w:rPr>
        <w:t>7.1 Feedback des Dozenten und Umsetzung</w:t>
        <w:tab/>
        <w:t>20</w:t>
      </w:r>
    </w:p>
    <w:p w14:paraId="327677E8" w14:textId="77777777" w:rsidR="00570CD3" w:rsidRDefault="004E0540">
      <w:pPr>
        <w:tabs>
          <w:tab w:val="right" w:leader="dot" w:pos="9026"/>
        </w:tabs>
        <w:spacing w:after="40"/>
        <w:ind w:left="400"/>
      </w:pPr>
      <w:r>
        <w:rPr>
          <w:sz w:val="20"/>
          <w:szCs w:val="20"/>
        </w:rPr>
        <w:t>7.2 Unser Feedback zur Fallstudie</w:t>
        <w:tab/>
        <w:t>21</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UML</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Erstellung der BPMN-Diagramme 07 und 08, Redaktion der Projektdokumentation (Kapitel, Abbildungen, Inhaltsverzeichnis, PDF), Zusammenstellung des Abgabe-Archivs.</w:t>
      </w:r>
    </w:p>
    <w:p w14:paraId="3E63842F" w14:textId="219C1BFF" w:rsidR="00570CD3" w:rsidRDefault="004E0540">
      <w:pPr>
        <w:pStyle w:val="Listenabsatz"/>
        <w:numPr>
          <w:ilvl w:val="0"/>
          <w:numId w:val="2"/>
        </w:numPr>
        <w:spacing w:after="60" w:line="264" w:lineRule="auto"/>
      </w:pPr>
      <w:r>
        <w:rPr>
          <w:b/>
          <w:bCs/>
        </w:rPr>
        <w:t xml:space="preserve">David Leismann: </w:t>
      </w:r>
      <w:r>
        <w:t xml:space="preserve">Erstellung der BPMN-Diagramme 03 und 04, Abgleich der Use Cases und Sequenzdiagramme mit den Prozessen, Überarbeitung der Prozesse 05 und 06, Use-Case-Diagramm mit Rollenstruktur sowie SD5 und SD6 in Visual Paradigm, Klassendiagramm.</w:t>
      </w:r>
    </w:p>
    <w:p w14:paraId="0AD2C343" w14:textId="1AAC637D" w:rsidR="00570CD3" w:rsidRDefault="004E0540">
      <w:pPr>
        <w:pStyle w:val="Listenabsatz"/>
        <w:numPr>
          <w:ilvl w:val="0"/>
          <w:numId w:val="2"/>
        </w:numPr>
        <w:spacing w:after="60" w:line="264" w:lineRule="auto"/>
      </w:pPr>
      <w:r>
        <w:rPr>
          <w:b/>
          <w:bCs/>
        </w:rPr>
        <w:t xml:space="preserve">Adrian Wenzler: </w:t>
      </w:r>
      <w:r>
        <w:t xml:space="preserve">Erstellung der BPMN-Diagramme 05 und 06, Fachkonzept (Ausgangslage, Solution Provider, Systemkontext, Zustandsautomat, KI-Sofortdiagnose), Pflege des Entscheidungslogs und Abstimmung der Prozessänderungen mit der Gruppe, Automatisierungspotential, Probleme und Herausforderungen.</w:t>
      </w:r>
    </w:p>
    <w:p w14:paraId="1D7E8EF6" w14:textId="6FC196CC" w:rsidR="00961AD4" w:rsidRDefault="004E0540" w:rsidP="00961AD4">
      <w:pPr>
        <w:pStyle w:val="Listenabsatz"/>
        <w:numPr>
          <w:ilvl w:val="0"/>
          <w:numId w:val="2"/>
        </w:numPr>
        <w:spacing w:after="60" w:line="264" w:lineRule="auto"/>
      </w:pPr>
      <w:r>
        <w:rPr>
          <w:b/>
          <w:bCs/>
        </w:rPr>
        <w:t xml:space="preserve">Kilian Platter: </w:t>
      </w:r>
      <w:r>
        <w:t xml:space="preserve">Erstellung des BPMN-Diagramms 10, von Klassendiagramm und Sequenzdiagrammen SD1 bis SD4 in Visual Paradigm, Visual-Paradigm-Projekt und Konsistenzprüfung der Sequenzdiagramme gegen das Klassendiagramm, Sprint-Rituale und Trello-Board.</w:t>
      </w:r>
    </w:p>
    <w:p w14:paraId="6A9E1432" w14:textId="01686886" w:rsidR="00570CD3" w:rsidRDefault="004E0540" w:rsidP="00961AD4">
      <w:pPr>
        <w:pStyle w:val="Listenabsatz"/>
        <w:numPr>
          <w:ilvl w:val="0"/>
          <w:numId w:val="2"/>
        </w:numPr>
        <w:spacing w:after="60" w:line="264" w:lineRule="auto"/>
      </w:pPr>
      <w:r>
        <w:rPr>
          <w:b/>
          <w:bCs/>
        </w:rPr>
        <w:t xml:space="preserve">Maximilian Ewald: </w:t>
      </w:r>
      <w:r>
        <w:t xml:space="preserve">Erstellung der BPMN-Diagramme 01, 02 und 09, alle zehn BPMN-Dateien im Camunda Modeler (Anreicherung für Camunda 8, Prüfung im Problems-Panel, PNG-Export), Prozesskennzahlen und Beschreibung der Prozesse, Erstellung der PowerPoint-Präsentation.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521710CA"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 Funktionsvergleich mit bestehenden Werkstattlösungen war nicht Gegenstand der Fallstudie; das Alleinstellungsmerkmal begründen wir in Abschnitt 2.5.</w:t>
      </w:r>
    </w:p>
    <w:p w14:paraId="1C398ED7" w14:textId="1EEF049D" w:rsidR="00A63415" w:rsidRDefault="00A63415">
      <w:pPr>
        <w:spacing w:after="120" w:line="276" w:lineRule="auto"/>
        <w:jc w:val="both"/>
      </w:pPr>
      <w:r>
        <w:t>Jedes der vier Probleme aus Abschnitt 2.1 greift ein Modul auf. Die fehlende Kundeninformation löst das Kundenportal: Der Kunde gibt den KVA in der App frei und wird benachrichtigt, sobald sein Gerät abholbereit ist (Prozesse 04 und 08, UC07 und UC15). Den fehlenden zentralen Status ersetzt der Reparaturauftrag im Auftrags- und Werkstattmodul, dessen Zustände alle Prozesse teilen (Abschnitt 2.4, UC03 und UC14). Gegen getrennte Bestellungen je Filiale prüft das Dispositionsmodul zuerst die Bestände aller Filialen und bestellt nur Fehlteile (Prozesse 05 und 06, UC08 bis UC10). Die Auslastung der Techniker macht die Terminplanung sichtbar, in der die Werkstattleitung Termine vergibt und Techniker zuweist (Prozess 02, UC17).</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 xml:space="preserve">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w:t>
        <w:lastRenderedPageBreak/>
        <w:t>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drawing>
          <wp:inline distT="0" distB="0" distL="0" distR="0" wp14:anchorId="5524A09C" wp14:editId="3DA087AB">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w:t>
        <w:lastRenderedPageBreak/>
        <w:t>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13B90541" w14:textId="77777777" w:rsidR="0047165F" w:rsidRDefault="00763EAC" w:rsidP="00763EAC">
      <w:pPr>
        <w:pStyle w:val="berschrift2"/>
        <w:keepNext/>
      </w:pPr>
      <w:r>
        <w:t xml:space="preserve">2.6 Ausblick</w:t>
      </w:r>
    </w:p>
    <w:p w14:paraId="440FBEB2" w14:textId="784CE858" w:rsidR="00763EAC" w:rsidRPr="00CA64B9" w:rsidRDefault="00CA64B9" w:rsidP="00D605B5">
      <w:pPr>
        <w:spacing w:line="276" w:lineRule="auto"/>
        <w:jc w:val="both"/>
        <w:rPr>
          <w:b/>
          <w:bCs/>
        </w:rPr>
      </w:pPr>
      <w:r>
        <w:t>Über die modellierten Prozesse hinaus sehen wir drei Erweiterungen, die auf den Daten der Plattform aufbauen. Eine KI-gestützte Disposition prognostiziert den Bedarf je Filiale und Saison, damit Teile vor der Nachfrage im Lager liegen. Ein Techniker-Copilot schlägt Reparaturschritte und den Aufwand aus der Historie ähnlicher Aufträge vor. Eine digitale Geräteakte bewahrt die Reparaturgeschichte jedes Geräts über alle Filialen und Besitzer hinweg. Diese Erweiterungen sind nicht Gegenstand der Modelle.</w:t>
      </w:r>
      <w:r>
        <w:rPr>
          <w:b/>
          <w:bCs/>
        </w:rPr>
      </w:r>
    </w:p>
    <w:p w14:paraId="3247EABE" w14:textId="77777777" w:rsidR="00570CD3" w:rsidRDefault="004E0540">
      <w:pPr>
        <w:pStyle w:val="berschrift1"/>
        <w:keepNext/>
        <w:spacing w:after="120"/>
      </w:pPr>
      <w:r>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lastRenderedPageBreak/>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eingeplant“).</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jeder direkt ausgelöste Use Case hat genau eine Rolle als Hauptakteur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 xml:space="preserve">Den Takt geben die vier Gruppentermine in Präsenz vor (jeweils 4:15 Stunden). Jeder Termin verbindet Review und Retrospektive des vergangenen Sprints mit dem Planning des nächsten, und Hinweise aus dem Coaching fließen direkt in die Planung ein. Tabelle 3 zeigt den Verlauf der vier Sprints. Zwischen den Terminen arbeiten wir asynchron. Abgestimmt wird in einer WhatsApp-Gruppe, Dateien teilen wir nur über das GitHub-Repository.</w:t>
      </w:r>
    </w:p>
    <w:p w14:paraId="361B5E70" w14:textId="77777777" w:rsidR="00570CD3" w:rsidRDefault="004E0540">
      <w:pPr>
        <w:pStyle w:val="berschrift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QA-Befunde behoben, Zuständigkeiten für die Fertigstellung festgelegt, Use-Case-Diagramm nach dem Dozentenhinweis auf Rollen umgestellt.</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A5FA5A5" w:rsidR="00570CD3" w:rsidRPr="00C067BF" w:rsidRDefault="009F3BAD">
            <w:pPr>
              <w:keepNext/>
              <w:spacing w:after="40" w:line="252" w:lineRule="auto"/>
              <w:rPr>
                <w:sz w:val="19"/>
                <w:szCs w:val="19"/>
              </w:rPr>
            </w:pPr>
            <w:r>
              <w:rPr>
                <w:color w:val="000000"/>
                <w:sz w:val="19"/>
                <w:szCs w:val="19"/>
              </w:rPr>
              <w:t>Generalprobe durchgeführt; nach dem Coaching am 22.10. Oberflächenklassen in Klassen- und Sequenzdiagrammen ergänzt.</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3F2408A9" w:rsidR="00570CD3" w:rsidRPr="005351C4" w:rsidRDefault="004E0540">
            <w:pPr>
              <w:keepNext/>
              <w:spacing w:after="40" w:line="252" w:lineRule="auto"/>
            </w:pPr>
            <w:r>
              <w:rPr>
                <w:color w:val="000000"/>
                <w:sz w:val="19"/>
                <w:szCs w:val="19"/>
              </w:rPr>
              <w:t xml:space="preserve">Präsentation am 27.10.2026, Abgabe bis 13.11.2026 über Moodle. Weitere Anpassungen in VP und Dokumentation.</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lastRenderedPageBreak/>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29 Aktivitäten in den Abläufen des Kunden, 49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lastRenderedPageBreak/>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eingeplant</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Teilebedarf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Gerät abholbereit</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oder eine Nacharbeit aus einer Reklamation (09) startet die Disposition (05), Fehlteile lösen die Bestellung aus (06), und die Rückgabe jedes Geräts läuft über Prozess 08, auch nach einer Ablehnung oder Reklamation. Prozess 07 endet deshalb mit „Gerät abholbereit“, dem Startereignis von Prozess 08.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t xml:space="preserve">01 KI-Sofortdiagnose und Voranmeldung. </w:t>
      </w:r>
      <w:r>
        <w:t xml:space="preserve">Aus Foto, Video oder Ton des Kunden entstehen Voranmeldung, KI-Diagnosevorschlag, vorläufiger KVA und Terminvorschlag. Nicht auswertbare </w:t>
        <w:lastRenderedPageBreak/>
        <w:t>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 Dann erhält der Kunde eine Reparaturabsage, und der KVA verfällt auch in seinem Ablauf. Nach einer Freigabe wartet der Kunde auf den Reparaturbeginn; sind nicht alle Teile beschaffbar, erhält er stattdessen eine Reparaturabsage.</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 Ist ein Lieferantenteil defekt, wird es nach der Abholung über Prozess 10 retourniert, der Kunde wartet nicht darauf.</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Kommt das Teil aus dem Wareneingang (Prozess 06), prüft und bucht Prozess 06 die Ersatzlieferung; kommt es aus einer Reklamation (Prozess 09), war es bereits verbaut, und die Ersatzlieferung geht als normaler Wareneingang ins Lager.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52EF33BC">
            <wp:extent cx="5782310" cy="2130559"/>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055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16659AC5">
            <wp:extent cx="5782310" cy="2223289"/>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3289"/>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537F6E4" w14:textId="10D469BB" w:rsidR="0084751E" w:rsidRDefault="0084751E" w:rsidP="00CC484B">
      <w:pPr>
        <w:spacing w:after="60" w:line="264" w:lineRule="auto"/>
        <w:jc w:val="both"/>
      </w:pPr>
      <w:r>
        <w:t xml:space="preserve">Manuell bleiben bewusst die neun Arbeiten am Gerät und an der Ware: Sichtprüfung, Kennzeichnen und Einlagern sowie der Transport zu einer anderen Filiale bei der Annahme, die Reparatur und Nacharbeit selbst, die Mangelprüfung bei einer Reklamation, das Holen aus dem Lager und die Übergabe an den Kunden sowie das Verpacken und Versenden einer Retoure. Sie liegen nach Abschnitt 2.3 außerhalb der Systemgrenze; RepairFlow erfasst nur ihr Ergebnis, zum Beispiel den Reparaturschritt mit Arbeitszeit.</w:t>
      </w:r>
    </w:p>
    <w:p w14:paraId="10200AE1" w14:textId="77777777" w:rsidR="00570CD3" w:rsidRDefault="004E0540">
      <w:pPr>
        <w:pStyle w:val="berschrift2"/>
        <w:keepNext/>
      </w:pPr>
      <w:r>
        <w:lastRenderedPageBreak/>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direkt ausgelöste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Business Rule Task „KI-Diagnosevorschlag erstellen“ in Prozess 01 (Lane Service / Annahme)</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lastRenderedPageBreak/>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558F1C3A" w14:textId="2C249390" w:rsidR="00384D70" w:rsidRDefault="004E0540" w:rsidP="00CB7D8F">
      <w:pPr>
        <w:spacing w:before="60" w:after="200"/>
        <w:jc w:val="center"/>
        <w:rPr>
          <w:i/>
          <w:iCs/>
          <w:color w:val="595959"/>
          <w:sz w:val="18"/>
          <w:szCs w:val="18"/>
        </w:rPr>
      </w:pPr>
      <w:r>
        <w:rPr>
          <w:i/>
          <w:iCs/>
          <w:color w:val="595959"/>
          <w:sz w:val="18"/>
          <w:szCs w:val="18"/>
        </w:rPr>
        <w:t xml:space="preserve">Abbildung 4: Use-Case-Diagramm RepairFlow</w:t>
        <w:br/>
      </w:r>
    </w:p>
    <w:p w14:paraId="68E4EDD0" w14:textId="77777777" w:rsidR="00CB7D8F" w:rsidRDefault="00CB7D8F" w:rsidP="00CB7D8F">
      <w:pPr>
        <w:spacing w:before="60" w:after="200"/>
        <w:jc w:val="center"/>
      </w:pPr>
    </w:p>
    <w:p w14:paraId="01CB825E" w14:textId="6E3AD062" w:rsidR="00570CD3" w:rsidRDefault="004E0540">
      <w:pPr>
        <w:pStyle w:val="berschrift2"/>
        <w:keepNext/>
      </w:pPr>
      <w:r>
        <w:lastRenderedPageBreak/>
        <w:t>5.4 Klassendiagramm</w:t>
      </w:r>
    </w:p>
    <w:p w14:paraId="77550E43" w14:textId="04D290E1" w:rsidR="00570CD3" w:rsidRDefault="004E0540">
      <w:pPr>
        <w:spacing w:after="120" w:line="276" w:lineRule="auto"/>
        <w:jc w:val="both"/>
      </w:pPr>
      <w:r>
        <w:t xml:space="preserve">Das Klassendiagramm (Abbildung 5) umfasst 29 Klassen, darunter die abstrakten Klassen Person und Mitarbeiter, sowie sieben Aufzählungen und 40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Pr>
          <w:b/>
          <w:bCs/>
        </w:rPr>
        <w:t xml:space="preserve">Oberflächen als Klassen. </w:t>
      </w:r>
      <w:r>
        <w:t xml:space="preserve">Zwischen den Benutzern und den Fachobjekten stehen zwei Oberflächenklassen: Der Kunde arbeitet in der KundenApp, die Mitarbeiter in der Werkstattoberfläche. Ihre Methoden entsprechen den Aktionen der Benutzer, zum Beispiel gibKvaFrei() oder meldeFertig(). Ein Benutzer gibt dabei keine Objekte ein, sondern Merkmale wie die Auftragsnummer. Die Oberfläche sucht das Objekt über den Werkstattbetrieb, der als Mandant alle Aufträge und Reklamationen seiner Filialen kennt (sucheAuftrag()), und arbeitet mit dem zurückgegebenen Objekt weiter. Der Kunde findet über sucheAuftrag() nur seine eigenen Aufträge.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Pr>
          <w:b/>
        </w:rPr>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A6FDDA">
            <wp:extent cx="7578721" cy="5750609"/>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0609"/>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für dessen Freigaben es im Use-Case-Diagramm keine eigene Rolle gibt, erscheint als Objekt seiner Klasse (:Werkstattleiter) mit seinen Operationen. Die Rolle spricht nie direkt mit dem Fachobjekt, sondern immer mit der Oberfläche (:KundenApp oder :Werkstattoberflaeche). Die Oberfläche öffnet das benötigte Objekt über seine Nummer, ruft dessen Operationen auf und zeigt das Ergebnis an (anzeigenErgebnis()). Wo zwischen zwei Schritten Zeit vergeht, etwa nach einer Nacharbeit, wird das Objekt neu gesucht. Der Lieferant liegt außerhalb des Systems, Nachrichten an ihn sind in SD6 Lost bzw. Found Messages. Die übrigen Lebenslinien sind Objekte der Klassen, Botschaften an Objekte sind Operationen des Klassendiagramms. Kombinierte Fragmente bilden Verzweigungen (alt, opt), Schleifen (loop)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 xml:space="preserve">Medienprüfung mit Nachreichen; ohne neue Aufnahme nach sieben Tagen wird die Voranmeldung verworfen, sonst KI-Vorschlag, vorläufiger KVA, Vorreservierung erst nach Bestätigung. 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mit Reparaturabsage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nur bei zu wenig eigenem Bestand, sonst Fehlteil; Vorreservierung aus der Sofortdiagnose; Meldebestand; Reparaturbeginn nur bei der ersten Disposition;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und Gewährleistung; sonst Angebot an den Kunden mit Annahme, Ablehnung oder drei Tagen ohne Antwort. Vor der Nacharbeit Disposition (ref UC09), bei nicht beschaffbaren Teilen Absage über die Werkstattoberfläche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ohne Bestätigung innerhalb von drei Tagen oder nach zwei erfolglosen Mahnungen Storno, sonst Wareneingang; Nachrichten an den Lieferanten als Lost Messages, die Auftragsbestätigung als Found Message</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33E880EE">
            <wp:extent cx="5782310" cy="4071513"/>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071513"/>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6271697B">
            <wp:extent cx="5782310" cy="3682770"/>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3682770"/>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Ausnahmen zeigt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t xml:space="preserve">Eine Kontrolle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wir konnten Visual Paradigm nicht nutzen. Die gesamte UML-Arbeit lag damit bei zwei Personen, die übrigen haben die Diagramme anhand der Exporte geprüft. Dazu kommt, dass der Teamwork-Server der DHBW nur über das Lehre-VPN erreichbar ist.</w:t>
      </w:r>
    </w:p>
    <w:p w14:paraId="736D1023" w14:textId="77777777" w:rsidR="0051613C" w:rsidRDefault="00371E82">
      <w:pPr>
        <w:spacing w:after="120" w:line="276" w:lineRule="auto"/>
        <w:jc w:val="both"/>
      </w:pPr>
      <w:r>
        <w:rPr>
          <w:b/>
          <w:bCs/>
        </w:rPr>
        <w:t xml:space="preserve">Überschriebene Diagramme. </w:t>
      </w:r>
      <w:r>
        <w:t>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w:t>
      </w:r>
    </w:p>
    <w:p w14:paraId="3A10FC39" w14:textId="77777777" w:rsidR="0051613C" w:rsidRDefault="00371E82">
      <w:pPr>
        <w:spacing w:after="120" w:line="276" w:lineRule="auto"/>
        <w:jc w:val="both"/>
      </w:pPr>
      <w:r>
        <w:rPr>
          <w:b/>
          <w:bCs/>
        </w:rPr>
        <w:t xml:space="preserve">Camunda Modeler. </w:t>
      </w:r>
      <w:r>
        <w:t>Der Modeler meldet für Camunda 8 fehlende technische Angaben wie Task-Definitionen oder Timer-Ausdrücke als Fehler. Wir haben die Diagramme entsprechend ergänzt, bis das Problems-Panel keine Einträge mehr zeigte.</w:t>
      </w:r>
    </w:p>
    <w:p w14:paraId="38A8EF59" w14:textId="27BF6DF5" w:rsidR="00570CD3" w:rsidRDefault="004E0540">
      <w:pPr>
        <w:spacing w:after="120" w:line="276" w:lineRule="auto"/>
        <w:jc w:val="both"/>
      </w:pPr>
      <w:r>
        <w:rPr>
          <w:b/>
          <w:bCs/>
        </w:rPr>
        <w:t xml:space="preserve">Zusammenarbeit. </w:t>
      </w:r>
      <w:r>
        <w:t xml:space="preserve">Am 05.10.2026 legten zwei Pull Requests in unserem privaten Repository 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 xml:space="preserve">Im Coaching am 15.10.2026 sah der Dozent das Use-Case-Diagramm als zu stark vernetzt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pPr>
      <w:r>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A7CD15" w14:textId="77777777" w:rsidR="00844E3C" w:rsidRDefault="00844E3C">
      <w:r>
        <w:separator/>
      </w:r>
    </w:p>
  </w:endnote>
  <w:endnote w:type="continuationSeparator" w:id="0">
    <w:p w14:paraId="1FD18220" w14:textId="77777777" w:rsidR="00844E3C" w:rsidRDefault="0084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903EBD" w14:textId="77777777" w:rsidR="00844E3C" w:rsidRDefault="00844E3C">
      <w:r>
        <w:separator/>
      </w:r>
    </w:p>
  </w:footnote>
  <w:footnote w:type="continuationSeparator" w:id="0">
    <w:p w14:paraId="617C1A05" w14:textId="77777777" w:rsidR="00844E3C" w:rsidRDefault="0084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0058"/>
    <w:rsid w:val="0003424E"/>
    <w:rsid w:val="0005015D"/>
    <w:rsid w:val="00065068"/>
    <w:rsid w:val="0006602E"/>
    <w:rsid w:val="00071EE9"/>
    <w:rsid w:val="000A3650"/>
    <w:rsid w:val="000B0265"/>
    <w:rsid w:val="00165364"/>
    <w:rsid w:val="00180053"/>
    <w:rsid w:val="00191D97"/>
    <w:rsid w:val="001E559C"/>
    <w:rsid w:val="001E65E7"/>
    <w:rsid w:val="0020477A"/>
    <w:rsid w:val="002247C1"/>
    <w:rsid w:val="002504DD"/>
    <w:rsid w:val="00251F30"/>
    <w:rsid w:val="002E473C"/>
    <w:rsid w:val="00311ECC"/>
    <w:rsid w:val="0036328F"/>
    <w:rsid w:val="00371E82"/>
    <w:rsid w:val="00384D70"/>
    <w:rsid w:val="003A3A61"/>
    <w:rsid w:val="003B4F98"/>
    <w:rsid w:val="004525F1"/>
    <w:rsid w:val="0047165F"/>
    <w:rsid w:val="00480D10"/>
    <w:rsid w:val="004D5BBB"/>
    <w:rsid w:val="004D5BC7"/>
    <w:rsid w:val="004E0540"/>
    <w:rsid w:val="0051613C"/>
    <w:rsid w:val="0051719A"/>
    <w:rsid w:val="005230D9"/>
    <w:rsid w:val="00534278"/>
    <w:rsid w:val="005351C4"/>
    <w:rsid w:val="00570CD3"/>
    <w:rsid w:val="005B0494"/>
    <w:rsid w:val="005B0645"/>
    <w:rsid w:val="005F221C"/>
    <w:rsid w:val="005F444F"/>
    <w:rsid w:val="005F742F"/>
    <w:rsid w:val="0063602B"/>
    <w:rsid w:val="0066320F"/>
    <w:rsid w:val="0067678D"/>
    <w:rsid w:val="006E2535"/>
    <w:rsid w:val="006F27CC"/>
    <w:rsid w:val="006F33DA"/>
    <w:rsid w:val="0073252A"/>
    <w:rsid w:val="00756BD2"/>
    <w:rsid w:val="00763EAC"/>
    <w:rsid w:val="00783578"/>
    <w:rsid w:val="008414F7"/>
    <w:rsid w:val="00844E3C"/>
    <w:rsid w:val="0084751E"/>
    <w:rsid w:val="00854237"/>
    <w:rsid w:val="00857288"/>
    <w:rsid w:val="00877F2F"/>
    <w:rsid w:val="0088022B"/>
    <w:rsid w:val="008A0A91"/>
    <w:rsid w:val="008D0564"/>
    <w:rsid w:val="008D755C"/>
    <w:rsid w:val="008E49F1"/>
    <w:rsid w:val="00915782"/>
    <w:rsid w:val="00933AE5"/>
    <w:rsid w:val="00933CE5"/>
    <w:rsid w:val="00942490"/>
    <w:rsid w:val="00960812"/>
    <w:rsid w:val="00961AD4"/>
    <w:rsid w:val="0097211C"/>
    <w:rsid w:val="00991087"/>
    <w:rsid w:val="009A0B01"/>
    <w:rsid w:val="009F3072"/>
    <w:rsid w:val="009F3BAD"/>
    <w:rsid w:val="00A11B60"/>
    <w:rsid w:val="00A2344A"/>
    <w:rsid w:val="00A361F7"/>
    <w:rsid w:val="00A55A24"/>
    <w:rsid w:val="00A63415"/>
    <w:rsid w:val="00A72ADE"/>
    <w:rsid w:val="00AE069D"/>
    <w:rsid w:val="00B766BB"/>
    <w:rsid w:val="00B76ED3"/>
    <w:rsid w:val="00B864F5"/>
    <w:rsid w:val="00B86836"/>
    <w:rsid w:val="00B91495"/>
    <w:rsid w:val="00B91D3F"/>
    <w:rsid w:val="00B96D68"/>
    <w:rsid w:val="00C067BF"/>
    <w:rsid w:val="00C57259"/>
    <w:rsid w:val="00CA64B9"/>
    <w:rsid w:val="00CB7D8F"/>
    <w:rsid w:val="00CC484B"/>
    <w:rsid w:val="00CD0A81"/>
    <w:rsid w:val="00D00DF3"/>
    <w:rsid w:val="00D238E9"/>
    <w:rsid w:val="00D23E44"/>
    <w:rsid w:val="00D522E7"/>
    <w:rsid w:val="00D605B5"/>
    <w:rsid w:val="00D7052E"/>
    <w:rsid w:val="00DA24C3"/>
    <w:rsid w:val="00DC3BD1"/>
    <w:rsid w:val="00DD2375"/>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22</Pages>
  <Words>5696</Words>
  <Characters>35890</Characters>
  <Application>Microsoft Office Word</Application>
  <DocSecurity>0</DocSecurity>
  <Lines>299</Lines>
  <Paragraphs>83</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41503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119</cp:revision>
  <dcterms:created xsi:type="dcterms:W3CDTF">2026-10-05T09:30:00Z</dcterms:created>
  <dcterms:modified xsi:type="dcterms:W3CDTF">2026-10-25T14:37:00Z</dcterms:modified>
</cp:coreProperties>
</file>