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rPr>
        <w:t>Bearbeitungsstand: 15.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1 Mitglieder der Gruppe und Rollen</w:t>
        <w:tab/>
        <w:t>2</w:t>
      </w:r>
    </w:p>
    <w:p>
      <w:pPr>
        <w:tabs>
          <w:tab w:val="right" w:pos="9026" w:leader="dot"/>
        </w:tabs>
        <w:spacing w:after="40"/>
        <w:ind w:left="0"/>
      </w:pPr>
      <w:r>
        <w:rPr>
          <w:rFonts w:ascii="Calibri" w:cs="Calibri" w:eastAsia="Calibri" w:hAnsi="Calibri"/>
          <w:b/>
          <w:bCs/>
          <w:sz w:val="22"/>
          <w:szCs w:val="22"/>
        </w:rPr>
        <w:t>2 Das Projekt RepairFlow</w:t>
        <w:tab/>
        <w:t>3</w:t>
      </w:r>
    </w:p>
    <w:p>
      <w:pPr>
        <w:tabs>
          <w:tab w:val="right" w:pos="9026" w:leader="dot"/>
        </w:tabs>
        <w:spacing w:after="40"/>
        <w:ind w:left="400"/>
      </w:pPr>
      <w:r>
        <w:rPr>
          <w:rFonts w:ascii="Calibri" w:cs="Calibri" w:eastAsia="Calibri" w:hAnsi="Calibri"/>
          <w:b w:val="false"/>
          <w:bCs w:val="false"/>
          <w:sz w:val="20"/>
          <w:szCs w:val="20"/>
        </w:rPr>
        <w:t>2.1 Ausgangslage und Problem</w:t>
        <w:tab/>
        <w:t>3</w:t>
      </w:r>
    </w:p>
    <w:p>
      <w:pPr>
        <w:tabs>
          <w:tab w:val="right" w:pos="9026" w:leader="dot"/>
        </w:tabs>
        <w:spacing w:after="40"/>
        <w:ind w:left="400"/>
      </w:pPr>
      <w:r>
        <w:rPr>
          <w:rFonts w:ascii="Calibri" w:cs="Calibri" w:eastAsia="Calibri" w:hAnsi="Calibri"/>
          <w:b w:val="false"/>
          <w:bCs w:val="false"/>
          <w:sz w:val="20"/>
          <w:szCs w:val="20"/>
        </w:rPr>
        <w:t>2.2 RepairFlow als Solution Provider</w:t>
        <w:tab/>
        <w:t>3</w:t>
      </w:r>
    </w:p>
    <w:p>
      <w:pPr>
        <w:tabs>
          <w:tab w:val="right" w:pos="9026" w:leader="dot"/>
        </w:tabs>
        <w:spacing w:after="40"/>
        <w:ind w:left="400"/>
      </w:pPr>
      <w:r>
        <w:rPr>
          <w:rFonts w:ascii="Calibri" w:cs="Calibri" w:eastAsia="Calibri" w:hAnsi="Calibri"/>
          <w:b w:val="false"/>
          <w:bCs w:val="false"/>
          <w:sz w:val="20"/>
          <w:szCs w:val="20"/>
        </w:rPr>
        <w:t>2.3 Systemkontext und Systemgrenze</w:t>
        <w:tab/>
        <w:t>3</w:t>
      </w:r>
    </w:p>
    <w:p>
      <w:pPr>
        <w:tabs>
          <w:tab w:val="right" w:pos="9026" w:leader="dot"/>
        </w:tabs>
        <w:spacing w:after="40"/>
        <w:ind w:left="400"/>
      </w:pPr>
      <w:r>
        <w:rPr>
          <w:rFonts w:ascii="Calibri" w:cs="Calibri" w:eastAsia="Calibri" w:hAnsi="Calibri"/>
          <w:b w:val="false"/>
          <w:bCs w:val="false"/>
          <w:sz w:val="20"/>
          <w:szCs w:val="20"/>
        </w:rPr>
        <w:t>2.4 Der Reparaturauftrag als roter Faden</w:t>
        <w:tab/>
        <w:t>4</w:t>
      </w:r>
    </w:p>
    <w:p>
      <w:pPr>
        <w:tabs>
          <w:tab w:val="right" w:pos="9026" w:leader="dot"/>
        </w:tabs>
        <w:spacing w:after="40"/>
        <w:ind w:left="400"/>
      </w:pPr>
      <w:r>
        <w:rPr>
          <w:rFonts w:ascii="Calibri" w:cs="Calibri" w:eastAsia="Calibri" w:hAnsi="Calibri"/>
          <w:b w:val="false"/>
          <w:bCs w:val="false"/>
          <w:sz w:val="20"/>
          <w:szCs w:val="20"/>
        </w:rPr>
        <w:t>2.5 Alleinstellungsmerkmal: die KI-Sofortdiagnose</w:t>
        <w:tab/>
        <w:t>4</w:t>
      </w:r>
    </w:p>
    <w:p>
      <w:pPr>
        <w:tabs>
          <w:tab w:val="right" w:pos="9026" w:leader="dot"/>
        </w:tabs>
        <w:spacing w:after="40"/>
        <w:ind w:left="0"/>
      </w:pPr>
      <w:r>
        <w:rPr>
          <w:rFonts w:ascii="Calibri" w:cs="Calibri" w:eastAsia="Calibri" w:hAnsi="Calibri"/>
          <w:b/>
          <w:bCs/>
          <w:sz w:val="22"/>
          <w:szCs w:val="22"/>
        </w:rPr>
        <w:t>3 Vorgehen bei der Umsetzung</w:t>
        <w:tab/>
        <w:t>5</w:t>
      </w:r>
    </w:p>
    <w:p>
      <w:pPr>
        <w:tabs>
          <w:tab w:val="right" w:pos="9026" w:leader="dot"/>
        </w:tabs>
        <w:spacing w:after="40"/>
        <w:ind w:left="400"/>
      </w:pPr>
      <w:r>
        <w:rPr>
          <w:rFonts w:ascii="Calibri" w:cs="Calibri" w:eastAsia="Calibri" w:hAnsi="Calibri"/>
          <w:b w:val="false"/>
          <w:bCs w:val="false"/>
          <w:sz w:val="20"/>
          <w:szCs w:val="20"/>
        </w:rPr>
        <w:t>3.1 Werkzeuge und Konventionen</w:t>
        <w:tab/>
        <w:t>5</w:t>
      </w:r>
    </w:p>
    <w:p>
      <w:pPr>
        <w:tabs>
          <w:tab w:val="right" w:pos="9026" w:leader="dot"/>
        </w:tabs>
        <w:spacing w:after="40"/>
        <w:ind w:left="400"/>
      </w:pPr>
      <w:r>
        <w:rPr>
          <w:rFonts w:ascii="Calibri" w:cs="Calibri" w:eastAsia="Calibri" w:hAnsi="Calibri"/>
          <w:b w:val="false"/>
          <w:bCs w:val="false"/>
          <w:sz w:val="20"/>
          <w:szCs w:val="20"/>
        </w:rPr>
        <w:t>3.2 Qualitätssicherung</w:t>
        <w:tab/>
        <w:t>6</w:t>
      </w:r>
    </w:p>
    <w:p>
      <w:pPr>
        <w:tabs>
          <w:tab w:val="right" w:pos="9026" w:leader="dot"/>
        </w:tabs>
        <w:spacing w:after="40"/>
        <w:ind w:left="0"/>
      </w:pPr>
      <w:r>
        <w:rPr>
          <w:rFonts w:ascii="Calibri" w:cs="Calibri" w:eastAsia="Calibri" w:hAnsi="Calibri"/>
          <w:b/>
          <w:bCs/>
          <w:sz w:val="22"/>
          <w:szCs w:val="22"/>
        </w:rPr>
        <w:t>4 Projektmanagement</w:t>
        <w:tab/>
        <w:t>6</w:t>
      </w:r>
    </w:p>
    <w:p>
      <w:pPr>
        <w:tabs>
          <w:tab w:val="right" w:pos="9026" w:leader="dot"/>
        </w:tabs>
        <w:spacing w:after="40"/>
        <w:ind w:left="400"/>
      </w:pPr>
      <w:r>
        <w:rPr>
          <w:rFonts w:ascii="Calibri" w:cs="Calibri" w:eastAsia="Calibri" w:hAnsi="Calibri"/>
          <w:b w:val="false"/>
          <w:bCs w:val="false"/>
          <w:sz w:val="20"/>
          <w:szCs w:val="20"/>
        </w:rPr>
        <w:t>4.1 Vorgehensmodell und Kommunikation</w:t>
        <w:tab/>
        <w:t>6</w:t>
      </w:r>
    </w:p>
    <w:p>
      <w:pPr>
        <w:tabs>
          <w:tab w:val="right" w:pos="9026" w:leader="dot"/>
        </w:tabs>
        <w:spacing w:after="40"/>
        <w:ind w:left="400"/>
      </w:pPr>
      <w:r>
        <w:rPr>
          <w:rFonts w:ascii="Calibri" w:cs="Calibri" w:eastAsia="Calibri" w:hAnsi="Calibri"/>
          <w:b w:val="false"/>
          <w:bCs w:val="false"/>
          <w:sz w:val="20"/>
          <w:szCs w:val="20"/>
        </w:rPr>
        <w:t>4.2 Sprintplan und Verlauf</w:t>
        <w:tab/>
        <w:t>7</w:t>
      </w:r>
    </w:p>
    <w:p>
      <w:pPr>
        <w:tabs>
          <w:tab w:val="right" w:pos="9026" w:leader="dot"/>
        </w:tabs>
        <w:spacing w:after="40"/>
        <w:ind w:left="400"/>
      </w:pPr>
      <w:r>
        <w:rPr>
          <w:rFonts w:ascii="Calibri" w:cs="Calibri" w:eastAsia="Calibri" w:hAnsi="Calibri"/>
          <w:b w:val="false"/>
          <w:bCs w:val="false"/>
          <w:sz w:val="20"/>
          <w:szCs w:val="20"/>
        </w:rPr>
        <w:t>4.3 Aufgabensteuerung und Repository</w:t>
        <w:tab/>
        <w:t>7</w:t>
      </w:r>
    </w:p>
    <w:p>
      <w:pPr>
        <w:tabs>
          <w:tab w:val="right" w:pos="9026" w:leader="dot"/>
        </w:tabs>
        <w:spacing w:after="40"/>
        <w:ind w:left="400"/>
      </w:pPr>
      <w:r>
        <w:rPr>
          <w:rFonts w:ascii="Calibri" w:cs="Calibri" w:eastAsia="Calibri" w:hAnsi="Calibri"/>
          <w:b w:val="false"/>
          <w:bCs w:val="false"/>
          <w:sz w:val="20"/>
          <w:szCs w:val="20"/>
        </w:rPr>
        <w:t>4.4 Risiken</w:t>
        <w:tab/>
        <w:t>7</w:t>
      </w:r>
    </w:p>
    <w:p>
      <w:pPr>
        <w:tabs>
          <w:tab w:val="right" w:pos="9026" w:leader="dot"/>
        </w:tabs>
        <w:spacing w:after="40"/>
        <w:ind w:left="0"/>
      </w:pPr>
      <w:r>
        <w:rPr>
          <w:rFonts w:ascii="Calibri" w:cs="Calibri" w:eastAsia="Calibri" w:hAnsi="Calibri"/>
          <w:b/>
          <w:bCs/>
          <w:sz w:val="22"/>
          <w:szCs w:val="22"/>
        </w:rPr>
        <w:t>5 Überblick über die erstellten Artefakte</w:t>
        <w:tab/>
        <w:t>8</w:t>
      </w:r>
    </w:p>
    <w:p>
      <w:pPr>
        <w:tabs>
          <w:tab w:val="right" w:pos="9026" w:leader="dot"/>
        </w:tabs>
        <w:spacing w:after="40"/>
        <w:ind w:left="400"/>
      </w:pPr>
      <w:r>
        <w:rPr>
          <w:rFonts w:ascii="Calibri" w:cs="Calibri" w:eastAsia="Calibri" w:hAnsi="Calibri"/>
          <w:b w:val="false"/>
          <w:bCs w:val="false"/>
          <w:sz w:val="20"/>
          <w:szCs w:val="20"/>
        </w:rPr>
        <w:t>5.1 Geschäftsprozessmodell (BPMN)</w:t>
        <w:tab/>
        <w:t>8</w:t>
      </w:r>
    </w:p>
    <w:p>
      <w:pPr>
        <w:tabs>
          <w:tab w:val="right" w:pos="9026" w:leader="dot"/>
        </w:tabs>
        <w:spacing w:after="40"/>
        <w:ind w:left="400"/>
      </w:pPr>
      <w:r>
        <w:rPr>
          <w:rFonts w:ascii="Calibri" w:cs="Calibri" w:eastAsia="Calibri" w:hAnsi="Calibri"/>
          <w:b w:val="false"/>
          <w:bCs w:val="false"/>
          <w:sz w:val="20"/>
          <w:szCs w:val="20"/>
        </w:rPr>
        <w:t>5.2 Automatisierungspotential</w:t>
        <w:tab/>
        <w:t>11</w:t>
      </w:r>
    </w:p>
    <w:p>
      <w:pPr>
        <w:tabs>
          <w:tab w:val="right" w:pos="9026" w:leader="dot"/>
        </w:tabs>
        <w:spacing w:after="40"/>
        <w:ind w:left="400"/>
      </w:pPr>
      <w:r>
        <w:rPr>
          <w:rFonts w:ascii="Calibri" w:cs="Calibri" w:eastAsia="Calibri" w:hAnsi="Calibri"/>
          <w:b w:val="false"/>
          <w:bCs w:val="false"/>
          <w:sz w:val="20"/>
          <w:szCs w:val="20"/>
        </w:rPr>
        <w:t>5.3 Use-Case-Diagramm</w:t>
        <w:tab/>
        <w:t>11</w:t>
      </w:r>
    </w:p>
    <w:p>
      <w:pPr>
        <w:tabs>
          <w:tab w:val="right" w:pos="9026" w:leader="dot"/>
        </w:tabs>
        <w:spacing w:after="40"/>
        <w:ind w:left="400"/>
      </w:pPr>
      <w:r>
        <w:rPr>
          <w:rFonts w:ascii="Calibri" w:cs="Calibri" w:eastAsia="Calibri" w:hAnsi="Calibri"/>
          <w:b w:val="false"/>
          <w:bCs w:val="false"/>
          <w:sz w:val="20"/>
          <w:szCs w:val="20"/>
        </w:rPr>
        <w:t>5.4 Klassendiagramm</w:t>
        <w:tab/>
        <w:t>13</w:t>
      </w:r>
    </w:p>
    <w:p>
      <w:pPr>
        <w:tabs>
          <w:tab w:val="right" w:pos="9026" w:leader="dot"/>
        </w:tabs>
        <w:spacing w:after="40"/>
        <w:ind w:left="400"/>
      </w:pPr>
      <w:r>
        <w:rPr>
          <w:rFonts w:ascii="Calibri" w:cs="Calibri" w:eastAsia="Calibri" w:hAnsi="Calibri"/>
          <w:b w:val="false"/>
          <w:bCs w:val="false"/>
          <w:sz w:val="20"/>
          <w:szCs w:val="20"/>
        </w:rPr>
        <w:t>5.5 Sequenzdiagramme</w:t>
        <w:tab/>
        <w:t>14</w:t>
      </w:r>
    </w:p>
    <w:p>
      <w:pPr>
        <w:tabs>
          <w:tab w:val="right" w:pos="9026" w:leader="dot"/>
        </w:tabs>
        <w:spacing w:after="40"/>
        <w:ind w:left="400"/>
      </w:pPr>
      <w:r>
        <w:rPr>
          <w:rFonts w:ascii="Calibri" w:cs="Calibri" w:eastAsia="Calibri" w:hAnsi="Calibri"/>
          <w:b w:val="false"/>
          <w:bCs w:val="false"/>
          <w:sz w:val="20"/>
          <w:szCs w:val="20"/>
        </w:rPr>
        <w:t>5.6 Konsistenz zwischen den Modellen</w:t>
        <w:tab/>
        <w:t>16</w:t>
      </w:r>
    </w:p>
    <w:p>
      <w:pPr>
        <w:tabs>
          <w:tab w:val="right" w:pos="9026" w:leader="dot"/>
        </w:tabs>
        <w:spacing w:after="40"/>
        <w:ind w:left="0"/>
      </w:pPr>
      <w:r>
        <w:rPr>
          <w:rFonts w:ascii="Calibri" w:cs="Calibri" w:eastAsia="Calibri" w:hAnsi="Calibri"/>
          <w:b/>
          <w:bCs/>
          <w:sz w:val="22"/>
          <w:szCs w:val="22"/>
        </w:rPr>
        <w:t>6 Probleme und Herausforderungen</w:t>
        <w:tab/>
        <w:t>17</w:t>
      </w:r>
    </w:p>
    <w:p>
      <w:pPr>
        <w:tabs>
          <w:tab w:val="right" w:pos="9026" w:leader="dot"/>
        </w:tabs>
        <w:spacing w:after="40"/>
        <w:ind w:left="0"/>
      </w:pPr>
      <w:r>
        <w:rPr>
          <w:rFonts w:ascii="Calibri" w:cs="Calibri" w:eastAsia="Calibri" w:hAnsi="Calibri"/>
          <w:b/>
          <w:bCs/>
          <w:sz w:val="22"/>
          <w:szCs w:val="22"/>
        </w:rPr>
        <w:t>7 Feedback</w:t>
        <w:tab/>
        <w:t>18</w:t>
      </w:r>
    </w:p>
    <w:p>
      <w:pPr>
        <w:tabs>
          <w:tab w:val="right" w:pos="9026" w:leader="dot"/>
        </w:tabs>
        <w:spacing w:after="40"/>
        <w:ind w:left="400"/>
      </w:pPr>
      <w:r>
        <w:rPr>
          <w:rFonts w:ascii="Calibri" w:cs="Calibri" w:eastAsia="Calibri" w:hAnsi="Calibri"/>
          <w:b w:val="false"/>
          <w:bCs w:val="false"/>
          <w:sz w:val="20"/>
          <w:szCs w:val="20"/>
        </w:rPr>
        <w:t>7.1 Feedback des Dozenten und Umsetzung</w:t>
        <w:tab/>
        <w:t>18</w:t>
      </w:r>
    </w:p>
    <w:p>
      <w:pPr>
        <w:tabs>
          <w:tab w:val="right" w:pos="9026" w:leader="dot"/>
        </w:tabs>
        <w:spacing w:after="40"/>
        <w:ind w:left="400"/>
      </w:pPr>
      <w:r>
        <w:rPr>
          <w:rFonts w:ascii="Calibri" w:cs="Calibri" w:eastAsia="Calibri" w:hAnsi="Calibri"/>
          <w:b w:val="false"/>
          <w:bCs w:val="false"/>
          <w:sz w:val="20"/>
          <w:szCs w:val="20"/>
        </w:rPr>
        <w:t>7.2 Unser Feedback zur Fallstudie</w:t>
        <w:tab/>
        <w:t>18</w:t>
      </w:r>
    </w:p>
    <w:p>
      <w:r>
        <w:br w:type="page"/>
      </w:r>
    </w:p>
    <w:p>
      <w:pPr>
        <w:pStyle w:val="Heading1"/>
        <w:keepNext/>
        <w:spacing w:after="120" w:before="360"/>
      </w:pPr>
      <w:r>
        <w:rPr>
          <w:rFonts w:ascii="Calibri" w:cs="Calibri" w:eastAsia="Calibri" w:hAnsi="Calibri"/>
        </w:rPr>
        <w:t>1 Mitglieder der Gruppe und Rollen</w:t>
      </w:r>
    </w:p>
    <w:p>
      <w:pPr>
        <w:spacing w:after="120" w:line="276"/>
        <w:jc w:val="both"/>
      </w:pPr>
      <w:r>
        <w:rPr>
          <w:rFonts w:ascii="Calibri" w:cs="Calibri" w:eastAsia="Calibri" w:hAnsi="Calibri"/>
          <w:sz w:val="22"/>
          <w:szCs w:val="22"/>
        </w:rP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cantSplit/>
        </w:trPr>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Name</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Rolle</w:t>
            </w:r>
          </w:p>
        </w:tc>
        <w:tc>
          <w:tcPr>
            <w:tcW w:type="dxa" w:w="4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Zuständigkeit</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Nina Sattler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Projektleiterin</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Gesamtplanung und Termine; Redaktion der Projektdokumentation (Kapitel 1, 4 und 7, Abbildungen, PDF); Abgabe-Archiv</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David Leismann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Stellvertretende Projektleitung, Backup-Beauftragter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Sicherung von Git-Repository und VP-Server; Use-Case-Diagramm und Sequenzdiagramme SD2, SD3, SD5 und SD6 in Visual Paradigm</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Adrian Wenzler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Product Owner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Fachkonzept (Kapitel 2) und Produktentscheidungen; Entscheidungslog; Automatisierungspotential (5.2) und Kapitel 6</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Kilian Platter</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Scrum Master, UML-Verantwortlicher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Sprint-Rituale und Trello-Board; Klassendiagramm, SD1 und SD4, Visual-Paradigm-Projekt und Konsistenz der UML-Modelle</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Maximilian Ewald</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BPMN-Verantwortlicher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 zehn Kollaborationsdiagramme im Camunda Modeler, Prozesskennzahlen und Export; Abschnitt 5.1</w:t>
            </w:r>
          </w:p>
        </w:tc>
      </w:tr>
      <w:tr>
        <w:trPr>
          <w:cantSplit/>
        </w:trPr>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Jakob Schwan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Qualitätsmanager</w:t>
            </w:r>
          </w:p>
        </w:tc>
        <w:tc>
          <w:tcPr>
            <w:tcW w:type="dxa" w:w="4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QA-Checkliste und Review aller Pull Requests; Konsistenz von BPMN, UML und Dokumentation (3.2, 5.6); Präsentations-PDF</w:t>
            </w:r>
          </w:p>
        </w:tc>
      </w:tr>
    </w:tbl>
    <w:p>
      <w:pPr>
        <w:spacing w:after="200" w:before="60"/>
        <w:jc w:val="center"/>
      </w:pPr>
      <w:r>
        <w:rPr>
          <w:rFonts w:ascii="Calibri" w:cs="Calibri" w:eastAsia="Calibri" w:hAnsi="Calibri"/>
          <w:i/>
          <w:iCs/>
          <w:color w:val="595959"/>
          <w:sz w:val="18"/>
          <w:szCs w:val="18"/>
        </w:rPr>
        <w:t>Tabelle 1: Rollen und Zuständigkeiten</w:t>
      </w:r>
    </w:p>
    <w:p>
      <w:pPr>
        <w:spacing w:after="120" w:line="276"/>
        <w:jc w:val="both"/>
      </w:pPr>
      <w:r>
        <w:rPr>
          <w:rFonts w:ascii="Calibri" w:cs="Calibri" w:eastAsia="Calibri" w:hAnsi="Calibri"/>
          <w:sz w:val="22"/>
          <w:szCs w:val="22"/>
        </w:rPr>
        <w:t>Die Gruppenmitglieder haben folgende Beiträge erarbeitet. Grundlage sind die Aufgabenverteilungen vom 02.09., 05.10. und 15.10.2026 und die Historie des Repositories.</w:t>
      </w:r>
    </w:p>
    <w:p>
      <w:pPr>
        <w:pStyle w:val="ListParagraph"/>
        <w:numPr>
          <w:ilvl w:val="0"/>
          <w:numId w:val="2"/>
        </w:numPr>
        <w:spacing w:after="60" w:line="264"/>
      </w:pPr>
      <w:r>
        <w:rPr>
          <w:rFonts w:ascii="Calibri" w:cs="Calibri" w:eastAsia="Calibri" w:hAnsi="Calibri"/>
          <w:b/>
          <w:bCs/>
          <w:sz w:val="22"/>
          <w:szCs w:val="22"/>
        </w:rPr>
        <w:t xml:space="preserve">Nina Sattler: </w:t>
      </w:r>
      <w:r>
        <w:rPr>
          <w:rFonts w:ascii="Calibri" w:cs="Calibri" w:eastAsia="Calibri" w:hAnsi="Calibri"/>
          <w:sz w:val="22"/>
          <w:szCs w:val="22"/>
        </w:rPr>
        <w:t>Gesamtplanung und Terminsteuerung, Prüfung der BPMN-Diagramme 07 und 08 in Sprint 1, Redaktion der Projektdokumentation (Kapitel 1, 4 und 7, Abbildungen, Inhaltsverzeichnis, PDF), Zusammenstellung des Abgabe-Archivs, Folien 1–2 und 18–19.</w:t>
      </w:r>
    </w:p>
    <w:p>
      <w:pPr>
        <w:pStyle w:val="ListParagraph"/>
        <w:numPr>
          <w:ilvl w:val="0"/>
          <w:numId w:val="2"/>
        </w:numPr>
        <w:spacing w:after="60" w:line="264"/>
      </w:pPr>
      <w:r>
        <w:rPr>
          <w:rFonts w:ascii="Calibri" w:cs="Calibri" w:eastAsia="Calibri" w:hAnsi="Calibri"/>
          <w:b/>
          <w:bCs/>
          <w:sz w:val="22"/>
          <w:szCs w:val="22"/>
        </w:rPr>
        <w:t xml:space="preserve">David Leismann: </w:t>
      </w:r>
      <w:r>
        <w:rPr>
          <w:rFonts w:ascii="Calibri" w:cs="Calibri" w:eastAsia="Calibri" w:hAnsi="Calibri"/>
          <w:sz w:val="22"/>
          <w:szCs w:val="22"/>
        </w:rPr>
        <w:t>Prüfung der BPMN-Diagramme 03 und 04, Abgleich der Use Cases und Sequenzdiagramme mit den Prozessen (E-18), Überarbeitung der Prozesse 05 und 06 (E-20), Use-Case-Diagramm mit Rollenstruktur (E-24) sowie SD2, SD3, SD5 und SD6 in Visual Paradigm, Folien 3, 12 und 15.</w:t>
      </w:r>
    </w:p>
    <w:p>
      <w:pPr>
        <w:pStyle w:val="ListParagraph"/>
        <w:numPr>
          <w:ilvl w:val="0"/>
          <w:numId w:val="2"/>
        </w:numPr>
        <w:spacing w:after="60" w:line="264"/>
      </w:pPr>
      <w:r>
        <w:rPr>
          <w:rFonts w:ascii="Calibri" w:cs="Calibri" w:eastAsia="Calibri" w:hAnsi="Calibri"/>
          <w:b/>
          <w:bCs/>
          <w:sz w:val="22"/>
          <w:szCs w:val="22"/>
        </w:rPr>
        <w:t xml:space="preserve">Adrian Wenzler: </w:t>
      </w:r>
      <w:r>
        <w:rPr>
          <w:rFonts w:ascii="Calibri" w:cs="Calibri" w:eastAsia="Calibri" w:hAnsi="Calibri"/>
          <w:sz w:val="22"/>
          <w:szCs w:val="22"/>
        </w:rPr>
        <w:t>Prüfung der BPMN-Diagramme 05 und 06, Fachkonzept in Kapitel 2 (Ausgangslage, Solution Provider, Systemkontext, Zustandsautomat, KI-Sofortdiagnose), Pflege des Entscheidungslogs und Bestätigung der Prozessänderungen E-19, E-20 und E-22 durch die Gruppe, Abschnitt 5.2 und Kapitel 6, Folien 4–6 und 11.</w:t>
      </w:r>
    </w:p>
    <w:p>
      <w:pPr>
        <w:pStyle w:val="ListParagraph"/>
        <w:numPr>
          <w:ilvl w:val="0"/>
          <w:numId w:val="2"/>
        </w:numPr>
        <w:spacing w:after="60" w:line="264"/>
      </w:pPr>
      <w:r>
        <w:rPr>
          <w:rFonts w:ascii="Calibri" w:cs="Calibri" w:eastAsia="Calibri" w:hAnsi="Calibri"/>
          <w:b/>
          <w:bCs/>
          <w:sz w:val="22"/>
          <w:szCs w:val="22"/>
        </w:rPr>
        <w:t xml:space="preserve">Kilian Platter: </w:t>
      </w:r>
      <w:r>
        <w:rPr>
          <w:rFonts w:ascii="Calibri" w:cs="Calibri" w:eastAsia="Calibri" w:hAnsi="Calibri"/>
          <w:sz w:val="22"/>
          <w:szCs w:val="22"/>
        </w:rP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13, 14 und 16.</w:t>
      </w:r>
    </w:p>
    <w:p>
      <w:pPr>
        <w:pStyle w:val="ListParagraph"/>
        <w:numPr>
          <w:ilvl w:val="0"/>
          <w:numId w:val="2"/>
        </w:numPr>
        <w:spacing w:after="60" w:line="264"/>
      </w:pPr>
      <w:r>
        <w:rPr>
          <w:rFonts w:ascii="Calibri" w:cs="Calibri" w:eastAsia="Calibri" w:hAnsi="Calibri"/>
          <w:b/>
          <w:bCs/>
          <w:sz w:val="22"/>
          <w:szCs w:val="22"/>
        </w:rPr>
        <w:t xml:space="preserve">Maximilian Ewald: </w:t>
      </w:r>
      <w:r>
        <w:rPr>
          <w:rFonts w:ascii="Calibri" w:cs="Calibri" w:eastAsia="Calibri" w:hAnsi="Calibri"/>
          <w:sz w:val="22"/>
          <w:szCs w:val="22"/>
        </w:rPr>
        <w:t>Prüfung der BPMN-Diagramme 01 und 02, alle zehn BPMN-Dateien im Camunda Modeler (Anreicherung für Camunda 8, Prüfung im Problems-Panel, PNG-Export, E-21), Prozesskennzahlen und Abschnitt 5.1, Folien 7, 9 und 10.</w:t>
      </w:r>
    </w:p>
    <w:p>
      <w:pPr>
        <w:pStyle w:val="ListParagraph"/>
        <w:numPr>
          <w:ilvl w:val="0"/>
          <w:numId w:val="2"/>
        </w:numPr>
        <w:spacing w:after="60" w:line="264"/>
      </w:pPr>
      <w:r>
        <w:rPr>
          <w:rFonts w:ascii="Calibri" w:cs="Calibri" w:eastAsia="Calibri" w:hAnsi="Calibri"/>
          <w:b/>
          <w:bCs/>
          <w:sz w:val="22"/>
          <w:szCs w:val="22"/>
        </w:rPr>
        <w:t xml:space="preserve">Jakob Schwan: </w:t>
      </w:r>
      <w:r>
        <w:rPr>
          <w:rFonts w:ascii="Calibri" w:cs="Calibri" w:eastAsia="Calibri" w:hAnsi="Calibri"/>
          <w:sz w:val="22"/>
          <w:szCs w:val="22"/>
        </w:rPr>
        <w:t>Review der Prozesse 09 und 10, Behebung der Logikfehler in den Prozessen 07 und 08 (E-19), QA-Checkliste und Review aller Pull Requests, Abschnitte 3.2 und 5.6, Export der Präsentation als PDF, Folien 8 und 17.</w:t>
      </w:r>
    </w:p>
    <w:p>
      <w:pPr>
        <w:spacing w:after="120" w:line="276"/>
        <w:jc w:val="both"/>
      </w:pPr>
      <w:r>
        <w:rPr>
          <w:rFonts w:ascii="Calibri" w:cs="Calibri" w:eastAsia="Calibri" w:hAnsi="Calibri"/>
          <w:i/>
          <w:sz w:val="22"/>
          <w:szCs w:val="22"/>
          <w:shd w:val="clear" w:color="auto" w:fill="FFF2A8"/>
        </w:rPr>
        <w:t>[Gruppe: Vor der Abgabe prüft jede Person ihre Zeile in Tabelle 1 und in der Liste. Stehen bleibt nur, was sie tatsächlich gemacht hat. Danach diesen Hinweis löschen.]</w:t>
      </w:r>
    </w:p>
    <w:p>
      <w:pPr>
        <w:pStyle w:val="Heading1"/>
        <w:keepNext/>
        <w:spacing w:after="120" w:before="360"/>
      </w:pPr>
      <w:r>
        <w:rPr>
          <w:rFonts w:ascii="Calibri" w:cs="Calibri" w:eastAsia="Calibri" w:hAnsi="Calibri"/>
        </w:rPr>
        <w:t>2 Das Projekt RepairFlow</w:t>
      </w:r>
    </w:p>
    <w:p>
      <w:pPr>
        <w:pStyle w:val="Heading2"/>
        <w:keepNext/>
        <w:spacing w:after="120" w:before="240"/>
      </w:pPr>
      <w:r>
        <w:rPr>
          <w:rFonts w:ascii="Calibri" w:cs="Calibri" w:eastAsia="Calibri" w:hAnsi="Calibri"/>
        </w:rPr>
        <w:t>2.1 Ausgangslage und Problem</w:t>
      </w:r>
    </w:p>
    <w:p>
      <w:pPr>
        <w:spacing w:after="120" w:line="276"/>
        <w:jc w:val="both"/>
      </w:pPr>
      <w:r>
        <w:rPr>
          <w:rFonts w:ascii="Calibri" w:cs="Calibri" w:eastAsia="Calibri" w:hAnsi="Calibri"/>
          <w:sz w:val="22"/>
          <w:szCs w:val="22"/>
        </w:rP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pPr>
        <w:pStyle w:val="ListParagraph"/>
        <w:numPr>
          <w:ilvl w:val="0"/>
          <w:numId w:val="2"/>
        </w:numPr>
        <w:spacing w:after="60" w:line="264"/>
      </w:pPr>
      <w:r>
        <w:rPr>
          <w:rFonts w:ascii="Calibri" w:cs="Calibri" w:eastAsia="Calibri" w:hAnsi="Calibri"/>
          <w:sz w:val="22"/>
          <w:szCs w:val="22"/>
        </w:rPr>
        <w:t>Kunden erfahren nicht zuverlässig, wann ein Kostenvoranschlag freizugeben oder ein Gerät abholbereit ist. Es gibt viele Rückfragen per Telefon, und Geräte bleiben wochenlang im Lager.</w:t>
      </w:r>
    </w:p>
    <w:p>
      <w:pPr>
        <w:pStyle w:val="ListParagraph"/>
        <w:numPr>
          <w:ilvl w:val="0"/>
          <w:numId w:val="2"/>
        </w:numPr>
        <w:spacing w:after="60" w:line="264"/>
      </w:pPr>
      <w:r>
        <w:rPr>
          <w:rFonts w:ascii="Calibri" w:cs="Calibri" w:eastAsia="Calibri" w:hAnsi="Calibri"/>
          <w:sz w:val="22"/>
          <w:szCs w:val="22"/>
        </w:rPr>
        <w:t>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Jede Filiale bestellt Ersatzteile für sich, auch wenn das Teil in einer Nachbarfiliale liegt.</w:t>
      </w:r>
    </w:p>
    <w:p>
      <w:pPr>
        <w:pStyle w:val="ListParagraph"/>
        <w:numPr>
          <w:ilvl w:val="0"/>
          <w:numId w:val="2"/>
        </w:numPr>
        <w:spacing w:after="60" w:line="264"/>
      </w:pPr>
      <w:r>
        <w:rPr>
          <w:rFonts w:ascii="Calibri" w:cs="Calibri" w:eastAsia="Calibri" w:hAnsi="Calibri"/>
          <w:sz w:val="22"/>
          <w:szCs w:val="22"/>
        </w:rPr>
        <w:t>Die Auslastung der Techniker ist nicht sichtbar, Termine werden nach Gefühl zugesagt.</w:t>
      </w:r>
    </w:p>
    <w:p>
      <w:pPr>
        <w:pStyle w:val="Heading2"/>
        <w:keepNext/>
        <w:spacing w:after="120" w:before="240"/>
      </w:pPr>
      <w:r>
        <w:rPr>
          <w:rFonts w:ascii="Calibri" w:cs="Calibri" w:eastAsia="Calibri" w:hAnsi="Calibri"/>
        </w:rPr>
        <w:t>2.2 RepairFlow als Solution Provider</w:t>
      </w:r>
    </w:p>
    <w:p>
      <w:pPr>
        <w:spacing w:after="120" w:line="276"/>
        <w:jc w:val="both"/>
      </w:pPr>
      <w:r>
        <w:rPr>
          <w:rFonts w:ascii="Calibri" w:cs="Calibri" w:eastAsia="Calibri" w:hAnsi="Calibri"/>
          <w:sz w:val="22"/>
          <w:szCs w:val="22"/>
        </w:rPr>
        <w:t>RepairFlow ist ein Software-Startup, das Werkstätten eine Cloud-Plattform für den gesamten Reparaturablauf anbietet, von der Anfrage des Kunden über Diagnose, Kostenvoranschlag (KVA), Ersatzteil-Disposition und Reparatur bis zu Abholung, Rechnung und Reklamation. Wir treten als Softwareanbieter auf. Die FixWerk GmbH ist unser Pilotkunde, an dessen Abläufen wir die Anforderungen an die Plattform modellieren.</w:t>
      </w:r>
    </w:p>
    <w:p>
      <w:pPr>
        <w:spacing w:after="120" w:line="276"/>
        <w:jc w:val="both"/>
      </w:pPr>
      <w:r>
        <w:rPr>
          <w:rFonts w:ascii="Calibri" w:cs="Calibri" w:eastAsia="Calibri" w:hAnsi="Calibri"/>
          <w:sz w:val="22"/>
          <w:szCs w:val="22"/>
        </w:rPr>
        <w:t>Die Plattform hat vier Module: Kundenportal mit App, Auftrags- und Werkstattmodul, Dispositionsmodul für die filialübergreifende Ersatzteilversorgung und Abrechnung mit Schnittstelle zur Buchhaltung. Zielkunden sind unabhängige Werkstätten und kleine Ketten mit zwei bis zehn Filialen im deutschsprachigen Raum. Abgerechnet wird ein monatliches Abonnement je Filiale in den Stufen Basis (Auftragsverwaltung und Kundenkommunikation) und Pro (zusätzlich filialübergreifende Disposition und KI-Sofortdiagnose). Unser Entwurf verbindet Fahrrad-, E-Bike- und Elektronikreparaturen in einer Plattform mit gemeinsamem Ersatzteillager. Einen belegten Funktionsvergleich mit bestehenden Werkstattlösungen haben wir nicht erstellt.</w:t>
      </w:r>
    </w:p>
    <w:p>
      <w:pPr>
        <w:pStyle w:val="Heading2"/>
        <w:keepNext/>
        <w:spacing w:after="120" w:before="240"/>
      </w:pPr>
      <w:r>
        <w:rPr>
          <w:rFonts w:ascii="Calibri" w:cs="Calibri" w:eastAsia="Calibri" w:hAnsi="Calibri"/>
        </w:rPr>
        <w:t>2.3 Systemkontext und Systemgrenze</w:t>
      </w:r>
    </w:p>
    <w:p>
      <w:pPr>
        <w:spacing w:after="120" w:line="276"/>
        <w:jc w:val="both"/>
      </w:pPr>
      <w:r>
        <w:rPr>
          <w:rFonts w:ascii="Calibri" w:cs="Calibri" w:eastAsia="Calibri" w:hAnsi="Calibri"/>
          <w:sz w:val="22"/>
          <w:szCs w:val="22"/>
        </w:rPr>
        <w:t>Abbildung 1 zeigt den Systemkontext.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Abbildung 1: Systemkontext der RepairFlow-Plattform</w:t>
      </w:r>
    </w:p>
    <w:p>
      <w:pPr>
        <w:pStyle w:val="Heading2"/>
        <w:keepNext/>
        <w:spacing w:after="120" w:before="240"/>
      </w:pPr>
      <w:r>
        <w:rPr>
          <w:rFonts w:ascii="Calibri" w:cs="Calibri" w:eastAsia="Calibri" w:hAnsi="Calibri"/>
        </w:rPr>
        <w:t>2.4 Der Reparaturauftrag als roter Faden</w:t>
      </w:r>
    </w:p>
    <w:p>
      <w:pPr>
        <w:spacing w:after="120" w:line="276"/>
        <w:jc w:val="both"/>
      </w:pPr>
      <w:r>
        <w:rPr>
          <w:rFonts w:ascii="Calibri" w:cs="Calibri" w:eastAsia="Calibri" w:hAnsi="Calibri"/>
          <w:sz w:val="22"/>
          <w:szCs w:val="22"/>
        </w:rP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pPr>
        <w:pStyle w:val="Heading2"/>
        <w:keepNext/>
        <w:spacing w:after="120" w:before="240"/>
      </w:pPr>
      <w:r>
        <w:rPr>
          <w:rFonts w:ascii="Calibri" w:cs="Calibri" w:eastAsia="Calibri" w:hAnsi="Calibri"/>
        </w:rPr>
        <w:t>2.5 Alleinstellungsmerkmal: die KI-Sofortdiagnose</w:t>
      </w:r>
    </w:p>
    <w:p>
      <w:pPr>
        <w:spacing w:after="120" w:line="276"/>
        <w:jc w:val="both"/>
      </w:pPr>
      <w:r>
        <w:rPr>
          <w:rFonts w:ascii="Calibri" w:cs="Calibri" w:eastAsia="Calibri" w:hAnsi="Calibri"/>
          <w:sz w:val="22"/>
          <w:szCs w:val="22"/>
        </w:rPr>
        <w:t>Bei der Konzeptvorstellung hat uns der Dozent geraten, dem Produkt ein Merkmal zu geben, das es von anderen abhebe und ruhig visionär sein dürfe. Wir haben uns für die KI-Sofortdiagnose entschieden. Sie setzt bei der Ungewissheit an, die Werkstattkunden vor einer Reparatur haben: Was kostet die Reparatur, und wie lange dauert sie?</w:t>
      </w:r>
    </w:p>
    <w:p>
      <w:pPr>
        <w:spacing w:after="120" w:line="276"/>
        <w:jc w:val="both"/>
      </w:pPr>
      <w:r>
        <w:rPr>
          <w:rFonts w:ascii="Calibri" w:cs="Calibri" w:eastAsia="Calibri" w:hAnsi="Calibri"/>
          <w:sz w:val="22"/>
          <w:szCs w:val="22"/>
        </w:rP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pPr>
        <w:spacing w:after="120" w:line="276"/>
        <w:jc w:val="both"/>
      </w:pPr>
      <w:r>
        <w:rPr>
          <w:rFonts w:ascii="Calibri" w:cs="Calibri" w:eastAsia="Calibri" w:hAnsi="Calibri"/>
          <w:sz w:val="22"/>
          <w:szCs w:val="22"/>
        </w:rP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3 Vorgehen bei der Umsetzung</w:t>
      </w:r>
    </w:p>
    <w:p>
      <w:pPr>
        <w:spacing w:after="120" w:line="276"/>
        <w:jc w:val="both"/>
      </w:pPr>
      <w:r>
        <w:rPr>
          <w:rFonts w:ascii="Calibri" w:cs="Calibri" w:eastAsia="Calibri" w:hAnsi="Calibri"/>
          <w:sz w:val="22"/>
          <w:szCs w:val="22"/>
        </w:rPr>
        <w:t>Wir sind in sechs Schritten vorgegangen (Tabelle 2). Die Reihenfolge folgt der Vorlesung: zuerst die Geschäftsprozessanalyse, dann das Automatisierungspotential, danach die objektorientierte Analyse.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cantSplit/>
        </w:trPr>
        <w:tc>
          <w:tcPr>
            <w:tcW w:type="dxa" w:w="8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Schritt</w:t>
            </w:r>
          </w:p>
        </w:tc>
        <w:tc>
          <w:tcPr>
            <w:tcW w:type="dxa" w:w="2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Phase</w:t>
            </w:r>
          </w:p>
        </w:tc>
        <w:tc>
          <w:tcPr>
            <w:tcW w:type="dxa" w:w="6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 und Ergebnis</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Themenfindung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Startup-Ideen gesammelt und nach Prozessreichtum und Automatisierungspotential bewertet; Entscheidung für das Werkstatt-Szenario.</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Konzeptvorstellung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Kickoff-Pitch am 31.08.2026. Rückmeldung des Dozenten: Perspektive klären und ein Alleinstellungsmerkmal ergänzen. Ergebnis: Solution Provider mit KI-Sofortdiagnose.</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3</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Prozessanalyse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Abläufe im Pilotbetrieb beschrieben, Soll-Prozesse mit RepairFlow abgeleitet, Prozessliste und Namenskonventionen festgelegt.</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BPMN-Modellierung</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Zehn Kollaborationsdiagramme mit Pools, Lanes, Datenobjekten und Datenspeichern; Prüfung im Zweierteam und mit dem Camunda-Linter. </w:t>
            </w:r>
            <w:r>
              <w:rPr>
                <w:rFonts w:ascii="Calibri" w:cs="Calibri" w:eastAsia="Calibri" w:hAnsi="Calibri"/>
                <w:b w:val="false"/>
                <w:bCs w:val="false"/>
                <w:i/>
                <w:color w:val="000000"/>
                <w:sz w:val="19"/>
                <w:szCs w:val="19"/>
                <w:shd w:val="clear" w:color="auto" w:fill="FFF2A8"/>
              </w:rPr>
              <w:t>[Nach dem 15.10. ergänzen: Prüfung im Camunda Modeler]</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Objektorientierte Analyse</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Use-Case-Diagramm aus der Systemgrenze, Klassendiagramm aus den Datenobjekten, sechs Sequenzdiagramme; Umsetzung in Visual Paradigm.</w:t>
            </w:r>
          </w:p>
        </w:tc>
      </w:tr>
      <w:tr>
        <w:trPr>
          <w:cantSplit/>
        </w:trPr>
        <w:tc>
          <w:tcPr>
            <w:tcW w:type="dxa" w:w="8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6</w:t>
            </w:r>
          </w:p>
        </w:tc>
        <w:tc>
          <w:tcPr>
            <w:tcW w:type="dxa" w:w="2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Dokumentation und Präsentation</w:t>
            </w:r>
          </w:p>
        </w:tc>
        <w:tc>
          <w:tcPr>
            <w:tcW w:type="dxa" w:w="6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Projektdokumentation, Abschlusspräsentation mit Zuordnung der Vortragenden, Abgabe-Archiv.</w:t>
            </w:r>
          </w:p>
        </w:tc>
      </w:tr>
    </w:tbl>
    <w:p>
      <w:pPr>
        <w:spacing w:after="200" w:before="60"/>
        <w:jc w:val="center"/>
      </w:pPr>
      <w:r>
        <w:rPr>
          <w:rFonts w:ascii="Calibri" w:cs="Calibri" w:eastAsia="Calibri" w:hAnsi="Calibri"/>
          <w:i/>
          <w:iCs/>
          <w:color w:val="595959"/>
          <w:sz w:val="18"/>
          <w:szCs w:val="18"/>
        </w:rPr>
        <w:t>Tabelle 2: Vorgehen in sechs Schritten</w:t>
      </w:r>
    </w:p>
    <w:p>
      <w:pPr>
        <w:pStyle w:val="Heading2"/>
        <w:keepNext/>
        <w:spacing w:after="120" w:before="240"/>
      </w:pPr>
      <w:r>
        <w:rPr>
          <w:rFonts w:ascii="Calibri" w:cs="Calibri" w:eastAsia="Calibri" w:hAnsi="Calibri"/>
        </w:rPr>
        <w:t>3.1 Werkzeuge und Konventionen</w:t>
      </w:r>
    </w:p>
    <w:p>
      <w:pPr>
        <w:spacing w:after="120" w:line="276"/>
        <w:jc w:val="both"/>
      </w:pPr>
      <w:r>
        <w:rPr>
          <w:rFonts w:ascii="Calibri" w:cs="Calibri" w:eastAsia="Calibri" w:hAnsi="Calibri"/>
          <w:sz w:val="22"/>
          <w:szCs w:val="22"/>
        </w:rP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pPr>
        <w:spacing w:after="120" w:line="276"/>
        <w:jc w:val="both"/>
      </w:pPr>
      <w:r>
        <w:rPr>
          <w:rFonts w:ascii="Calibri" w:cs="Calibri" w:eastAsia="Calibri" w:hAnsi="Calibri"/>
          <w:i/>
          <w:sz w:val="22"/>
          <w:szCs w:val="22"/>
          <w:shd w:val="clear" w:color="auto" w:fill="FFF2A8"/>
        </w:rPr>
        <w:t>[Nach Fertigstellung prüfen: Sind alle sechs Sequenzdiagramme in VP als Unterdiagramme angelegt und liegt UML-WWI25B4-Gruppe1.vpp in 2_uml/ (betrifft auch 4.3 und Tabelle 5)? Dann diesen Hinweis löschen.]</w:t>
      </w:r>
    </w:p>
    <w:p>
      <w:pPr>
        <w:spacing w:after="120" w:line="276"/>
        <w:jc w:val="both"/>
      </w:pPr>
      <w:r>
        <w:rPr>
          <w:rFonts w:ascii="Calibri" w:cs="Calibri" w:eastAsia="Calibri" w:hAnsi="Calibri"/>
          <w:sz w:val="22"/>
          <w:szCs w:val="22"/>
        </w:rPr>
        <w:t>Damit die Modelle zusammenpassen, haben wir uns in Sprint 1 auf gemeinsame Regeln geeinigt:</w:t>
      </w:r>
    </w:p>
    <w:p>
      <w:pPr>
        <w:pStyle w:val="ListParagraph"/>
        <w:numPr>
          <w:ilvl w:val="0"/>
          <w:numId w:val="2"/>
        </w:numPr>
        <w:spacing w:after="60" w:line="264"/>
      </w:pPr>
      <w:r>
        <w:rPr>
          <w:rFonts w:ascii="Calibri" w:cs="Calibri" w:eastAsia="Calibri" w:hAnsi="Calibri"/>
          <w:sz w:val="22"/>
          <w:szCs w:val="22"/>
        </w:rPr>
        <w:t>BPMN-Datenobjekte tragen die Klassennamen des Klassendiagramms, im Diagramm zur Lesbarkeit mit Bindestrich getrennt und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Aktivitäten heißen Verb mit Objekt („Kundendaten erfassen“), Ereignisse stehen im Partizip Perfekt („Auftrag angenommen“).</w:t>
      </w:r>
    </w:p>
    <w:p>
      <w:pPr>
        <w:pStyle w:val="ListParagraph"/>
        <w:numPr>
          <w:ilvl w:val="0"/>
          <w:numId w:val="2"/>
        </w:numPr>
        <w:spacing w:after="60" w:line="264"/>
      </w:pPr>
      <w:r>
        <w:rPr>
          <w:rFonts w:ascii="Calibri" w:cs="Calibri" w:eastAsia="Calibri" w:hAnsi="Calibri"/>
          <w:sz w:val="22"/>
          <w:szCs w:val="22"/>
        </w:rPr>
        <w:t>Jeder Prozess hat auf Prozessebene genau ein Start- und ein Endereignis. Alternative Ausgänge werden vor dem Ende zusammengeführt.</w:t>
      </w:r>
    </w:p>
    <w:p>
      <w:pPr>
        <w:pStyle w:val="ListParagraph"/>
        <w:numPr>
          <w:ilvl w:val="0"/>
          <w:numId w:val="2"/>
        </w:numPr>
        <w:spacing w:after="60" w:line="264"/>
      </w:pPr>
      <w:r>
        <w:rPr>
          <w:rFonts w:ascii="Calibri" w:cs="Calibri" w:eastAsia="Calibri" w:hAnsi="Calibri"/>
          <w:sz w:val="22"/>
          <w:szCs w:val="22"/>
        </w:rPr>
        <w:t>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pPr>
        <w:pStyle w:val="ListParagraph"/>
        <w:numPr>
          <w:ilvl w:val="0"/>
          <w:numId w:val="2"/>
        </w:numPr>
        <w:spacing w:after="60" w:line="264"/>
      </w:pPr>
      <w:r>
        <w:rPr>
          <w:rFonts w:ascii="Calibri" w:cs="Calibri" w:eastAsia="Calibri" w:hAnsi="Calibri"/>
          <w:sz w:val="22"/>
          <w:szCs w:val="22"/>
        </w:rPr>
        <w:t>Die Statuswerte des Reparaturauftrags entsprechen in allen Modellen der Aufzählung AuftragStatus.</w:t>
      </w:r>
    </w:p>
    <w:p>
      <w:pPr>
        <w:pStyle w:val="Heading2"/>
        <w:keepNext/>
        <w:spacing w:after="120" w:before="240"/>
      </w:pPr>
      <w:r>
        <w:rPr>
          <w:rFonts w:ascii="Calibri" w:cs="Calibri" w:eastAsia="Calibri" w:hAnsi="Calibri"/>
        </w:rPr>
        <w:t>3.2 Qualitätssicherung</w:t>
      </w:r>
    </w:p>
    <w:p>
      <w:pPr>
        <w:spacing w:after="120" w:line="276"/>
        <w:jc w:val="both"/>
      </w:pPr>
      <w:r>
        <w:rPr>
          <w:rFonts w:ascii="Calibri" w:cs="Calibri" w:eastAsia="Calibri" w:hAnsi="Calibri"/>
          <w:sz w:val="22"/>
          <w:szCs w:val="22"/>
        </w:rP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pPr>
        <w:spacing w:after="120" w:line="276"/>
        <w:jc w:val="both"/>
      </w:pPr>
      <w:r>
        <w:rPr>
          <w:rFonts w:ascii="Calibri" w:cs="Calibri" w:eastAsia="Calibri" w:hAnsi="Calibri"/>
          <w:sz w:val="22"/>
          <w:szCs w:val="22"/>
        </w:rPr>
        <w:t>Bis zum 08.10.2026 gab es vier Prüfrunden. In Sprint 1 haben wir die Diagramme im Zweierteam geprüft. Die Gesamtprüfung am 26.09.2026 (E-15) fand fachliche Fehler unter anderem in den Prozessen 02, 05, 06, 08 und 09, Datenobjekte, deren Namen nicht zu den Klassen passten, und Botschaften in Sequenzdiagrammen, die keine Operation der Empfängerklasse waren. Der Komplettcheck am 05.10.2026 (E-17) ergab 39 Befunde, davon 12 zu BPMN und 14 zu UML. Typisch waren Warteschleifen ohne Ausstieg, abgelehnte Aufträge ohne Rückgabe des Geräts und vertauschte include- und extend-Beziehungen. Die QA-Prüfung am selben Tag führte acht weitere Punkte auf (Q1 bis Q8). Die drei noch offenen (Q1 zu Prozess 06, Q2 und Q3 zu SD4) und der zurückgestellte Befund B12 zu Prozess 10 wurden am 08.10.2026 behoben, SD6 wurde dabei angeglichen (E-22).</w:t>
      </w:r>
    </w:p>
    <w:p>
      <w:pPr>
        <w:spacing w:after="120" w:line="276"/>
        <w:jc w:val="both"/>
      </w:pPr>
      <w:r>
        <w:rPr>
          <w:rFonts w:ascii="Calibri" w:cs="Calibri" w:eastAsia="Calibri" w:hAnsi="Calibri"/>
          <w:i/>
          <w:sz w:val="22"/>
          <w:szCs w:val="22"/>
          <w:shd w:val="clear" w:color="auto" w:fill="FFF2A8"/>
        </w:rPr>
        <w:t>[Nach dem 15.10. ergänzen: Ergebnis der Prüfung aller zehn BPMN-Dateien im Camunda Modeler (Problems-Panel leer?). Danach diesen Hinweis löschen.]</w:t>
      </w:r>
    </w:p>
    <w:p>
      <w:pPr>
        <w:pStyle w:val="Heading1"/>
        <w:keepNext/>
        <w:spacing w:after="120" w:before="360"/>
      </w:pPr>
      <w:r>
        <w:rPr>
          <w:rFonts w:ascii="Calibri" w:cs="Calibri" w:eastAsia="Calibri" w:hAnsi="Calibri"/>
        </w:rPr>
        <w:t>4 Projektmanagement</w:t>
      </w:r>
    </w:p>
    <w:p>
      <w:pPr>
        <w:pStyle w:val="Heading2"/>
        <w:keepNext/>
        <w:spacing w:after="120" w:before="240"/>
      </w:pPr>
      <w:r>
        <w:rPr>
          <w:rFonts w:ascii="Calibri" w:cs="Calibri" w:eastAsia="Calibri" w:hAnsi="Calibri"/>
        </w:rPr>
        <w:t>4.1 Vorgehensmodell und Kommunikation</w:t>
      </w:r>
    </w:p>
    <w:p>
      <w:pPr>
        <w:spacing w:after="120" w:line="276"/>
        <w:jc w:val="both"/>
      </w:pPr>
      <w:r>
        <w:rPr>
          <w:rFonts w:ascii="Calibri" w:cs="Calibri" w:eastAsia="Calibri" w:hAnsi="Calibri"/>
          <w:sz w:val="22"/>
          <w:szCs w:val="22"/>
        </w:rP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pPr>
        <w:spacing w:after="120" w:line="276"/>
        <w:jc w:val="both"/>
      </w:pPr>
      <w:r>
        <w:rPr>
          <w:rFonts w:ascii="Calibri" w:cs="Calibri" w:eastAsia="Calibri" w:hAnsi="Calibri"/>
          <w:sz w:val="22"/>
          <w:szCs w:val="22"/>
        </w:rP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pPr>
        <w:pStyle w:val="Heading2"/>
        <w:keepNext/>
        <w:spacing w:after="120" w:before="240"/>
      </w:pPr>
      <w:r>
        <w:rPr>
          <w:rFonts w:ascii="Calibri" w:cs="Calibri" w:eastAsia="Calibri" w:hAnsi="Calibri"/>
        </w:rPr>
        <w:t>4.2 Sprintplan und Verlauf</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cantSplit/>
        </w:trPr>
        <w:tc>
          <w:tcPr>
            <w:tcW w:type="dxa" w:w="13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Sprint</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Zeitraum</w:t>
            </w:r>
          </w:p>
        </w:tc>
        <w:tc>
          <w:tcPr>
            <w:tcW w:type="dxa" w:w="2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Ziel</w:t>
            </w:r>
          </w:p>
        </w:tc>
        <w:tc>
          <w:tcPr>
            <w:tcW w:type="dxa" w:w="40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1</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02.09.2026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Diagramme erstellen und im Zweierteam prüfen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Rollen, Konventionen und Repository festgelegt; je zwei BPMN-Diagramme an fünf Personen zur Prüfung verteilt, Review-Protokoll zu 09 und 10; UML-Modell als Importdatei (XMI) vorbereitet.</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2</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03.09.–05.10.2026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Korrekturen und Verhalten</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Zwei Prüfrunden mit Korrekturen an BPMN und UML (E-15 bis E-20), sechs Sequenzdiagramme an die Prozesse angeglichen; Grundsatzentscheidungen am 05.10. (E-21).</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3</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06.10.–15.10.2026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Fertigstellung</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QA-Befunde behoben (E-22), Zuständigkeiten für die Fertigstellung festgelegt (E-23), Use-Case-Diagramm nach dem Dozentenhinweis auf Rollen umgestellt (E-24). </w:t>
            </w:r>
            <w:r>
              <w:rPr>
                <w:rFonts w:ascii="Calibri" w:cs="Calibri" w:eastAsia="Calibri" w:hAnsi="Calibri"/>
                <w:b w:val="false"/>
                <w:bCs w:val="false"/>
                <w:i/>
                <w:color w:val="000000"/>
                <w:sz w:val="19"/>
                <w:szCs w:val="19"/>
                <w:shd w:val="clear" w:color="auto" w:fill="FFF2A8"/>
              </w:rPr>
              <w:t>[Ergebnis nach dem 15.10.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Sprint 4</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16.10.–22.10.2026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Generalprobe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r>
            <w:r>
              <w:rPr>
                <w:rFonts w:ascii="Calibri" w:cs="Calibri" w:eastAsia="Calibri" w:hAnsi="Calibri"/>
                <w:b w:val="false"/>
                <w:bCs w:val="false"/>
                <w:i/>
                <w:color w:val="000000"/>
                <w:sz w:val="19"/>
                <w:szCs w:val="19"/>
                <w:shd w:val="clear" w:color="auto" w:fill="FFF2A8"/>
              </w:rPr>
              <w:t>[Ergebnis nach dem 22.10. ergänzen]</w:t>
            </w:r>
          </w:p>
        </w:tc>
      </w:tr>
      <w:tr>
        <w:trPr>
          <w:cantSplit/>
        </w:trPr>
        <w:tc>
          <w:tcPr>
            <w:tcW w:type="dxa" w:w="13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27.10. und 13.11.2026</w:t>
            </w:r>
          </w:p>
        </w:tc>
        <w:tc>
          <w:tcPr>
            <w:tcW w:type="dxa" w:w="2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und Abgabe</w:t>
            </w:r>
          </w:p>
        </w:tc>
        <w:tc>
          <w:tcPr>
            <w:tcW w:type="dxa" w:w="40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Präsentation am 27.10.2026 in Raum B458, Abgabe bis 13.11.2026 über Moodle.</w:t>
            </w:r>
          </w:p>
        </w:tc>
      </w:tr>
    </w:tbl>
    <w:p>
      <w:pPr>
        <w:spacing w:after="200" w:before="60"/>
        <w:jc w:val="center"/>
      </w:pPr>
      <w:r>
        <w:rPr>
          <w:rFonts w:ascii="Calibri" w:cs="Calibri" w:eastAsia="Calibri" w:hAnsi="Calibri"/>
          <w:i/>
          <w:iCs/>
          <w:color w:val="595959"/>
          <w:sz w:val="18"/>
          <w:szCs w:val="18"/>
        </w:rPr>
        <w:t>Tabelle 3: Sprints und Ergebnisse</w:t>
      </w:r>
    </w:p>
    <w:p>
      <w:pPr>
        <w:spacing w:after="120" w:line="276"/>
        <w:jc w:val="both"/>
      </w:pPr>
      <w:r>
        <w:rPr>
          <w:rFonts w:ascii="Calibri" w:cs="Calibri" w:eastAsia="Calibri" w:hAnsi="Calibri"/>
          <w:sz w:val="22"/>
          <w:szCs w:val="22"/>
        </w:rPr>
        <w:t>Gegenüber dem Plan in Tabelle 3 gab es zwei Abweichungen. Die Übernahme des UML-Modells in Visual Paradigm war für Sprint 1 vorgesehen und begann erst in Sprint 3, weil sich die Modelle nach den Prüfrunden noch mehrfach änderten. Die Sequenzdiagramme lagen deshalb bis Sprint 3 nur als PlantUML-Entwurf vor. Außerdem kamen in Sprint 2 zwei Korrekturrunden hinzu, die nicht als Aufgaben eingeplant waren.</w:t>
      </w:r>
    </w:p>
    <w:p>
      <w:pPr>
        <w:pStyle w:val="Heading2"/>
        <w:keepNext/>
        <w:spacing w:after="120" w:before="240"/>
      </w:pPr>
      <w:r>
        <w:rPr>
          <w:rFonts w:ascii="Calibri" w:cs="Calibri" w:eastAsia="Calibri" w:hAnsi="Calibri"/>
        </w:rPr>
        <w:t>4.3 Aufgabensteuerung und Repository</w:t>
      </w:r>
    </w:p>
    <w:p>
      <w:pPr>
        <w:spacing w:after="120" w:line="276"/>
        <w:jc w:val="both"/>
      </w:pPr>
      <w:r>
        <w:rPr>
          <w:rFonts w:ascii="Calibri" w:cs="Calibri" w:eastAsia="Calibri" w:hAnsi="Calibri"/>
          <w:sz w:val="22"/>
          <w:szCs w:val="22"/>
        </w:rP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E-22). Word- und PowerPoint-Dateien lassen sich nicht automatisch zusammenführen, deshalb kündigen wir ihre Bearbeitung vorher in der WhatsApp-Gruppe an.</w:t>
      </w:r>
    </w:p>
    <w:p>
      <w:pPr>
        <w:spacing w:after="120" w:line="276"/>
        <w:jc w:val="both"/>
      </w:pPr>
      <w:r>
        <w:rPr>
          <w:rFonts w:ascii="Calibri" w:cs="Calibri" w:eastAsia="Calibri" w:hAnsi="Calibri"/>
          <w:sz w:val="22"/>
          <w:szCs w:val="22"/>
        </w:rP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pPr>
        <w:pStyle w:val="Heading2"/>
        <w:keepNext/>
        <w:spacing w:after="120" w:before="240"/>
      </w:pPr>
      <w:r>
        <w:rPr>
          <w:rFonts w:ascii="Calibri" w:cs="Calibri" w:eastAsia="Calibri" w:hAnsi="Calibri"/>
        </w:rPr>
        <w:t>4.4 Risiken</w:t>
      </w:r>
    </w:p>
    <w:p>
      <w:pPr>
        <w:spacing w:after="120" w:line="276"/>
        <w:jc w:val="both"/>
      </w:pPr>
      <w:r>
        <w:rPr>
          <w:rFonts w:ascii="Calibri" w:cs="Calibri" w:eastAsia="Calibri" w:hAnsi="Calibri"/>
          <w:sz w:val="22"/>
          <w:szCs w:val="22"/>
        </w:rPr>
        <w:t>Tabelle 4 fasst die wichtigsten Risiken und unsere Gegenmaßnahmen zusammen.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cantSplit/>
        </w:trPr>
        <w:tc>
          <w:tcPr>
            <w:tcW w:type="dxa" w:w="30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Risiko</w:t>
            </w:r>
          </w:p>
        </w:tc>
        <w:tc>
          <w:tcPr>
            <w:tcW w:type="dxa" w:w="16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Bewertung</w:t>
            </w:r>
          </w:p>
        </w:tc>
        <w:tc>
          <w:tcPr>
            <w:tcW w:type="dxa" w:w="47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Gegenmaßnahme</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Modelle laufen auseinander (Namen, Status, Rollen)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Gemeinsame Namensregeln, Konsistenzprüfung vor jedem Merge, Zuordnungstabelle in Abschnitt 5.6</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Mehrere Fassungen derselben Modelle</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hoch</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Nur ein verbindlicher Stand im Repository; Abweichungen werden verglichen und im Entscheidungslog entschieden</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VP-Teamwork-Server nur über VPN erreichbar</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mittel</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Lehre-VPN, regelmäßige lokale Sicherung der VPP-Datei</w:t>
            </w:r>
          </w:p>
        </w:tc>
      </w:tr>
      <w:tr>
        <w:trPr>
          <w:cantSplit/>
        </w:trPr>
        <w:tc>
          <w:tcPr>
            <w:tcW w:type="dxa" w:w="30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Ausfall eines Mitglieds vor der Präsentation</w:t>
            </w:r>
          </w:p>
        </w:tc>
        <w:tc>
          <w:tcPr>
            <w:tcW w:type="dxa" w:w="16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niedrig</w:t>
            </w:r>
          </w:p>
        </w:tc>
        <w:tc>
          <w:tcPr>
            <w:tcW w:type="dxa" w:w="47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Folien und Sprecherzuordnung im Repository, Vertretung bei der Generalprobe abstimmen</w:t>
            </w:r>
          </w:p>
        </w:tc>
      </w:tr>
    </w:tbl>
    <w:p>
      <w:pPr>
        <w:spacing w:after="200" w:before="60"/>
        <w:jc w:val="center"/>
      </w:pPr>
      <w:r>
        <w:rPr>
          <w:rFonts w:ascii="Calibri" w:cs="Calibri" w:eastAsia="Calibri" w:hAnsi="Calibri"/>
          <w:i/>
          <w:iCs/>
          <w:color w:val="595959"/>
          <w:sz w:val="18"/>
          <w:szCs w:val="18"/>
        </w:rPr>
        <w:t>Tabelle 4: Risiken und Gegenmaßnahmen</w:t>
      </w:r>
    </w:p>
    <w:p>
      <w:pPr>
        <w:pStyle w:val="Heading1"/>
        <w:keepNext/>
        <w:spacing w:after="120" w:before="360"/>
      </w:pPr>
      <w:r>
        <w:rPr>
          <w:rFonts w:ascii="Calibri" w:cs="Calibri" w:eastAsia="Calibri" w:hAnsi="Calibri"/>
        </w:rPr>
        <w:t>5 Überblick über die erstellten Artefakte</w:t>
      </w:r>
    </w:p>
    <w:p>
      <w:pPr>
        <w:spacing w:after="120" w:line="276"/>
        <w:jc w:val="both"/>
      </w:pPr>
      <w:r>
        <w:rPr>
          <w:rFonts w:ascii="Calibri" w:cs="Calibri" w:eastAsia="Calibri" w:hAnsi="Calibri"/>
          <w:sz w:val="22"/>
          <w:szCs w:val="22"/>
        </w:rPr>
        <w:t>Tabelle 5 zeigt, was wir abgeben. Alle vier Dateien liegen im Archiv Fallstudie-WWI25B4-Gruppe1.zip, das jedes Gruppenmitglied selbst in Moodle hochlädt. Die Abschnitte danach beschreiben die Modelle und zeigen jeweils ausgewählte Diagramme.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cantSplit/>
        </w:trPr>
        <w:tc>
          <w:tcPr>
            <w:tcW w:type="dxa" w:w="3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Datei</w:t>
            </w:r>
          </w:p>
        </w:tc>
        <w:tc>
          <w:tcPr>
            <w:tcW w:type="dxa" w:w="5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Inhalt</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Projekt-WWI25B4-Gruppe1.pdf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Diese Projektdokumentation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BPMN-WWI25B4-Gruppe1.zip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Zehn BPMN-2.0-Kollaborationsdiagramme als XML, benannt 01-Sofortdiagnose.bpmn bis 10-Retoure.bpmn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UML-WWI25B4-Gruppe1.vpp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Visual-Paradigm-Projekt mit Use-Case-Diagramm, Klassendiagramm und sechs Sequenzdiagrammen als Unterdiagramme der Use Cases</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Praesentation-WWI25B4-Gruppe1.pdf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Abschlusspräsentation mit Angabe, wer welchen Teil vorträgt</w:t>
            </w:r>
          </w:p>
        </w:tc>
      </w:tr>
    </w:tbl>
    <w:p>
      <w:pPr>
        <w:spacing w:after="200" w:before="60"/>
        <w:jc w:val="center"/>
      </w:pPr>
      <w:r>
        <w:rPr>
          <w:rFonts w:ascii="Calibri" w:cs="Calibri" w:eastAsia="Calibri" w:hAnsi="Calibri"/>
          <w:i/>
          <w:iCs/>
          <w:color w:val="595959"/>
          <w:sz w:val="18"/>
          <w:szCs w:val="18"/>
        </w:rPr>
        <w:t>Tabelle 5: Abgegebene Artefakte</w:t>
      </w:r>
    </w:p>
    <w:p>
      <w:pPr>
        <w:pStyle w:val="Heading2"/>
        <w:keepNext/>
        <w:spacing w:after="120" w:before="240"/>
      </w:pPr>
      <w:r>
        <w:rPr>
          <w:rFonts w:ascii="Calibri" w:cs="Calibri" w:eastAsia="Calibri" w:hAnsi="Calibri"/>
        </w:rPr>
        <w:t>5.1 Geschäftsprozessmodell (BPMN)</w:t>
      </w:r>
    </w:p>
    <w:p>
      <w:pPr>
        <w:spacing w:after="120" w:line="276"/>
        <w:jc w:val="both"/>
      </w:pPr>
      <w:r>
        <w:rPr>
          <w:rFonts w:ascii="Calibri" w:cs="Calibri" w:eastAsia="Calibri" w:hAnsi="Calibri"/>
          <w:sz w:val="22"/>
          <w:szCs w:val="22"/>
        </w:rPr>
        <w:t>Wir haben zehn Soll-Prozesse unseres Pilotkunden als Kollaborationsdiagramme modelliert (Tabelle 6). Zusammen enthalten sie 131 Aktivitäten im Werkstatt-Pool, im Schnitt 13,1 je Diagramm. Hinzu kommen 26 Aktivitäten in den Abläufen des Kunden, 41 Nachrichtenflüsse sowie 48 Datenobjekte und 12 Datenspeicher.</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cantSplit/>
        </w:trPr>
        <w:tc>
          <w:tcPr>
            <w:tcW w:type="dxa" w:w="4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Nr</w:t>
            </w:r>
          </w:p>
        </w:tc>
        <w:tc>
          <w:tcPr>
            <w:tcW w:type="dxa" w:w="2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Auslöser (Start)</w:t>
            </w:r>
          </w:p>
        </w:tc>
        <w:tc>
          <w:tcPr>
            <w:tcW w:type="dxa" w:w="15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Ergebnis (Ende)</w:t>
            </w:r>
          </w:p>
        </w:tc>
        <w:tc>
          <w:tcPr>
            <w:tcW w:type="dxa" w:w="17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Pools</w:t>
            </w:r>
          </w:p>
        </w:tc>
        <w:tc>
          <w:tcPr>
            <w:tcW w:type="dxa" w:w="11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Akt.</w:t>
            </w:r>
          </w:p>
        </w:tc>
        <w:tc>
          <w:tcPr>
            <w:tcW w:type="dxa" w:w="135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davon autom.</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KI-Sofortdiagnose und Voranmeldung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Anfrage eingegangen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Sofortdiagnose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 (100 %)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Auftragsannahme, Geräteregistrierung und Terminplanung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 erschienen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angenommen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4 (33 %)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Fehlerdiagnose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eingeplant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12</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(42 %)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und Kundenfreigabe</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angestoßen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KVA-Entscheidung verarbeitet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7 (64 %)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Ersatzteil-Verfügbarkeit und Reservierung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KVA freigegeben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(79 %)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Ersatzteil-Bestellung beim Lieferanten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Bestellbedarf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Bestellung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14</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(57 %)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Reparaturdurchführung und Arbeitszeiterfassung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Ersatzteile disponiert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13</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5 (38 %)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Abholung, Rechnung und Zahlung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Gerät abholbereit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Auftrag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17</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 (65 %)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und Gewährleistung</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 gemeldet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Kunde</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15</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(53 %)</w:t>
            </w:r>
          </w:p>
        </w:tc>
      </w:tr>
      <w:tr>
        <w:trPr>
          <w:cantSplit/>
        </w:trPr>
        <w:tc>
          <w:tcPr>
            <w:tcW w:type="dxa" w:w="4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w:t>
            </w:r>
          </w:p>
        </w:tc>
        <w:tc>
          <w:tcPr>
            <w:tcW w:type="dxa" w:w="2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Ersatzteil-Retoure und Lieferanten-Reklamation</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Mangelhaftes Teil festgestellt</w:t>
            </w:r>
          </w:p>
        </w:tc>
        <w:tc>
          <w:tcPr>
            <w:tcW w:type="dxa" w:w="15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Retoure abgeschlossen</w:t>
            </w:r>
          </w:p>
        </w:tc>
        <w:tc>
          <w:tcPr>
            <w:tcW w:type="dxa" w:w="17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Lieferant</w:t>
            </w:r>
          </w:p>
        </w:tc>
        <w:tc>
          <w:tcPr>
            <w:tcW w:type="dxa" w:w="11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11</w:t>
            </w:r>
          </w:p>
        </w:tc>
        <w:tc>
          <w:tcPr>
            <w:tcW w:type="dxa" w:w="135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8 (73 %)</w:t>
            </w:r>
          </w:p>
        </w:tc>
      </w:tr>
    </w:tbl>
    <w:p>
      <w:pPr>
        <w:spacing w:after="200" w:before="60"/>
        <w:jc w:val="center"/>
      </w:pPr>
      <w:r>
        <w:rPr>
          <w:rFonts w:ascii="Calibri" w:cs="Calibri" w:eastAsia="Calibri" w:hAnsi="Calibri"/>
          <w:i/>
          <w:iCs/>
          <w:color w:val="595959"/>
          <w:sz w:val="18"/>
          <w:szCs w:val="18"/>
        </w:rPr>
        <w:t>Tabelle 6: Prozesslandkarte mit Kennzahlen</w:t>
      </w:r>
    </w:p>
    <w:p>
      <w:pPr>
        <w:spacing w:after="120" w:line="276"/>
        <w:jc w:val="both"/>
      </w:pPr>
      <w:r>
        <w:rPr>
          <w:rFonts w:ascii="Calibri" w:cs="Calibri" w:eastAsia="Calibri" w:hAnsi="Calibri"/>
          <w:sz w:val="22"/>
          <w:szCs w:val="22"/>
        </w:rP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pPr>
        <w:spacing w:after="120" w:line="276"/>
        <w:jc w:val="both"/>
      </w:pPr>
      <w:r>
        <w:rPr>
          <w:rFonts w:ascii="Calibri" w:cs="Calibri" w:eastAsia="Calibri" w:hAnsi="Calibri"/>
          <w:sz w:val="22"/>
          <w:szCs w:val="22"/>
        </w:rP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pPr>
        <w:spacing w:after="120" w:line="276"/>
        <w:jc w:val="both"/>
      </w:pPr>
      <w:r>
        <w:rPr>
          <w:rFonts w:ascii="Calibri" w:cs="Calibri" w:eastAsia="Calibri" w:hAnsi="Calibri"/>
          <w:sz w:val="22"/>
          <w:szCs w:val="22"/>
        </w:rPr>
        <w:t>Die zehn Prozesse im Überblick:</w:t>
      </w:r>
    </w:p>
    <w:p>
      <w:pPr>
        <w:pStyle w:val="ListParagraph"/>
        <w:numPr>
          <w:ilvl w:val="0"/>
          <w:numId w:val="2"/>
        </w:numPr>
        <w:spacing w:after="60" w:line="264"/>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Aus Foto, Video oder Ton des Kunden entstehen Voranmeldung, KI-Diagnosevorschlag, vorläufiger KVA und Terminvorschlag. Nicht auswertbare Medien fordert das System neu an. Ohne Antwort binnen sieben Tagen wird die Voranmeldung verworfen.</w:t>
      </w:r>
    </w:p>
    <w:p>
      <w:pPr>
        <w:pStyle w:val="ListParagraph"/>
        <w:numPr>
          <w:ilvl w:val="0"/>
          <w:numId w:val="2"/>
        </w:numPr>
        <w:spacing w:after="60" w:line="264"/>
      </w:pPr>
      <w:r>
        <w:rPr>
          <w:rFonts w:ascii="Calibri" w:cs="Calibri" w:eastAsia="Calibri" w:hAnsi="Calibri"/>
          <w:b/>
          <w:bCs/>
          <w:sz w:val="22"/>
          <w:szCs w:val="22"/>
        </w:rPr>
        <w:t xml:space="preserve">02 Auftragsannahme und Terminplanung. </w:t>
      </w:r>
      <w:r>
        <w:rPr>
          <w:rFonts w:ascii="Calibri" w:cs="Calibri" w:eastAsia="Calibri" w:hAnsi="Calibri"/>
          <w:sz w:val="22"/>
          <w:szCs w:val="22"/>
        </w:rPr>
        <w:t>Das Gerät wird angenommen, Daten einer Voranmeldung werden übernommen. Die Werkstattleitung prüft die Auslastung, leitet bei Bedarf an eine andere Filiale um und weist einen Techniker zu.</w:t>
      </w:r>
    </w:p>
    <w:p>
      <w:pPr>
        <w:pStyle w:val="ListParagraph"/>
        <w:numPr>
          <w:ilvl w:val="0"/>
          <w:numId w:val="2"/>
        </w:numPr>
        <w:spacing w:after="60" w:line="264"/>
      </w:pPr>
      <w:r>
        <w:rPr>
          <w:rFonts w:ascii="Calibri" w:cs="Calibri" w:eastAsia="Calibri" w:hAnsi="Calibri"/>
          <w:b/>
          <w:bCs/>
          <w:sz w:val="22"/>
          <w:szCs w:val="22"/>
        </w:rPr>
        <w:t xml:space="preserve">03 Fehlerdiagnose. </w:t>
      </w:r>
      <w:r>
        <w:rPr>
          <w:rFonts w:ascii="Calibri" w:cs="Calibri" w:eastAsia="Calibri" w:hAnsi="Calibri"/>
          <w:sz w:val="22"/>
          <w:szCs w:val="22"/>
        </w:rPr>
        <w:t>Der Techniker prüft den KI-Vorschlag, misst und dokumentiert den Befund. Ist die Reparatur nicht wirtschaftlich, etwa bei Totalschaden, wird der Auftrag abgelehnt, und das Gerät geht über Prozess 08 mit Diagnosepauschale zurück.</w:t>
      </w:r>
    </w:p>
    <w:p>
      <w:pPr>
        <w:pStyle w:val="ListParagraph"/>
        <w:numPr>
          <w:ilvl w:val="0"/>
          <w:numId w:val="2"/>
        </w:numPr>
        <w:spacing w:after="60" w:line="264"/>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Der KVA wird berechnet, geprüft und versendet. Bleibt die Antwort drei Tage aus, wird er mit Erinnerung erneut gesendet. Nach dem dritten Fristablauf ohne Antwort gilt er als abgelehnt.</w:t>
      </w:r>
    </w:p>
    <w:p>
      <w:pPr>
        <w:pStyle w:val="ListParagraph"/>
        <w:numPr>
          <w:ilvl w:val="0"/>
          <w:numId w:val="2"/>
        </w:numPr>
        <w:spacing w:after="60" w:line="264"/>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Je Teil wird zuerst die eigene, dann jede andere Filiale geprüft. Teile werden reserviert oder umgelagert, Fehlteile gehen an Prozess 06.</w:t>
      </w:r>
    </w:p>
    <w:p>
      <w:pPr>
        <w:pStyle w:val="ListParagraph"/>
        <w:numPr>
          <w:ilvl w:val="0"/>
          <w:numId w:val="2"/>
        </w:numPr>
        <w:spacing w:after="60" w:line="264"/>
      </w:pPr>
      <w:r>
        <w:rPr>
          <w:rFonts w:ascii="Calibri" w:cs="Calibri" w:eastAsia="Calibri" w:hAnsi="Calibri"/>
          <w:b/>
          <w:bCs/>
          <w:sz w:val="22"/>
          <w:szCs w:val="22"/>
        </w:rPr>
        <w:t xml:space="preserve">06 Ersatzteil-Bestellung. </w:t>
      </w:r>
      <w:r>
        <w:rPr>
          <w:rFonts w:ascii="Calibri" w:cs="Calibri" w:eastAsia="Calibri" w:hAnsi="Calibri"/>
          <w:sz w:val="22"/>
          <w:szCs w:val="22"/>
        </w:rPr>
        <w:t>Fehlteile und Nachbestellvorschläge werden gebündelt bestellt, oberhalb einer Freigabegrenze erst nach Freigabe. Ohne Bestätigung oder nach zwei erfolglosen Mahnungen wird storniert und ein anderer Lieferant gesucht.</w:t>
      </w:r>
    </w:p>
    <w:p>
      <w:pPr>
        <w:pStyle w:val="ListParagraph"/>
        <w:numPr>
          <w:ilvl w:val="0"/>
          <w:numId w:val="2"/>
        </w:numPr>
        <w:spacing w:after="60" w:line="264"/>
      </w:pPr>
      <w:r>
        <w:rPr>
          <w:rFonts w:ascii="Calibri" w:cs="Calibri" w:eastAsia="Calibri" w:hAnsi="Calibri"/>
          <w:b/>
          <w:bCs/>
          <w:sz w:val="22"/>
          <w:szCs w:val="22"/>
        </w:rPr>
        <w:t xml:space="preserve">07 Reparaturdurchführung. </w:t>
      </w:r>
      <w:r>
        <w:rPr>
          <w:rFonts w:ascii="Calibri" w:cs="Calibri" w:eastAsia="Calibri" w:hAnsi="Calibri"/>
          <w:sz w:val="22"/>
          <w:szCs w:val="22"/>
        </w:rPr>
        <w:t>Der Techniker erfasst Schritte und Arbeitszeit. Ein Zusatzbefund führt zu einem Nachtrags-KVA. Nach bestandener Endkontrolle ist der Auftrag fertig, nach der zweiten erfolglosen Nacharbeit abgelehnt.</w:t>
      </w:r>
    </w:p>
    <w:p>
      <w:pPr>
        <w:pStyle w:val="ListParagraph"/>
        <w:numPr>
          <w:ilvl w:val="0"/>
          <w:numId w:val="2"/>
        </w:numPr>
        <w:spacing w:after="60" w:line="264"/>
      </w:pPr>
      <w:r>
        <w:rPr>
          <w:rFonts w:ascii="Calibri" w:cs="Calibri" w:eastAsia="Calibri" w:hAnsi="Calibri"/>
          <w:b/>
          <w:bCs/>
          <w:sz w:val="22"/>
          <w:szCs w:val="22"/>
        </w:rPr>
        <w:t xml:space="preserve">08 Abholung, Rechnung und Zahlung. </w:t>
      </w:r>
      <w:r>
        <w:rPr>
          <w:rFonts w:ascii="Calibri" w:cs="Calibri" w:eastAsia="Calibri" w:hAnsi="Calibri"/>
          <w:sz w:val="22"/>
          <w:szCs w:val="22"/>
        </w:rPr>
        <w:t>Rechnung, Benachrichtigung, Übergabe und Zahlung. Holt der Kunde nicht ab, folgen Erinnerungen, Lagergebühr und Verwertung, offene Rechnungen werden gemahnt und nach der dritten erfolglosen Mahnung an Inkasso übergeben.</w:t>
      </w:r>
    </w:p>
    <w:p>
      <w:pPr>
        <w:pStyle w:val="ListParagraph"/>
        <w:numPr>
          <w:ilvl w:val="0"/>
          <w:numId w:val="2"/>
        </w:numPr>
        <w:spacing w:after="60" w:line="264"/>
      </w:pPr>
      <w:r>
        <w:rPr>
          <w:rFonts w:ascii="Calibri" w:cs="Calibri" w:eastAsia="Calibri" w:hAnsi="Calibri"/>
          <w:b/>
          <w:bCs/>
          <w:sz w:val="22"/>
          <w:szCs w:val="22"/>
        </w:rPr>
        <w:t xml:space="preserve">09 Reklamation und Gewährleistung. </w:t>
      </w:r>
      <w:r>
        <w:rPr>
          <w:rFonts w:ascii="Calibri" w:cs="Calibri" w:eastAsia="Calibri" w:hAnsi="Calibri"/>
          <w:sz w:val="22"/>
          <w:szCs w:val="22"/>
        </w:rPr>
        <w:t>Der Mangel wird geprüft und die Gewährleistung bewertet. Kostenfreie Nacharbeit gibt die Werkstattleitung frei, sonst entscheidet der Kunde über ein Angebot.</w:t>
      </w:r>
    </w:p>
    <w:p>
      <w:pPr>
        <w:pStyle w:val="ListParagraph"/>
        <w:numPr>
          <w:ilvl w:val="0"/>
          <w:numId w:val="2"/>
        </w:numPr>
        <w:spacing w:after="60" w:line="264"/>
      </w:pPr>
      <w:r>
        <w:rPr>
          <w:rFonts w:ascii="Calibri" w:cs="Calibri" w:eastAsia="Calibri" w:hAnsi="Calibri"/>
          <w:b/>
          <w:bCs/>
          <w:sz w:val="22"/>
          <w:szCs w:val="22"/>
        </w:rPr>
        <w:t xml:space="preserve">10 Ersatzteil-Retoure. </w:t>
      </w:r>
      <w:r>
        <w:rPr>
          <w:rFonts w:ascii="Calibri" w:cs="Calibri" w:eastAsia="Calibri" w:hAnsi="Calibri"/>
          <w:sz w:val="22"/>
          <w:szCs w:val="22"/>
        </w:rPr>
        <w:t>Defekte Lieferantenteile werden angemeldet und zurückgesendet. Danach folgt eine Gutschrift oder eine Ersatzlieferung, ohne Antwort nach der Eskalation wird das Teil abgeschrieben.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01 KI-Sofortdiagnose und Voranmeldung</w:t>
            </w:r>
          </w:p>
          <w:p>
            <w:pPr>
              <w:jc w:val="center"/>
            </w:pPr>
            <w:r>
              <w:rPr>
                <w:rFonts w:ascii="Calibri" w:hAnsi="Calibri"/>
                <w:i/>
                <w:sz w:val="19"/>
              </w:rPr>
              <w:t>Camunda Modeler: 1_bpmn/p01-sofortdiagnose.bpmn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2: Prozess 01 KI-Sofortdiagnose und Voranmeldung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3685" w:hRule="exact"/>
          <w:cantSplit/>
        </w:trPr>
        <w:tc>
          <w:tcPr>
            <w:tcW w:type="dxa" w:w="9106"/>
            <w:shd w:val="clear" w:color="auto" w:fill="FFF8D6"/>
            <w:vAlign w:val="center"/>
          </w:tcPr>
          <w:p>
            <w:pPr>
              <w:jc w:val="center"/>
            </w:pPr>
            <w:r>
              <w:rPr>
                <w:rFonts w:ascii="Calibri" w:hAnsi="Calibri"/>
                <w:b/>
                <w:sz w:val="22"/>
              </w:rPr>
              <w:t>Abbildung einfügen: Prozess 04 Kostenvoranschlag und Kundenfreigabe</w:t>
            </w:r>
          </w:p>
          <w:p>
            <w:pPr>
              <w:jc w:val="center"/>
            </w:pPr>
            <w:r>
              <w:rPr>
                <w:rFonts w:ascii="Calibri" w:hAnsi="Calibri"/>
                <w:i/>
                <w:sz w:val="19"/>
              </w:rPr>
              <w:t>Camunda Modeler: 1_bpmn/p04-kostenvoranschlag.bpmn öffnen → File → Export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3: Prozess 04 Kostenvoranschlag und Kundenfreigabe</w:t>
      </w:r>
    </w:p>
    <w:p>
      <w:pPr>
        <w:pStyle w:val="Heading2"/>
        <w:keepNext/>
        <w:spacing w:after="120" w:before="240"/>
      </w:pPr>
      <w:r>
        <w:rPr>
          <w:rFonts w:ascii="Calibri" w:cs="Calibri" w:eastAsia="Calibri" w:hAnsi="Calibri"/>
        </w:rPr>
        <w:t>5.2 Automatisierungspotential</w:t>
      </w:r>
    </w:p>
    <w:p>
      <w:pPr>
        <w:spacing w:after="120" w:line="276"/>
        <w:jc w:val="both"/>
      </w:pPr>
      <w:r>
        <w:rPr>
          <w:rFonts w:ascii="Calibri" w:cs="Calibri" w:eastAsia="Calibri" w:hAnsi="Calibri"/>
          <w:sz w:val="22"/>
          <w:szCs w:val="22"/>
        </w:rPr>
        <w:t>Von den 131 Aktivitäten sind 79 automatisiert, regelbasiert oder Nachrichten der Plattform, also rund 60 Prozent. 33 weitere sind Benutzer-Aktivitäten in der Plattform. Neun manuelle Aktivitäten liegen außerhalb der Software, neun rufen einen anderen Prozess auf, und eine ist der Mehrfach-Teilprozess für die Prüfung je Ersatzteil. Die Software automatisiert vor allem:</w:t>
      </w:r>
    </w:p>
    <w:p>
      <w:pPr>
        <w:pStyle w:val="ListParagraph"/>
        <w:numPr>
          <w:ilvl w:val="0"/>
          <w:numId w:val="2"/>
        </w:numPr>
        <w:spacing w:after="60" w:line="264"/>
      </w:pPr>
      <w:r>
        <w:rPr>
          <w:rFonts w:ascii="Calibri" w:cs="Calibri" w:eastAsia="Calibri" w:hAnsi="Calibri"/>
          <w:sz w:val="22"/>
          <w:szCs w:val="22"/>
        </w:rPr>
        <w:t>die Statusführung des Reparaturauftrags mit Fristen, Erinnerungen, Mahnungen und Lagergebühr,</w:t>
      </w:r>
    </w:p>
    <w:p>
      <w:pPr>
        <w:pStyle w:val="ListParagraph"/>
        <w:numPr>
          <w:ilvl w:val="0"/>
          <w:numId w:val="2"/>
        </w:numPr>
        <w:spacing w:after="60" w:line="264"/>
      </w:pPr>
      <w:r>
        <w:rPr>
          <w:rFonts w:ascii="Calibri" w:cs="Calibri" w:eastAsia="Calibri" w:hAnsi="Calibri"/>
          <w:sz w:val="22"/>
          <w:szCs w:val="22"/>
        </w:rPr>
        <w:t>die Kundenkommunikation von der Sofortdiagnose bis zur Bewertungsanfrage,</w:t>
      </w:r>
    </w:p>
    <w:p>
      <w:pPr>
        <w:pStyle w:val="ListParagraph"/>
        <w:numPr>
          <w:ilvl w:val="0"/>
          <w:numId w:val="2"/>
        </w:numPr>
        <w:spacing w:after="60" w:line="264"/>
      </w:pPr>
      <w:r>
        <w:rPr>
          <w:rFonts w:ascii="Calibri" w:cs="Calibri" w:eastAsia="Calibri" w:hAnsi="Calibri"/>
          <w:sz w:val="22"/>
          <w:szCs w:val="22"/>
        </w:rPr>
        <w:t>die Berechnung von KVA und Rechnung aus Positionen, Ersatzteilpreisen und Arbeitszeiten,</w:t>
      </w:r>
    </w:p>
    <w:p>
      <w:pPr>
        <w:pStyle w:val="ListParagraph"/>
        <w:numPr>
          <w:ilvl w:val="0"/>
          <w:numId w:val="2"/>
        </w:numPr>
        <w:spacing w:after="60" w:line="264"/>
      </w:pPr>
      <w:r>
        <w:rPr>
          <w:rFonts w:ascii="Calibri" w:cs="Calibri" w:eastAsia="Calibri" w:hAnsi="Calibri"/>
          <w:sz w:val="22"/>
          <w:szCs w:val="22"/>
        </w:rPr>
        <w:t>die filialübergreifende Disposition mit Verfügbarkeitsprüfung, Reservierung, Umlagerung und Nachbestellvorschlag,</w:t>
      </w:r>
    </w:p>
    <w:p>
      <w:pPr>
        <w:pStyle w:val="ListParagraph"/>
        <w:numPr>
          <w:ilvl w:val="0"/>
          <w:numId w:val="2"/>
        </w:numPr>
        <w:spacing w:after="60" w:line="264"/>
      </w:pPr>
      <w:r>
        <w:rPr>
          <w:rFonts w:ascii="Calibri" w:cs="Calibri" w:eastAsia="Calibri" w:hAnsi="Calibri"/>
          <w:sz w:val="22"/>
          <w:szCs w:val="22"/>
        </w:rPr>
        <w:t>regelbasierte Entscheidungen wie Wirtschaftlichkeit, Gewährleistung und Freigabegrenze sowie die KI-Sofortdiagnose.</w:t>
      </w:r>
    </w:p>
    <w:p>
      <w:pPr>
        <w:pStyle w:val="Heading2"/>
        <w:keepNext/>
        <w:spacing w:after="120" w:before="240"/>
      </w:pPr>
      <w:r>
        <w:rPr>
          <w:rFonts w:ascii="Calibri" w:cs="Calibri" w:eastAsia="Calibri" w:hAnsi="Calibri"/>
        </w:rPr>
        <w:t>5.3 Use-Case-Diagramm</w:t>
      </w:r>
    </w:p>
    <w:p>
      <w:pPr>
        <w:spacing w:after="120" w:line="276"/>
        <w:jc w:val="both"/>
      </w:pPr>
      <w:r>
        <w:rPr>
          <w:rFonts w:ascii="Calibri" w:cs="Calibri" w:eastAsia="Calibri" w:hAnsi="Calibri"/>
          <w:sz w:val="22"/>
          <w:szCs w:val="22"/>
        </w:rPr>
        <w:t>Das Use-Case-Diagramm (Abbildung 4) zeigt, was RepairFlow aus Sicht seiner Benutzer leistet. Es enthält 19 Use Cases und 18 Akteure: den Kunden, 15 Mitarbeiterrollen und die externen Akteure Lieferant und KI-Diagnosedienst. Jeder Use Case hat genau eine Rolle als primären Akteur. Diese Struktur geht auf einen Hinweis des Dozenten vom 15.10.2026 zurück: Unsere erste Fassung hatte sechs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Kunde und Lieferant sind mehrfach dargestellt, damit sich keine Linien kreuzen. UC08 „Ersatzteil-Verfügbarkeit prüfen“ wird nur über include erreicht und hat deshalb keinen eigenen Akteur.</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381"/>
        <w:gridCol w:w="1474"/>
        <w:gridCol w:w="2608"/>
        <w:gridCol w:w="2608"/>
      </w:tblGrid>
      <w:tr>
        <w:trPr>
          <w:tblHeader/>
          <w:cantSplit/>
        </w:trPr>
        <w:tc>
          <w:tcPr>
            <w:tcW w:type="dxa" w:w="2381"/>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Rolle (Akteur)</w:t>
            </w:r>
          </w:p>
        </w:tc>
        <w:tc>
          <w:tcPr>
            <w:tcW w:type="dxa" w:w="1474"/>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w:t>
            </w:r>
          </w:p>
        </w:tc>
        <w:tc>
          <w:tcPr>
            <w:tcW w:type="dxa" w:w="2608"/>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Klasse im Klassendiagramm</w:t>
            </w:r>
          </w:p>
        </w:tc>
        <w:tc>
          <w:tcPr>
            <w:tcW w:type="dxa" w:w="2608"/>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Lane / Pool in BPMN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UC02, UC07</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Kunde</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Pool Kunde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Serviceannahme</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UC03</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Servicemitarbeiter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 / Annahme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Geräteausgabe</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UC15</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Servicemitarbeiter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 / Annahme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Reklamationsbearbeiter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Servicemitarbeiter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Service / Annahme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Diagnoseprüfer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UC04</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Diagnostiker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UC05</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Kalkulator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UC06</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Reparateur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UC13</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Endkontrolleur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UC14</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Techniker</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Teiledisponent</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UC09</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Bestandsplaner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UC12</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Einkäufer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Wareneingang</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UC11</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Retourenbearbeiter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UC19</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Disponent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Ersatzteil-Disposition</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Werkstattplaner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UC17</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Werkstattleiter</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Werkstattleitung</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Betriebsadministrator</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UC18</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Werkstattbetrieb («mandant»)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außerhalb der zehn Prozesse</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 (extern)</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UC11, UC19</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Pool Lieferant</w:t>
            </w:r>
          </w:p>
        </w:tc>
      </w:tr>
      <w:tr>
        <w:trPr>
          <w:cantSplit/>
        </w:trPr>
        <w:tc>
          <w:tcPr>
            <w:tcW w:type="dxa" w:w="2381"/>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KI-Diagnosedienst (extern)</w:t>
            </w:r>
          </w:p>
        </w:tc>
        <w:tc>
          <w:tcPr>
            <w:tcW w:type="dxa" w:w="147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KIDiagnosevorschlag</w:t>
            </w:r>
          </w:p>
        </w:tc>
        <w:tc>
          <w:tcPr>
            <w:tcW w:type="dxa" w:w="2608"/>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Nachrichtenfluss in Prozess 01</w:t>
            </w:r>
          </w:p>
        </w:tc>
      </w:tr>
    </w:tbl>
    <w:p>
      <w:pPr>
        <w:spacing w:after="200" w:before="60"/>
        <w:jc w:val="center"/>
      </w:pPr>
      <w:r>
        <w:rPr>
          <w:rFonts w:ascii="Calibri" w:cs="Calibri" w:eastAsia="Calibri" w:hAnsi="Calibri"/>
          <w:i/>
          <w:iCs/>
          <w:color w:val="595959"/>
          <w:sz w:val="18"/>
          <w:szCs w:val="18"/>
        </w:rPr>
        <w:t>Tabelle 7: Rollen des Use-Case-Diagramms und ihre Entsprechung in Klassen- und Prozessmodell</w:t>
      </w:r>
    </w:p>
    <w:p>
      <w:pPr>
        <w:spacing w:after="120" w:line="276"/>
        <w:jc w:val="both"/>
      </w:pPr>
      <w:r>
        <w:rPr>
          <w:rFonts w:ascii="Calibri" w:cs="Calibri" w:eastAsia="Calibri" w:hAnsi="Calibri"/>
          <w:sz w:val="22"/>
          <w:szCs w:val="22"/>
        </w:rPr>
        <w:t>Zwei include-Beziehungen stehen für Teilschritte, die immer ausgeführt werden: „Sofortdiagnose anfordern“ und „Ersatzteile disponieren und reservieren“ schließen „Ersatzteil-Verfügbarkeit prüfen“ ein. Sechs extend-Beziehungen beschreiben bedingtes Verhalten, jeweils mit Bedingung. So erweitert „Lieferantenbestellung auslösen“ die Disposition nur, wenn Fehlteile vorhanden sind, und „Retoure abwickeln“ den Wareneingang nur bei mangelhafter Lieferung.</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7371" w:hRule="exact"/>
          <w:cantSplit/>
        </w:trPr>
        <w:tc>
          <w:tcPr>
            <w:tcW w:type="dxa" w:w="9106"/>
            <w:shd w:val="clear" w:color="auto" w:fill="FFF8D6"/>
            <w:vAlign w:val="center"/>
          </w:tcPr>
          <w:p>
            <w:pPr>
              <w:jc w:val="center"/>
            </w:pPr>
            <w:r>
              <w:rPr>
                <w:rFonts w:ascii="Calibri" w:hAnsi="Calibri"/>
                <w:b/>
                <w:sz w:val="22"/>
              </w:rPr>
              <w:t>Abbildung einfügen: Use-Case-Diagramm „ud : RepairFlow“</w:t>
            </w:r>
          </w:p>
          <w:p>
            <w:pPr>
              <w:jc w:val="center"/>
            </w:pPr>
            <w:r>
              <w:rPr>
                <w:rFonts w:ascii="Calibri" w:hAnsi="Calibri"/>
                <w:i/>
                <w:sz w:val="19"/>
              </w:rPr>
              <w:t>Visual Paradigm: Diagramm öffnen → File → Export → Active Diagram as Image → PNG. Einfügen mit 16 cm Breite, dann diesen Kasten löschen.</w:t>
            </w:r>
          </w:p>
        </w:tc>
      </w:tr>
    </w:tbl>
    <w:p>
      <w:pPr>
        <w:spacing w:after="200" w:before="60"/>
        <w:jc w:val="center"/>
      </w:pPr>
      <w:r>
        <w:rPr>
          <w:rFonts w:ascii="Calibri" w:cs="Calibri" w:eastAsia="Calibri" w:hAnsi="Calibri"/>
          <w:i/>
          <w:iCs/>
          <w:color w:val="595959"/>
          <w:sz w:val="18"/>
          <w:szCs w:val="18"/>
        </w:rPr>
        <w:t>Abbildung 4: Use-Case-Diagramm RepairFlow</w:t>
      </w:r>
    </w:p>
    <w:p>
      <w:pPr>
        <w:pStyle w:val="Heading2"/>
        <w:keepNext/>
        <w:spacing w:after="120" w:before="240"/>
      </w:pPr>
      <w:r>
        <w:rPr>
          <w:rFonts w:ascii="Calibri" w:cs="Calibri" w:eastAsia="Calibri" w:hAnsi="Calibri"/>
        </w:rPr>
        <w:t>5.4 Klassendiagramm</w:t>
      </w:r>
    </w:p>
    <w:p>
      <w:pPr>
        <w:spacing w:after="120" w:line="276"/>
        <w:jc w:val="both"/>
      </w:pPr>
      <w:r>
        <w:rPr>
          <w:rFonts w:ascii="Calibri" w:cs="Calibri" w:eastAsia="Calibri" w:hAnsi="Calibri"/>
          <w:sz w:val="22"/>
          <w:szCs w:val="22"/>
        </w:rPr>
        <w:t>Das Klassendiagramm (Abbildung 5) umfasst 27 Klassen, darunter die abstrakten Klassen Person und Mitarbeiter, sowie sieben Aufzählungen und 36 Assoziationen. Wichtige Entwurfsentscheidungen sind:</w:t>
      </w:r>
    </w:p>
    <w:p>
      <w:pPr>
        <w:pStyle w:val="ListParagraph"/>
        <w:numPr>
          <w:ilvl w:val="0"/>
          <w:numId w:val="2"/>
        </w:numPr>
        <w:spacing w:after="60" w:line="264"/>
      </w:pPr>
      <w:r>
        <w:rPr>
          <w:rFonts w:ascii="Calibri" w:cs="Calibri" w:eastAsia="Calibri" w:hAnsi="Calibri"/>
          <w:b/>
          <w:bCs/>
          <w:sz w:val="22"/>
          <w:szCs w:val="22"/>
        </w:rPr>
        <w:t xml:space="preserve">Reparaturauftrag im Zentrum. </w:t>
      </w:r>
      <w:r>
        <w:rPr>
          <w:rFonts w:ascii="Calibri" w:cs="Calibri" w:eastAsia="Calibri" w:hAnsi="Calibri"/>
          <w:sz w:val="22"/>
          <w:szCs w:val="22"/>
        </w:rPr>
        <w:t>Fehlerbefund und Reparaturschritte existieren nur mit ihrem Auftrag und sind Kompositionen. Der KVA ist nur assoziiert, weil der vorläufige KVA der Sofortdiagnose schon vor dem Auftrag entsteht. Der Auftrag hält den Status und die Operation wechsleStatus().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Ein Ersatzteil ist ein Stammdatum, sein Bestand unterscheidet sich je Filiale. Erst die Klasse Lagerbestand zwischen Ersatzteil und Filiale macht die filialübergreifende Verfügbarkeitsprüfung möglich.</w:t>
      </w:r>
    </w:p>
    <w:p>
      <w:pPr>
        <w:pStyle w:val="ListParagraph"/>
        <w:numPr>
          <w:ilvl w:val="0"/>
          <w:numId w:val="2"/>
        </w:numPr>
        <w:spacing w:after="60" w:line="264"/>
      </w:pPr>
      <w:r>
        <w:rPr>
          <w:rFonts w:ascii="Calibri" w:cs="Calibri" w:eastAsia="Calibri" w:hAnsi="Calibri"/>
          <w:b/>
          <w:bCs/>
          <w:sz w:val="22"/>
          <w:szCs w:val="22"/>
        </w:rPr>
        <w:t xml:space="preserve">Reservierung als eigene Klasse. </w:t>
      </w:r>
      <w:r>
        <w:rPr>
          <w:rFonts w:ascii="Calibri" w:cs="Calibri" w:eastAsia="Calibri" w:hAnsi="Calibri"/>
          <w:sz w:val="22"/>
          <w:szCs w:val="22"/>
        </w:rPr>
        <w:t>ErsatzteilReservierung hat Menge, Datum und einen eigenen Lebenszyklus (vorreserviert, reserviert, entnommen, storniert) und hängt an einem Auftrag oder bei der Sofortdiagnose an einer Voranmeldung.</w:t>
      </w:r>
    </w:p>
    <w:p>
      <w:pPr>
        <w:pStyle w:val="ListParagraph"/>
        <w:numPr>
          <w:ilvl w:val="0"/>
          <w:numId w:val="2"/>
        </w:numPr>
        <w:spacing w:after="60" w:line="264"/>
      </w:pPr>
      <w:r>
        <w:rPr>
          <w:rFonts w:ascii="Calibri" w:cs="Calibri" w:eastAsia="Calibri" w:hAnsi="Calibri"/>
          <w:b/>
          <w:bCs/>
          <w:sz w:val="22"/>
          <w:szCs w:val="22"/>
        </w:rPr>
        <w:t xml:space="preserve">Mandant und Rollen. </w:t>
      </w:r>
      <w:r>
        <w:rPr>
          <w:rFonts w:ascii="Calibri" w:cs="Calibri" w:eastAsia="Calibri" w:hAnsi="Calibri"/>
          <w:sz w:val="22"/>
          <w:szCs w:val="22"/>
        </w:rP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Eine Reklamation verweist auf den Ursprungsauftrag und führt zu einem neuen Reparaturauftrag, dessen Attribut kostenfrei angibt, ob die Gewährleistung greift.</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10773" w:hRule="exact"/>
          <w:cantSplit/>
        </w:trPr>
        <w:tc>
          <w:tcPr>
            <w:tcW w:type="dxa" w:w="9106"/>
            <w:shd w:val="clear" w:color="auto" w:fill="FFF8D6"/>
            <w:vAlign w:val="center"/>
          </w:tcPr>
          <w:p>
            <w:pPr>
              <w:jc w:val="center"/>
            </w:pPr>
            <w:r>
              <w:rPr>
                <w:rFonts w:ascii="Calibri" w:hAnsi="Calibri"/>
                <w:b/>
                <w:sz w:val="22"/>
              </w:rPr>
              <w:t>Abbildung einfügen: Klassendiagramm „cd : RepairFlow“</w:t>
            </w:r>
          </w:p>
          <w:p>
            <w:pPr>
              <w:jc w:val="center"/>
            </w:pPr>
            <w:r>
              <w:rPr>
                <w:rFonts w:ascii="Calibri" w:hAnsi="Calibri"/>
                <w:i/>
                <w:sz w:val="19"/>
              </w:rPr>
              <w:t>Visual Paradigm: Diagramm öffnen → File → Export → Active Diagram as Image → PNG. Einfügen mit 16 cm Breite (bei Bedarf Querformat), dann diesen Kasten löschen.</w:t>
            </w:r>
          </w:p>
        </w:tc>
      </w:tr>
    </w:tbl>
    <w:p>
      <w:pPr>
        <w:spacing w:after="200" w:before="60"/>
        <w:jc w:val="center"/>
      </w:pPr>
      <w:r>
        <w:rPr>
          <w:rFonts w:ascii="Calibri" w:cs="Calibri" w:eastAsia="Calibri" w:hAnsi="Calibri"/>
          <w:i/>
          <w:iCs/>
          <w:color w:val="595959"/>
          <w:sz w:val="18"/>
          <w:szCs w:val="18"/>
        </w:rPr>
        <w:t>Abbildung 5: Klassendiagramm RepairFlow</w:t>
      </w:r>
    </w:p>
    <w:p>
      <w:pPr>
        <w:pStyle w:val="Heading2"/>
        <w:keepNext/>
        <w:spacing w:after="120" w:before="240"/>
      </w:pPr>
      <w:r>
        <w:rPr>
          <w:rFonts w:ascii="Calibri" w:cs="Calibri" w:eastAsia="Calibri" w:hAnsi="Calibri"/>
        </w:rPr>
        <w:t>5.5 Sequenzdiagramme</w:t>
      </w:r>
    </w:p>
    <w:p>
      <w:pPr>
        <w:spacing w:after="120" w:line="276"/>
        <w:jc w:val="both"/>
      </w:pPr>
      <w:r>
        <w:rPr>
          <w:rFonts w:ascii="Calibri" w:cs="Calibri" w:eastAsia="Calibri" w:hAnsi="Calibri"/>
          <w:sz w:val="22"/>
          <w:szCs w:val="22"/>
        </w:rPr>
        <w:t>Für sechs Use Cases haben wir Sequenzdiagramme erstellt, gefordert waren fünf (Tabelle 8). Jedes folgt einem Prozess. Die erste Lebenslinie ist die Rolle des Use Case aus Abbildung 4; weitere beteiligte Rollen tragen ihren Namen aus dem Use-Case-Diagramm oder, wenn sie dort nicht vorkommen, den Mitarbeitertyp (Werkstattleiter). Die übrigen Lebenslinien sind Objekte der Klassen, Botschaften an Objekte sind Operationen des Klassendiagramms. Kombinierte Fragmente bilden Verzweigungen (alt, opt), Schleifen (loop), parallele Prüfungen (par) und Verweise auf andere Use Cases (ref) ab.</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190"/>
        <w:gridCol w:w="2494"/>
        <w:gridCol w:w="907"/>
        <w:gridCol w:w="4479"/>
      </w:tblGrid>
      <w:tr>
        <w:trPr>
          <w:tblHeader/>
          <w:cantSplit/>
        </w:trPr>
        <w:tc>
          <w:tcPr>
            <w:tcW w:type="dxa" w:w="119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Diagramm</w:t>
            </w:r>
          </w:p>
        </w:tc>
        <w:tc>
          <w:tcPr>
            <w:tcW w:type="dxa" w:w="2494"/>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w:t>
            </w:r>
          </w:p>
        </w:tc>
        <w:tc>
          <w:tcPr>
            <w:tcW w:type="dxa" w:w="907"/>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w:t>
            </w:r>
          </w:p>
        </w:tc>
        <w:tc>
          <w:tcPr>
            <w:tcW w:type="dxa" w:w="4479"/>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Kern des Ablaufs</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Sofortdiagnose anfordern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Medienprüfung mit Nachreichen, KI-Vorschlag, vorläufiger KVA, Terminvorschlag, Vorreservierung erst nach Bestätigung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UC07 KVA freigeben / ablehnen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Versand, Erinnerung nach je drei Tagen, Ablehnung nach dem dritten Fristablauf, Freigabe startet die Disposition, Ablehnung führt zur Abholung</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UC09 Ersatzteile disponieren und reservieren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Parallele Prüfung je Teil über eigene und andere Filialen, Umlagerung oder Fehlteil, Meldebestand</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UC14 Auftrag fertigmelden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Fertigmeldung erst nach Endkontrolle, höchstens zwei Nacharbeiten, sonst Status abgelehnt</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Reklamation bearbeiten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Mangelprüfung, Gewährleistung, Nacharbeitsauftrag nur nach Freigabe oder Annahme</w:t>
            </w:r>
          </w:p>
        </w:tc>
      </w:tr>
      <w:tr>
        <w:trPr>
          <w:cantSplit/>
        </w:trPr>
        <w:tc>
          <w:tcPr>
            <w:tcW w:type="dxa" w:w="119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c>
          <w:tcPr>
            <w:tcW w:type="dxa" w:w="2494"/>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Lieferantenbestellung auslösen</w:t>
            </w:r>
          </w:p>
        </w:tc>
        <w:tc>
          <w:tcPr>
            <w:tcW w:type="dxa" w:w="907"/>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w:t>
            </w:r>
          </w:p>
        </w:tc>
        <w:tc>
          <w:tcPr>
            <w:tcW w:type="dxa" w:w="4479"/>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Bündelung, Freigabegrenze, Bestätigung oder Storno, zwei Mahnungen, Wareneingang</w:t>
            </w:r>
          </w:p>
        </w:tc>
      </w:tr>
    </w:tbl>
    <w:p>
      <w:pPr>
        <w:spacing w:after="200" w:before="60"/>
        <w:jc w:val="center"/>
      </w:pPr>
      <w:r>
        <w:rPr>
          <w:rFonts w:ascii="Calibri" w:cs="Calibri" w:eastAsia="Calibri" w:hAnsi="Calibri"/>
          <w:i/>
          <w:iCs/>
          <w:color w:val="595959"/>
          <w:sz w:val="18"/>
          <w:szCs w:val="18"/>
        </w:rPr>
        <w:t>Tabelle 8: Die sechs Sequenzdiagramme</w:t>
      </w:r>
    </w:p>
    <w:p>
      <w:pPr>
        <w:spacing w:after="120" w:line="276"/>
        <w:jc w:val="both"/>
      </w:pPr>
      <w:r>
        <w:rPr>
          <w:rFonts w:ascii="Calibri" w:cs="Calibri" w:eastAsia="Calibri" w:hAnsi="Calibri"/>
          <w:sz w:val="22"/>
          <w:szCs w:val="22"/>
        </w:rPr>
        <w:t>Abbildung 6 zeigt SD1 zum Alleinstellungsmerkmal, Abbildung 7 SD3 zur filialübergreifenden Disposition.</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SD1 – Sofortdiagnose anfordern (Unterdiagramm von UC01)</w:t>
            </w:r>
          </w:p>
          <w:p>
            <w:pPr>
              <w:jc w:val="center"/>
            </w:pPr>
            <w:r>
              <w:rPr>
                <w:rFonts w:ascii="Calibri" w:hAnsi="Calibri"/>
                <w:i/>
                <w:sz w:val="19"/>
              </w:rPr>
              <w:t>Visual Paradigm: SD1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6: SD1 Sofortdiagnose anfordern (UC01)</w:t>
      </w:r>
    </w:p>
    <w:tbl>
      <w:tblPr>
        <w:tblW w:type="auto" w:w="0"/>
        <w:tblLook w:firstColumn="1" w:firstRow="1" w:lastColumn="0" w:lastRow="0" w:noHBand="0" w:noVBand="1" w:val="04A0"/>
        <w:tblBorders>
          <w:top w:val="dashed" w:sz="8" w:color="B8860B"/>
          <w:left w:val="dashed" w:sz="8" w:color="B8860B"/>
          <w:bottom w:val="dashed" w:sz="8" w:color="B8860B"/>
          <w:right w:val="dashed" w:sz="8" w:color="B8860B"/>
        </w:tblBorders>
        <w:tblW w:w="9070" w:type="dxa"/>
        <w:jc w:val="center"/>
      </w:tblPr>
      <w:tblGrid>
        <w:gridCol w:w="9106"/>
      </w:tblGrid>
      <w:tr>
        <w:trPr>
          <w:trHeight w:val="5670" w:hRule="exact"/>
          <w:cantSplit/>
        </w:trPr>
        <w:tc>
          <w:tcPr>
            <w:tcW w:type="dxa" w:w="9106"/>
            <w:shd w:val="clear" w:color="auto" w:fill="FFF8D6"/>
            <w:vAlign w:val="center"/>
          </w:tcPr>
          <w:p>
            <w:pPr>
              <w:jc w:val="center"/>
            </w:pPr>
            <w:r>
              <w:rPr>
                <w:rFonts w:ascii="Calibri" w:hAnsi="Calibri"/>
                <w:b/>
                <w:sz w:val="22"/>
              </w:rPr>
              <w:t>Abbildung einfügen: SD3 – Ersatzteile disponieren und reservieren (Unterdiagramm von UC09)</w:t>
            </w:r>
          </w:p>
          <w:p>
            <w:pPr>
              <w:jc w:val="center"/>
            </w:pPr>
            <w:r>
              <w:rPr>
                <w:rFonts w:ascii="Calibri" w:hAnsi="Calibri"/>
                <w:i/>
                <w:sz w:val="19"/>
              </w:rPr>
              <w:t>Visual Paradigm: SD3 öffnen → File → Export → Active Diagram as Image → PNG. Einfügen mit 15 cm Breite, dann diesen Kasten löschen.</w:t>
            </w:r>
          </w:p>
        </w:tc>
      </w:tr>
    </w:tbl>
    <w:p>
      <w:pPr>
        <w:spacing w:after="200" w:before="60"/>
        <w:jc w:val="center"/>
      </w:pPr>
      <w:r>
        <w:rPr>
          <w:rFonts w:ascii="Calibri" w:cs="Calibri" w:eastAsia="Calibri" w:hAnsi="Calibri"/>
          <w:i/>
          <w:iCs/>
          <w:color w:val="595959"/>
          <w:sz w:val="18"/>
          <w:szCs w:val="18"/>
        </w:rPr>
        <w:t>Abbildung 7: SD3 Ersatzteile disponieren und reservieren (UC09)</w:t>
      </w:r>
    </w:p>
    <w:p>
      <w:pPr>
        <w:pStyle w:val="Heading2"/>
        <w:keepNext/>
        <w:spacing w:after="120" w:before="240"/>
      </w:pPr>
      <w:r>
        <w:rPr>
          <w:rFonts w:ascii="Calibri" w:cs="Calibri" w:eastAsia="Calibri" w:hAnsi="Calibri"/>
        </w:rPr>
        <w:t>5.6 Konsistenz zwischen den Modellen</w:t>
      </w:r>
    </w:p>
    <w:p>
      <w:pPr>
        <w:spacing w:after="120" w:line="276"/>
        <w:jc w:val="both"/>
      </w:pPr>
      <w:r>
        <w:rPr>
          <w:rFonts w:ascii="Calibri" w:cs="Calibri" w:eastAsia="Calibri" w:hAnsi="Calibri"/>
          <w:sz w:val="22"/>
          <w:szCs w:val="22"/>
        </w:rP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cantSplit/>
        </w:trPr>
        <w:tc>
          <w:tcPr>
            <w:tcW w:type="dxa" w:w="19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Prozess (BPMN)</w:t>
            </w:r>
          </w:p>
        </w:tc>
        <w:tc>
          <w:tcPr>
            <w:tcW w:type="dxa" w:w="22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Use Cases</w:t>
            </w:r>
          </w:p>
        </w:tc>
        <w:tc>
          <w:tcPr>
            <w:tcW w:type="dxa" w:w="31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Zentrale Klassen</w:t>
            </w:r>
          </w:p>
        </w:tc>
        <w:tc>
          <w:tcPr>
            <w:tcW w:type="dxa" w:w="21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SD</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01 KI-Sofortdiagnose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UC01, UC02, UC08</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Voranmeldung, Medienanhang, KIDiagnosevorschlag, Kostenvoranschlag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SD1</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02 Auftragsannahme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UC03, UC17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Reparaturauftrag, Geraet, Filiale, Werkstattleiter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03 Fehlerdiagnose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UC04, UC05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Fehlerbefund, Techniker, KIDiagnosevorschlag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04 Kostenvoranschlag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UC06, UC07</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Kostenvoranschlag, KvaPosition</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SD2</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05 Ersatzteil-Reservierung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UC08, UC09, UC12</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Lagerbestand, ErsatzteilReservierung, Disponent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SD3</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06 Ersatzteil-Bestellung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UC10, UC11</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Bestellposition, Lieferant</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SD6</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07 Reparaturdurchführung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UC13, UC14</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Reparaturschritt, Arbeitszeitbuchung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SD4</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08 Abholung</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UC15</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Rechnung, Servicemitarbeiter</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09 Reklamation</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UC16, UC03</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Reklamation, Reparaturauftrag</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SD5</w:t>
            </w:r>
          </w:p>
        </w:tc>
      </w:tr>
      <w:tr>
        <w:trPr>
          <w:cantSplit/>
        </w:trPr>
        <w:tc>
          <w:tcPr>
            <w:tcW w:type="dxa" w:w="19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10 Retoure</w:t>
            </w:r>
          </w:p>
        </w:tc>
        <w:tc>
          <w:tcPr>
            <w:tcW w:type="dxa" w:w="22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UC19</w:t>
            </w:r>
          </w:p>
        </w:tc>
        <w:tc>
          <w:tcPr>
            <w:tcW w:type="dxa" w:w="31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Lieferantenbestellung, Lagerbestand</w:t>
            </w:r>
          </w:p>
        </w:tc>
        <w:tc>
          <w:tcPr>
            <w:tcW w:type="dxa" w:w="21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w:t>
            </w:r>
          </w:p>
        </w:tc>
      </w:tr>
    </w:tbl>
    <w:p>
      <w:pPr>
        <w:spacing w:after="200" w:before="60"/>
        <w:jc w:val="center"/>
      </w:pPr>
      <w:r>
        <w:rPr>
          <w:rFonts w:ascii="Calibri" w:cs="Calibri" w:eastAsia="Calibri" w:hAnsi="Calibri"/>
          <w:i/>
          <w:iCs/>
          <w:color w:val="595959"/>
          <w:sz w:val="18"/>
          <w:szCs w:val="18"/>
        </w:rPr>
        <w:t>Tabelle 9: Zuordnung von Prozessen, Use Cases, Klassen und Sequenzdiagrammen</w:t>
      </w:r>
    </w:p>
    <w:p>
      <w:pPr>
        <w:spacing w:after="120" w:line="276"/>
        <w:jc w:val="both"/>
      </w:pPr>
      <w:r>
        <w:rPr>
          <w:rFonts w:ascii="Calibri" w:cs="Calibri" w:eastAsia="Calibri" w:hAnsi="Calibri"/>
          <w:i/>
          <w:sz w:val="22"/>
          <w:szCs w:val="22"/>
          <w:shd w:val="clear" w:color="auto" w:fill="FFF2A8"/>
        </w:rPr>
        <w:t>[Von der Gruppe zu bestätigen: Fristen aus E-19, E-20 und E-22 sowie die Frage, ob verwertete Geräte einen eigenen Wert in AuftragStatus brauchen. Danach diesen Hinweis löschen oder das Ergebnis hier in einem Satz nennen.]</w:t>
      </w:r>
    </w:p>
    <w:p>
      <w:pPr>
        <w:pStyle w:val="Heading1"/>
        <w:keepNext/>
        <w:spacing w:after="120" w:before="360"/>
      </w:pPr>
      <w:r>
        <w:rPr>
          <w:rFonts w:ascii="Calibri" w:cs="Calibri" w:eastAsia="Calibri" w:hAnsi="Calibri"/>
        </w:rPr>
        <w:t>6 Probleme und Herausforderungen</w:t>
      </w:r>
    </w:p>
    <w:p>
      <w:pPr>
        <w:spacing w:after="120" w:line="276"/>
        <w:jc w:val="both"/>
      </w:pPr>
      <w:r>
        <w:rPr>
          <w:rFonts w:ascii="Calibri" w:cs="Calibri" w:eastAsia="Calibri" w:hAnsi="Calibri"/>
          <w:b/>
          <w:bCs/>
          <w:sz w:val="22"/>
          <w:szCs w:val="22"/>
        </w:rPr>
        <w:t xml:space="preserve">Zwei Entwürfe. </w:t>
      </w:r>
      <w:r>
        <w:rPr>
          <w:rFonts w:ascii="Calibri" w:cs="Calibri" w:eastAsia="Calibri" w:hAnsi="Calibri"/>
          <w:sz w:val="22"/>
          <w:szCs w:val="22"/>
        </w:rP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pPr>
        <w:spacing w:after="120" w:line="276"/>
        <w:jc w:val="both"/>
      </w:pPr>
      <w:r>
        <w:rPr>
          <w:rFonts w:ascii="Calibri" w:cs="Calibri" w:eastAsia="Calibri" w:hAnsi="Calibri"/>
          <w:b/>
          <w:bCs/>
          <w:sz w:val="22"/>
          <w:szCs w:val="22"/>
        </w:rPr>
        <w:t xml:space="preserve">Perspektive. </w:t>
      </w:r>
      <w:r>
        <w:rPr>
          <w:rFonts w:ascii="Calibri" w:cs="Calibri" w:eastAsia="Calibri" w:hAnsi="Calibri"/>
          <w:sz w:val="22"/>
          <w:szCs w:val="22"/>
        </w:rPr>
        <w:t>In der ersten Fassung waren wir gleichzeitig Werkstatt und Softwareanbieter. Erst die Rückfrage des Dozenten hat uns dazu gebracht, das zu klären. Die Prozesse blieben gültig, Texte, Use Cases und Klassenmodell (Mandant) mussten wir aber anpassen.</w:t>
      </w:r>
    </w:p>
    <w:p>
      <w:pPr>
        <w:spacing w:after="120" w:line="276"/>
        <w:jc w:val="both"/>
      </w:pPr>
      <w:r>
        <w:rPr>
          <w:rFonts w:ascii="Calibri" w:cs="Calibri" w:eastAsia="Calibri" w:hAnsi="Calibri"/>
          <w:b/>
          <w:bCs/>
          <w:sz w:val="22"/>
          <w:szCs w:val="22"/>
        </w:rPr>
        <w:t xml:space="preserve">Pools und Lanes. </w:t>
      </w:r>
      <w:r>
        <w:rPr>
          <w:rFonts w:ascii="Calibri" w:cs="Calibri" w:eastAsia="Calibri" w:hAnsi="Calibri"/>
          <w:sz w:val="22"/>
          <w:szCs w:val="22"/>
        </w:rP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pPr>
        <w:spacing w:after="120" w:line="276"/>
        <w:jc w:val="both"/>
      </w:pPr>
      <w:r>
        <w:rPr>
          <w:rFonts w:ascii="Calibri" w:cs="Calibri" w:eastAsia="Calibri" w:hAnsi="Calibri"/>
          <w:b/>
          <w:bCs/>
          <w:sz w:val="22"/>
          <w:szCs w:val="22"/>
        </w:rPr>
        <w:t xml:space="preserve">Lücken zwischen den Prozessen. </w:t>
      </w:r>
      <w:r>
        <w:rPr>
          <w:rFonts w:ascii="Calibri" w:cs="Calibri" w:eastAsia="Calibri" w:hAnsi="Calibri"/>
          <w:sz w:val="22"/>
          <w:szCs w:val="22"/>
        </w:rPr>
        <w:t>Die Prüfung am 05.10.2026 zeigte, dass abgelehnte Aufträge nie abgeholt wurden und Warteschleifen keinen Ausstieg hatten. Seitdem läuft jede Rückgabe über Prozess 08, und jede Warteschleife hat einen Ausstieg.</w:t>
      </w:r>
    </w:p>
    <w:p>
      <w:pPr>
        <w:spacing w:after="120" w:line="276"/>
        <w:jc w:val="both"/>
      </w:pPr>
      <w:r>
        <w:rPr>
          <w:rFonts w:ascii="Calibri" w:cs="Calibri" w:eastAsia="Calibri" w:hAnsi="Calibri"/>
          <w:b/>
          <w:bCs/>
          <w:sz w:val="22"/>
          <w:szCs w:val="22"/>
        </w:rPr>
        <w:t xml:space="preserve">Einheitliche Begriffe. </w:t>
      </w:r>
      <w:r>
        <w:rPr>
          <w:rFonts w:ascii="Calibri" w:cs="Calibri" w:eastAsia="Calibri" w:hAnsi="Calibri"/>
          <w:sz w:val="22"/>
          <w:szCs w:val="22"/>
        </w:rP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Dass die Prozesskette in einer Engine läuft, ist damit nicht nachgewiesen.</w:t>
      </w:r>
    </w:p>
    <w:p>
      <w:pPr>
        <w:spacing w:after="120" w:line="276"/>
        <w:jc w:val="both"/>
      </w:pPr>
      <w:r>
        <w:rPr>
          <w:rFonts w:ascii="Calibri" w:cs="Calibri" w:eastAsia="Calibri" w:hAnsi="Calibri"/>
          <w:b/>
          <w:bCs/>
          <w:sz w:val="22"/>
          <w:szCs w:val="22"/>
        </w:rPr>
        <w:t xml:space="preserve">Zusammenarbeit. </w:t>
      </w:r>
      <w:r>
        <w:rPr>
          <w:rFonts w:ascii="Calibri" w:cs="Calibri" w:eastAsia="Calibri" w:hAnsi="Calibri"/>
          <w:sz w:val="22"/>
          <w:szCs w:val="22"/>
        </w:rPr>
        <w:t>Am 05.10.2026 legten zwei Pull Requests parallel eine Entscheidung mit derselben Nummer an. Die Konflikte wurden an zwei Stellen gleichzeitig gelöst. Seitdem holen wir vor jeder neuen Entscheidung den aktuellen Stand und nehmen die nächste freie Nummer.</w:t>
      </w:r>
    </w:p>
    <w:p>
      <w:pPr>
        <w:spacing w:after="120" w:line="276"/>
        <w:jc w:val="both"/>
      </w:pPr>
      <w:r>
        <w:rPr>
          <w:rFonts w:ascii="Calibri" w:cs="Calibri" w:eastAsia="Calibri" w:hAnsi="Calibri"/>
          <w:i/>
          <w:sz w:val="22"/>
          <w:szCs w:val="22"/>
          <w:shd w:val="clear" w:color="auto" w:fill="FFF2A8"/>
        </w:rPr>
        <w:t>[Gruppe: Weitere Herausforderungen ergänzen, falls euch etwas fehlt (z. B. Terminfindung, Aufteilung). Danach diesen Hinweis löschen.]</w:t>
      </w:r>
    </w:p>
    <w:p>
      <w:pPr>
        <w:pStyle w:val="Heading1"/>
        <w:keepNext/>
        <w:spacing w:after="120" w:before="360"/>
      </w:pPr>
      <w:r>
        <w:rPr>
          <w:rFonts w:ascii="Calibri" w:cs="Calibri" w:eastAsia="Calibri" w:hAnsi="Calibri"/>
        </w:rPr>
        <w:t>7 Feedback</w:t>
      </w:r>
    </w:p>
    <w:p>
      <w:pPr>
        <w:pStyle w:val="Heading2"/>
        <w:keepNext/>
        <w:spacing w:after="120" w:before="240"/>
      </w:pPr>
      <w:r>
        <w:rPr>
          <w:rFonts w:ascii="Calibri" w:cs="Calibri" w:eastAsia="Calibri" w:hAnsi="Calibri"/>
        </w:rPr>
        <w:t>7.1 Feedback des Dozenten und Umsetzung</w:t>
      </w:r>
    </w:p>
    <w:p>
      <w:pPr>
        <w:spacing w:after="120" w:line="276"/>
        <w:jc w:val="both"/>
      </w:pPr>
      <w:r>
        <w:rPr>
          <w:rFonts w:ascii="Calibri" w:cs="Calibri" w:eastAsia="Calibri" w:hAnsi="Calibri"/>
          <w:sz w:val="22"/>
          <w:szCs w:val="22"/>
        </w:rP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pPr>
        <w:spacing w:after="120" w:line="276"/>
        <w:jc w:val="both"/>
      </w:pPr>
      <w:r>
        <w:rPr>
          <w:rFonts w:ascii="Calibri" w:cs="Calibri" w:eastAsia="Calibri" w:hAnsi="Calibri"/>
          <w:sz w:val="22"/>
          <w:szCs w:val="22"/>
        </w:rP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pPr>
        <w:spacing w:after="120" w:line="276"/>
        <w:jc w:val="both"/>
      </w:pPr>
      <w:r>
        <w:rPr>
          <w:rFonts w:ascii="Calibri" w:cs="Calibri" w:eastAsia="Calibri" w:hAnsi="Calibri"/>
          <w:i/>
          <w:sz w:val="22"/>
          <w:szCs w:val="22"/>
          <w:shd w:val="clear" w:color="auto" w:fill="FFF2A8"/>
        </w:rPr>
        <w:t>[Gruppe: Hinweise aus dem Coaching am 22.10. mit ihrer Umsetzung ergänzen, sonst diesen Hinweis löschen.]</w:t>
      </w:r>
    </w:p>
    <w:p>
      <w:pPr>
        <w:pStyle w:val="Heading2"/>
        <w:keepNext/>
        <w:spacing w:after="120" w:before="240"/>
      </w:pPr>
      <w:r>
        <w:rPr>
          <w:rFonts w:ascii="Calibri" w:cs="Calibri" w:eastAsia="Calibri" w:hAnsi="Calibri"/>
        </w:rPr>
        <w:t>7.2 Unser Feedback zur Fallstudie</w:t>
      </w:r>
    </w:p>
    <w:p>
      <w:pPr>
        <w:spacing w:after="120" w:line="276"/>
        <w:jc w:val="both"/>
      </w:pPr>
      <w:r>
        <w:rPr>
          <w:rFonts w:ascii="Calibri" w:cs="Calibri" w:eastAsia="Calibri" w:hAnsi="Calibri"/>
          <w:sz w:val="22"/>
          <w:szCs w:val="22"/>
        </w:rPr>
        <w:t>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Allein der Komplettcheck am 05.10.2026 ergab 39 Befunde.</w:t>
      </w:r>
    </w:p>
    <w:p>
      <w:pPr>
        <w:spacing w:after="120" w:line="276"/>
        <w:jc w:val="both"/>
      </w:pPr>
      <w:r>
        <w:rPr>
          <w:rFonts w:ascii="Calibri" w:cs="Calibri" w:eastAsia="Calibri" w:hAnsi="Calibri"/>
          <w:sz w:val="22"/>
          <w:szCs w:val="22"/>
        </w:rP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pPr>
        <w:spacing w:after="120" w:line="276"/>
        <w:jc w:val="both"/>
      </w:pPr>
      <w:r>
        <w:rPr>
          <w:rFonts w:ascii="Calibri" w:cs="Calibri" w:eastAsia="Calibri" w:hAnsi="Calibri"/>
          <w:i/>
          <w:sz w:val="22"/>
          <w:szCs w:val="22"/>
          <w:shd w:val="clear" w:color="auto" w:fill="FFF2A8"/>
        </w:rPr>
        <w:t>[Gruppe: Dieser Abschnitt ist ein Entwurf. Bitte gemeinsam lesen und so ändern, dass er eure Meinung wiedergibt. Danach diesen Hinweis löschen.]</w:t>
      </w:r>
    </w:p>
    <w:sectPr>
      <w:headerReference w:type="default" r:id="rId6"/>
      <w:footerReference w:type="default" r:id="rId7"/>
      <w:pgSz w:w="11906" w:h="16838" w:orient="portrait"/>
      <w:pgMar w:top="1300" w:right="1400" w:bottom="1200" w:left="140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3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
  <cp:revision>1</cp:revision>
  <dcterms:created xsi:type="dcterms:W3CDTF">2026-10-05T09:30:36.646Z</dcterms:created>
  <dcterms:modified xsi:type="dcterms:W3CDTF">2026-10-05T10:03:10Z</dcterms:modified>
</cp:coreProperties>
</file>