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Nina 3:45, David 3:15, Kilian 3:55, Maximilian 3:40, Adrian 1:50, Jakob 2:10 · gesamt 18:35.</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David beginnt mit dem Problem und unserer Lösung, Kilian und Maximilian zeigen, wie ein Auftrag durch RepairFlow läuft. Danach stellen Adrian, Kilian und Jakob vor, was wir dafür modelliert haben, und ich schließe mit Vorgehen,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mit drei Prozess-Highlights und unser Alleinstellungsmerkmal, die KI-Sofortdiagnose, mit einer kurzen Demo der Kunden-App. In der zweiten Hälfte zeigen wir, was dahintersteckt: zehn Geschäftsprozesse, Rollen und Use Cases, das Datenmodell, die Qualitätssicherung und unser Vorgehen. Die Diagramme selbst finden Sie in der Projektdokumentation und im Abgabepaket; hier konzentrieren wir uns auf die Ergebnisse. Fragen gern am Ende.</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(65 s)</w:t>
      </w:r>
    </w:p>
    <w:p>
      <w:r>
        <w:rPr>
          <w:b/>
        </w:rPr>
        <w:t xml:space="preserve">David: </w:t>
      </w:r>
      <w:r>
        <w:t>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Die physische Reparatur, die Lieferantensysteme und die Buchhaltung bleiben außerhalb; dorthin gibt es nur Schnittstellen.</w:t>
      </w:r>
    </w:p>
    <w:p>
      <w:pPr>
        <w:spacing w:before="200"/>
      </w:pPr>
      <w:r>
        <w:rPr>
          <w:b/>
        </w:rPr>
        <w:t>Folie 5 – Drei Nutzenversprechen</w:t>
      </w:r>
      <w:r>
        <w:rPr>
          <w:i/>
        </w:rPr>
        <w:t xml:space="preserve">  (55 s)</w:t>
      </w:r>
    </w:p>
    <w:p>
      <w:r>
        <w:rPr>
          <w:b/>
        </w:rPr>
        <w:t xml:space="preserve">David: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Drittens: Der Kunde bekommt Klarheit, bevor er die Werkstatt betritt, mit Diagnosevorschlag, vorläufigem Kostenvoranschlag und Termin. Für die Werkstatt heißt das weniger Telefon, weniger Standzeit im Lager und eine Auslastung, die sie wirklich sieht. Wie das für einen einzelnen Auftrag aussieht, zeigt Kilian.</w:t>
      </w:r>
    </w:p>
    <w:p>
      <w:pPr>
        <w:spacing w:before="200"/>
      </w:pPr>
      <w:r>
        <w:rPr>
          <w:b/>
        </w:rPr>
        <w:t>Folie 6 – Die Auftragsreise mit RepairFlow</w:t>
      </w:r>
      <w:r>
        <w:rPr>
          <w:i/>
        </w:rPr>
        <w:t xml:space="preserve">  (65 s)</w:t>
      </w:r>
    </w:p>
    <w:p>
      <w:r>
        <w:rPr>
          <w:b/>
        </w:rPr>
        <w:t xml:space="preserve">Kilian: </w:t>
      </w:r>
      <w:r>
        <w:t>So sieht eine Reparatur mit RepairFlow aus. 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 Welche Abläufe dahinterstecken, zeigt Maximilian an drei Beispielen.</w:t>
      </w:r>
    </w:p>
    <w:p>
      <w:pPr>
        <w:spacing w:before="200"/>
      </w:pPr>
      <w:r>
        <w:rPr>
          <w:b/>
        </w:rPr>
        <w:t>Folie 7 – Drei Prozess-Highlights</w:t>
      </w:r>
      <w:r>
        <w:rPr>
          <w:i/>
        </w:rPr>
        <w:t xml:space="preserve">  (80 s)</w:t>
      </w:r>
    </w:p>
    <w:p>
      <w:r>
        <w:rPr>
          <w:b/>
        </w:rPr>
        <w:t xml:space="preserve">Maximilian: </w:t>
      </w:r>
      <w:r>
        <w:t>Hinter jedem dieser Schritte steht ein Geschäftsprozess. 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Wie sich das für den Kunden anfühlt, zeige ich Ihnen jetzt in der App.</w:t>
      </w:r>
    </w:p>
    <w:p>
      <w:pPr>
        <w:spacing w:before="200"/>
      </w:pPr>
      <w:r>
        <w:rPr>
          <w:b/>
        </w:rPr>
        <w:t>Folie 8 – Live-Demo: die Kunden-App</w:t>
      </w:r>
      <w:r>
        <w:rPr>
          <w:i/>
        </w:rPr>
        <w:t xml:space="preserve">  (70 s)</w:t>
      </w:r>
    </w:p>
    <w:p>
      <w:r>
        <w:rPr>
          <w:b/>
        </w:rPr>
        <w:t xml:space="preserve">Maximilian: </w:t>
      </w:r>
      <w:r>
        <w:t>Wir starten mit der Sofortdiagnose aus Kundensicht.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entsteht erst, wenn das Gerät in der Filiale abgegeben wird. Zum Schluss sieht der Kunde den Status seines Auftrags entlang derselben Zustände, die Kilian in der Auftragsreise gezeigt hat. Die KI-Antwort ist in der Demo simuliert; Ablauf und Begriffe sind genau die aus unseren Modellen.</w:t>
      </w:r>
    </w:p>
    <w:p>
      <w:pPr>
        <w:spacing w:before="200"/>
      </w:pPr>
      <w:r>
        <w:rPr>
          <w:b/>
        </w:rPr>
        <w:t>Folie 9 – KI-Sofortdiagnose: KVA in 60 Sekunden</w:t>
      </w:r>
      <w:r>
        <w:rPr>
          <w:i/>
        </w:rPr>
        <w:t xml:space="preserve">  (70 s)</w:t>
      </w:r>
    </w:p>
    <w:p>
      <w:r>
        <w:rPr>
          <w:b/>
        </w:rPr>
        <w:t xml:space="preserve">Maximilian: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 Was hinter all dem steckt, zeigt Adrian.</w:t>
      </w:r>
    </w:p>
    <w:p>
      <w:pPr>
        <w:spacing w:before="200"/>
      </w:pPr>
      <w:r>
        <w:rPr>
          <w:b/>
        </w:rPr>
        <w:t>Folie 10 – Was wir gebaut haben: Ergebnisse in Zahlen</w:t>
      </w:r>
      <w:r>
        <w:rPr>
          <w:i/>
        </w:rPr>
        <w:t xml:space="preserve">  (50 s)</w:t>
      </w:r>
    </w:p>
    <w:p>
      <w:r>
        <w:rPr>
          <w:b/>
        </w:rPr>
        <w:t xml:space="preserve">Adrian: </w:t>
      </w:r>
      <w:r>
        <w:t>Damit zur zweiten Hälfte: Was steckt hinter dieser Geschichte? Wir haben drei Modelle erstellt, die zusammenpassen. Zehn BPMN-Kollaborationsdiagramme mit 134 Aktivitäten im Werkstatt-Pool, dazu die Abläufe des Kunden. Ein Use-Case-Diagramm mit 19 Use Cases und 17 Rollen und Akteuren. Ein vollständiges Klassendiagramm mit 29 Klassen und 40 Assoziationen. Sechs Sequenzdiagramme, gefordert waren fünf. Alle Modelle liegen im Camunda Modeler und in Visual Paradigm und werden mit der Dokumentation abgegeben.</w:t>
      </w:r>
    </w:p>
    <w:p>
      <w:pPr>
        <w:spacing w:before="200"/>
      </w:pPr>
      <w:r>
        <w:rPr>
          <w:b/>
        </w:rPr>
        <w:t>Folie 11 – Zehn Prozesse, 61 Prozent automatisiert</w:t>
      </w:r>
      <w:r>
        <w:rPr>
          <w:i/>
        </w:rPr>
        <w:t xml:space="preserve">  (60 s)</w:t>
      </w:r>
    </w:p>
    <w:p>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Prüfungen, Berechnungen und Regeln. Was Handwerk ist, bleibt Handwerk: Diagnose, Reparatur und Endkontrolle macht der Techniker mit Unterstützung durch das System. Wer im System welche Aufgaben hat, zeigt Kilian.</w:t>
      </w:r>
    </w:p>
    <w:p>
      <w:pPr>
        <w:spacing w:before="200"/>
      </w:pPr>
      <w:r>
        <w:rPr>
          <w:b/>
        </w:rPr>
        <w:t>Folie 12 – Wer macht was im System: Rollen und Use Cases</w:t>
      </w:r>
      <w:r>
        <w:rPr>
          <w:i/>
        </w:rPr>
        <w:t xml:space="preserve">  (70 s)</w:t>
      </w:r>
    </w:p>
    <w:p>
      <w:r>
        <w:rPr>
          <w:b/>
        </w:rPr>
        <w:t xml:space="preserve">Kilian: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Diagnoseprüfer, Diagnostiker, Kalkulator, Reparateur und Endkontrolleur. Welche Person welche Rolle ausfüllt, regelt die Werkstatt selbst; im Datenmodell sind die Rollen den Mitarbeitertypen zugeordnet. Dazu kommen der Kunde und der KI-Diagnosedienst als externes System. Der Lieferant ist bewusst kein Akteur: Er hat keinen Zugang zu RepairFlow und bleibt eine Black Box.</w:t>
      </w:r>
    </w:p>
    <w:p>
      <w:pPr>
        <w:spacing w:before="200"/>
      </w:pPr>
      <w:r>
        <w:rPr>
          <w:b/>
        </w:rPr>
        <w:t>Folie 13 – Das Datenmodell: fünf Entwurfsentscheidungen</w:t>
      </w:r>
      <w:r>
        <w:rPr>
          <w:i/>
        </w:rPr>
        <w:t xml:space="preserve">  (100 s)</w:t>
      </w:r>
    </w:p>
    <w:p>
      <w:r>
        <w:rPr>
          <w:b/>
        </w:rPr>
        <w:t xml:space="preserve">Kilian: </w:t>
      </w:r>
      <w:r>
        <w:t>Das Klassendiagramm ist ein einziges, vollständiges Modell mit 29 Klassen. Fünf Entscheidungen prägen es. Erstens: Der Reparaturauftrag ist die Aggregatwurzel. Befund und Reparaturschritte sind Kompositionen, Kostenvoranschlag und Gerät nur zugeordnet, weil der Vorab-KVA schon vor dem Auftrag entsteht. Zweitens: Der Lagerbestand ist eine eigene Klasse zwischen Ersatzteil und Filiale; nur so lässt sich die Verfügbarkeit über alle Filialen prüfen. Drittens: Die Reservierung ist eine eigene Klasse mit Lebenszyklus. Viertens: Der Werkstattbetrieb ist Mandant und Sammelstelle. Er kennt alle Aufträge, Bestellungen und Reklamationen und findet sie über ihre Nummer. Die Mitarbeiter sind nach Typ spezialisiert, passend zu Lanes und Rollen, und arbeiten wie der Kunde nie direkt mit den Fachobjekten, sondern über zwei Oberflächenklassen, die Werkstattoberfläche und die KundenApp. Fünftens: Voranmeldung, Medienanhang und KI-Diagnosevorschlag tragen die Sofortdiagnose. Ein Beispiel aus den Sequenzdiagrammen ist SD4, die Fertigmeldung: Der Endkontrolleur gibt die Auftragsnummer ein, die Werkstattoberfläche sucht den Auftrag und arbeitet mit diesem Objekt; nach jeder Nacharbeit sucht sie ihn neu. Besteht er auch nach der zweiten Nacharbeit die Endkontrolle nicht, ruft sie wechsleStatus mit dem Wert ABGELEHNT auf, genau die Operation, die der Reparaturauftrag im Klassendiagramm anbietet.</w:t>
      </w:r>
    </w:p>
    <w:p>
      <w:pPr>
        <w:spacing w:before="200"/>
      </w:pPr>
      <w:r>
        <w:rPr>
          <w:b/>
        </w:rPr>
        <w:t>Folie 14 – Qualität: Konventionen, Linter, Konsistenz</w:t>
      </w:r>
      <w:r>
        <w:rPr>
          <w:i/>
        </w:rPr>
        <w:t xml:space="preserve">  (65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die Statuswerte sind in allen Modellen identisch, und in jedem Sequenzdiagramm geht der Weg vom Akteur über die Oberfläche zum Objekt. Zweitens Werkzeuge: Die BPMN-Dateien sind für Camunda 8 angereichert, mit Task-Definitionen, Timern und Bedingungen; der Camunda-Linter und bpmnlint melden null Befunde. Drittens Prüfrunden: Jedes Diagramm wurde im Zweierteam geprüft, und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(65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Gelernt haben wir, dass Konsistenz keine Prüfung am Ende ist, sondern eine Regel bei jeder Änderung, und dass klare Hinweise von außen, etwa zum Use-Case-Diagramm und zu den Oberflächen in den Sequenzdiagrammen, ein Modell deutlich besser machen. Wie wir zusammengearbeitet haben, zeigt Nina.</w:t>
      </w:r>
    </w:p>
    <w:p>
      <w:pPr>
        <w:spacing w:before="200"/>
      </w:pPr>
      <w:r>
        <w:rPr>
          <w:b/>
        </w:rPr>
        <w:t>Folie 16 – Vorgehen und Projektmanagement</w:t>
      </w:r>
      <w:r>
        <w:rPr>
          <w:i/>
        </w:rPr>
        <w:t xml:space="preserve">  (65 s)</w:t>
      </w:r>
    </w:p>
    <w:p>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pPr>
        <w:spacing w:before="200"/>
      </w:pPr>
      <w:r>
        <w:rPr>
          <w:b/>
        </w:rPr>
        <w:t>Folie 17 – Geschäftsmodell und Ausblick</w:t>
      </w:r>
      <w:r>
        <w:rPr>
          <w:i/>
        </w:rPr>
        <w:t xml:space="preserve">  (60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18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19 – Anhang: Beiträge der Vortragenden</w:t>
      </w:r>
      <w:r>
        <w:rPr>
          <w:i/>
        </w:rPr>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