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3:55, Maximilian 3:40, Adrian 1:50, Jakob 2:10 · gesamt 18:35.</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(65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134 Aktivitäten im Werkstatt-Pool, dazu die Abläufe des Kunden. Ein Use-Case-Diagramm mit 19 Use Cases und 17 Rollen und Akteuren. Ein vollständiges Klassendiagramm mit 29 Klassen und 40 Assoziationen. Sechs Sequenzdiagramme, gefordert waren fünf, dazu ein Zustandsdiagramm für den Reparaturauftrag. Alle Modelle liegen im Camunda Modeler und in Visual Paradigm und werden mit der Dokumentation abgegeben.</w:t>
      </w:r>
    </w:p>
    <w:p>
      <w:pPr>
        <w:spacing w:before="200"/>
      </w:pPr>
      <w:r>
        <w:rPr>
          <w:b/>
        </w:rPr>
        <w:t>Folie 11 – Zehn Prozesse, 61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Prüfrunden: Jedes Diagramm wurde im Zweierteam geprüft,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