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900"/>
      </w:pP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 xml:space="preserve">2.2 Das Startup RepairFlow	2</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 xml:space="preserve">2.6 Alleinstellungsmerkmal: die KI-Sofortdiagnose	4</w:t>
      </w:r>
    </w:p>
    <w:p>
      <w:pPr>
        <w:tabs>
          <w:tab w:val="right" w:pos="9026" w:leader="dot"/>
        </w:tabs>
        <w:spacing w:after="40"/>
        <w:ind w:left="0"/>
      </w:pPr>
      <w:r>
        <w:rPr>
          <w:rFonts w:ascii="Calibri" w:cs="Calibri" w:eastAsia="Calibri" w:hAnsi="Calibri"/>
          <w:b/>
          <w:bCs/>
          <w:sz w:val="22"/>
          <w:szCs w:val="22"/>
        </w:rPr>
        <w:t xml:space="preserve">3 Vorgehen bei der Umsetzung	5</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 xml:space="preserve">3.2 Konventionen	6</w:t>
      </w:r>
    </w:p>
    <w:p>
      <w:pPr>
        <w:tabs>
          <w:tab w:val="right" w:pos="9026" w:leader="dot"/>
        </w:tabs>
        <w:spacing w:after="40"/>
        <w:ind w:left="400"/>
      </w:pPr>
      <w:r>
        <w:rPr>
          <w:rFonts w:ascii="Calibri" w:cs="Calibri" w:eastAsia="Calibri" w:hAnsi="Calibri"/>
          <w:b w:val="false"/>
          <w:bCs w:val="false"/>
          <w:sz w:val="20"/>
          <w:szCs w:val="20"/>
        </w:rPr>
        <w:t xml:space="preserve">3.3 Qualitätssicherung	6</w:t>
      </w:r>
    </w:p>
    <w:p>
      <w:pPr>
        <w:tabs>
          <w:tab w:val="right" w:pos="9026" w:leader="dot"/>
        </w:tabs>
        <w:spacing w:after="40"/>
        <w:ind w:left="0"/>
      </w:pPr>
      <w:r>
        <w:rPr>
          <w:rFonts w:ascii="Calibri" w:cs="Calibri" w:eastAsia="Calibri" w:hAnsi="Calibri"/>
          <w:b/>
          <w:bCs/>
          <w:sz w:val="22"/>
          <w:szCs w:val="22"/>
        </w:rPr>
        <w:t xml:space="preserve">4 Projektmanagement	7</w:t>
      </w:r>
    </w:p>
    <w:p>
      <w:pPr>
        <w:tabs>
          <w:tab w:val="right" w:pos="9026" w:leader="dot"/>
        </w:tabs>
        <w:spacing w:after="40"/>
        <w:ind w:left="400"/>
      </w:pPr>
      <w:r>
        <w:rPr>
          <w:rFonts w:ascii="Calibri" w:cs="Calibri" w:eastAsia="Calibri" w:hAnsi="Calibri"/>
          <w:b w:val="false"/>
          <w:bCs w:val="false"/>
          <w:sz w:val="20"/>
          <w:szCs w:val="20"/>
        </w:rPr>
        <w:t xml:space="preserve">4.1 Vorgehensmodell und Arbeitsweise	7</w:t>
      </w:r>
    </w:p>
    <w:p>
      <w:pPr>
        <w:tabs>
          <w:tab w:val="right" w:pos="9026" w:leader="dot"/>
        </w:tabs>
        <w:spacing w:after="40"/>
        <w:ind w:left="400"/>
      </w:pPr>
      <w:r>
        <w:rPr>
          <w:rFonts w:ascii="Calibri" w:cs="Calibri" w:eastAsia="Calibri" w:hAnsi="Calibri"/>
          <w:b w:val="false"/>
          <w:bCs w:val="false"/>
          <w:sz w:val="20"/>
          <w:szCs w:val="20"/>
        </w:rPr>
        <w:t xml:space="preserve">4.2 Sprintplan und Meilensteine	7</w:t>
      </w:r>
    </w:p>
    <w:p>
      <w:pPr>
        <w:tabs>
          <w:tab w:val="right" w:pos="9026" w:leader="dot"/>
        </w:tabs>
        <w:spacing w:after="40"/>
        <w:ind w:left="400"/>
      </w:pPr>
      <w:r>
        <w:rPr>
          <w:rFonts w:ascii="Calibri" w:cs="Calibri" w:eastAsia="Calibri" w:hAnsi="Calibri"/>
          <w:b w:val="false"/>
          <w:bCs w:val="false"/>
          <w:sz w:val="20"/>
          <w:szCs w:val="20"/>
        </w:rPr>
        <w:t xml:space="preserve">4.3 Aufgabensteuerung mit Trello	8</w:t>
      </w:r>
    </w:p>
    <w:p>
      <w:pPr>
        <w:tabs>
          <w:tab w:val="right" w:pos="9026" w:leader="dot"/>
        </w:tabs>
        <w:spacing w:after="40"/>
        <w:ind w:left="400"/>
      </w:pPr>
      <w:r>
        <w:rPr>
          <w:rFonts w:ascii="Calibri" w:cs="Calibri" w:eastAsia="Calibri" w:hAnsi="Calibri"/>
          <w:b w:val="false"/>
          <w:bCs w:val="false"/>
          <w:sz w:val="20"/>
          <w:szCs w:val="20"/>
        </w:rPr>
        <w:t xml:space="preserve">4.4 Zusammenarbeit im Repository	8</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8</w:t>
      </w:r>
    </w:p>
    <w:p>
      <w:pPr>
        <w:tabs>
          <w:tab w:val="right" w:pos="9026" w:leader="dot"/>
        </w:tabs>
        <w:spacing w:after="40"/>
        <w:ind w:left="0"/>
      </w:pPr>
      <w:r>
        <w:rPr>
          <w:rFonts w:ascii="Calibri" w:cs="Calibri" w:eastAsia="Calibri" w:hAnsi="Calibri"/>
          <w:b/>
          <w:bCs/>
          <w:sz w:val="22"/>
          <w:szCs w:val="22"/>
        </w:rPr>
        <w:t xml:space="preserve">5 Überblick über die erstellten Artefakte	9</w:t>
      </w:r>
    </w:p>
    <w:p>
      <w:pPr>
        <w:tabs>
          <w:tab w:val="right" w:pos="9026" w:leader="dot"/>
        </w:tabs>
        <w:spacing w:after="40"/>
        <w:ind w:left="400"/>
      </w:pPr>
      <w:r>
        <w:rPr>
          <w:rFonts w:ascii="Calibri" w:cs="Calibri" w:eastAsia="Calibri" w:hAnsi="Calibri"/>
          <w:b w:val="false"/>
          <w:bCs w:val="false"/>
          <w:sz w:val="20"/>
          <w:szCs w:val="20"/>
        </w:rPr>
        <w:t xml:space="preserve">5.1 Geschäftsprozessmodell (BPMN)	9</w:t>
      </w:r>
    </w:p>
    <w:p>
      <w:pPr>
        <w:tabs>
          <w:tab w:val="right" w:pos="9026" w:leader="dot"/>
        </w:tabs>
        <w:spacing w:after="40"/>
        <w:ind w:left="800"/>
      </w:pPr>
      <w:r>
        <w:rPr>
          <w:rFonts w:ascii="Calibri" w:cs="Calibri" w:eastAsia="Calibri" w:hAnsi="Calibri"/>
          <w:b w:val="false"/>
          <w:bCs w:val="false"/>
          <w:sz w:val="20"/>
          <w:szCs w:val="20"/>
        </w:rPr>
        <w:t xml:space="preserve">5.1.1 Modellierungskonventionen	10</w:t>
      </w:r>
    </w:p>
    <w:p>
      <w:pPr>
        <w:tabs>
          <w:tab w:val="right" w:pos="9026" w:leader="dot"/>
        </w:tabs>
        <w:spacing w:after="40"/>
        <w:ind w:left="800"/>
      </w:pPr>
      <w:r>
        <w:rPr>
          <w:rFonts w:ascii="Calibri" w:cs="Calibri" w:eastAsia="Calibri" w:hAnsi="Calibri"/>
          <w:b w:val="false"/>
          <w:bCs w:val="false"/>
          <w:sz w:val="20"/>
          <w:szCs w:val="20"/>
        </w:rPr>
        <w:t xml:space="preserve">5.1.2 Die zehn Prozesse	11</w:t>
      </w:r>
    </w:p>
    <w:p>
      <w:pPr>
        <w:tabs>
          <w:tab w:val="right" w:pos="9026" w:leader="dot"/>
        </w:tabs>
        <w:spacing w:after="40"/>
        <w:ind w:left="400"/>
      </w:pPr>
      <w:r>
        <w:rPr>
          <w:rFonts w:ascii="Calibri" w:cs="Calibri" w:eastAsia="Calibri" w:hAnsi="Calibri"/>
          <w:b w:val="false"/>
          <w:bCs w:val="false"/>
          <w:sz w:val="20"/>
          <w:szCs w:val="20"/>
        </w:rPr>
        <w:t xml:space="preserve">5.2 Automatisierungspotential	12</w:t>
      </w:r>
    </w:p>
    <w:p>
      <w:pPr>
        <w:tabs>
          <w:tab w:val="right" w:pos="9026" w:leader="dot"/>
        </w:tabs>
        <w:spacing w:after="40"/>
        <w:ind w:left="400"/>
      </w:pPr>
      <w:r>
        <w:rPr>
          <w:rFonts w:ascii="Calibri" w:cs="Calibri" w:eastAsia="Calibri" w:hAnsi="Calibri"/>
          <w:b w:val="false"/>
          <w:bCs w:val="false"/>
          <w:sz w:val="20"/>
          <w:szCs w:val="20"/>
        </w:rPr>
        <w:t xml:space="preserve">5.3 Objektorientierte Analyse (UML)	12</w:t>
      </w:r>
    </w:p>
    <w:p>
      <w:pPr>
        <w:tabs>
          <w:tab w:val="right" w:pos="9026" w:leader="dot"/>
        </w:tabs>
        <w:spacing w:after="40"/>
        <w:ind w:left="800"/>
      </w:pPr>
      <w:r>
        <w:rPr>
          <w:rFonts w:ascii="Calibri" w:cs="Calibri" w:eastAsia="Calibri" w:hAnsi="Calibri"/>
          <w:b w:val="false"/>
          <w:bCs w:val="false"/>
          <w:sz w:val="20"/>
          <w:szCs w:val="20"/>
        </w:rPr>
        <w:t xml:space="preserve">5.3.1 Use-Case-Diagramm	13</w:t>
      </w:r>
    </w:p>
    <w:p>
      <w:pPr>
        <w:tabs>
          <w:tab w:val="right" w:pos="9026" w:leader="dot"/>
        </w:tabs>
        <w:spacing w:after="40"/>
        <w:ind w:left="800"/>
      </w:pPr>
      <w:r>
        <w:rPr>
          <w:rFonts w:ascii="Calibri" w:cs="Calibri" w:eastAsia="Calibri" w:hAnsi="Calibri"/>
          <w:b w:val="false"/>
          <w:bCs w:val="false"/>
          <w:sz w:val="20"/>
          <w:szCs w:val="20"/>
        </w:rPr>
        <w:t xml:space="preserve">5.3.2 Klassendiagramm	14</w:t>
      </w:r>
    </w:p>
    <w:p>
      <w:pPr>
        <w:tabs>
          <w:tab w:val="right" w:pos="9026" w:leader="dot"/>
        </w:tabs>
        <w:spacing w:after="40"/>
        <w:ind w:left="800"/>
      </w:pPr>
      <w:r>
        <w:rPr>
          <w:rFonts w:ascii="Calibri" w:cs="Calibri" w:eastAsia="Calibri" w:hAnsi="Calibri"/>
          <w:b w:val="false"/>
          <w:bCs w:val="false"/>
          <w:sz w:val="20"/>
          <w:szCs w:val="20"/>
        </w:rPr>
        <w:t xml:space="preserve">5.3.3 Sequenzdiagramme	14</w:t>
      </w:r>
    </w:p>
    <w:p>
      <w:pPr>
        <w:tabs>
          <w:tab w:val="right" w:pos="9026" w:leader="dot"/>
        </w:tabs>
        <w:spacing w:after="40"/>
        <w:ind w:left="400"/>
      </w:pPr>
      <w:r>
        <w:rPr>
          <w:rFonts w:ascii="Calibri" w:cs="Calibri" w:eastAsia="Calibri" w:hAnsi="Calibri"/>
          <w:b w:val="false"/>
          <w:bCs w:val="false"/>
          <w:sz w:val="20"/>
          <w:szCs w:val="20"/>
        </w:rPr>
        <w:t xml:space="preserve">5.4 Konsistenz zwischen den Modellen	20</w:t>
      </w:r>
    </w:p>
    <w:p>
      <w:pPr>
        <w:tabs>
          <w:tab w:val="right" w:pos="9026" w:leader="dot"/>
        </w:tabs>
        <w:spacing w:after="40"/>
        <w:ind w:left="0"/>
      </w:pPr>
      <w:r>
        <w:rPr>
          <w:rFonts w:ascii="Calibri" w:cs="Calibri" w:eastAsia="Calibri" w:hAnsi="Calibri"/>
          <w:b/>
          <w:bCs/>
          <w:sz w:val="22"/>
          <w:szCs w:val="22"/>
        </w:rPr>
        <w:t xml:space="preserve">6 Probleme und Herausforderungen	21</w:t>
      </w:r>
    </w:p>
    <w:p>
      <w:pPr>
        <w:tabs>
          <w:tab w:val="right" w:pos="9026" w:leader="dot"/>
        </w:tabs>
        <w:spacing w:after="40"/>
        <w:ind w:left="0"/>
      </w:pPr>
      <w:r>
        <w:rPr>
          <w:rFonts w:ascii="Calibri" w:cs="Calibri" w:eastAsia="Calibri" w:hAnsi="Calibri"/>
          <w:b/>
          <w:bCs/>
          <w:sz w:val="22"/>
          <w:szCs w:val="22"/>
        </w:rPr>
        <w:t xml:space="preserve">7 Feedback	22</w:t>
      </w:r>
    </w:p>
    <w:p>
      <w:pPr>
        <w:tabs>
          <w:tab w:val="right" w:pos="9026" w:leader="dot"/>
        </w:tabs>
        <w:spacing w:after="40"/>
        <w:ind w:left="400"/>
      </w:pPr>
      <w:r>
        <w:rPr>
          <w:rFonts w:ascii="Calibri" w:cs="Calibri" w:eastAsia="Calibri" w:hAnsi="Calibri"/>
          <w:b w:val="false"/>
          <w:bCs w:val="false"/>
          <w:sz w:val="20"/>
          <w:szCs w:val="20"/>
        </w:rPr>
        <w:t xml:space="preserve">7.1 Feedback des Dozenten und Umsetzung	22</w:t>
      </w:r>
    </w:p>
    <w:p>
      <w:pPr>
        <w:tabs>
          <w:tab w:val="right" w:pos="9026" w:leader="dot"/>
        </w:tabs>
        <w:spacing w:after="40"/>
        <w:ind w:left="400"/>
      </w:pPr>
      <w:r>
        <w:rPr>
          <w:rFonts w:ascii="Calibri" w:cs="Calibri" w:eastAsia="Calibri" w:hAnsi="Calibri"/>
          <w:b w:val="false"/>
          <w:bCs w:val="false"/>
          <w:sz w:val="20"/>
          <w:szCs w:val="20"/>
        </w:rPr>
        <w:t xml:space="preserve">7.2 Unser Feedback zur Fallstudie	23</w:t>
      </w:r>
    </w:p>
    <w:p>
      <w:pPr>
        <w:tabs>
          <w:tab w:val="right" w:pos="9026" w:leader="dot"/>
        </w:tabs>
        <w:spacing w:after="40"/>
        <w:ind w:left="0"/>
      </w:pPr>
      <w:r>
        <w:rPr>
          <w:rFonts w:ascii="Calibri" w:cs="Calibri" w:eastAsia="Calibri" w:hAnsi="Calibri"/>
          <w:b/>
          <w:bCs/>
          <w:sz w:val="22"/>
          <w:szCs w:val="22"/>
        </w:rPr>
        <w:t xml:space="preserve">Anhang A: Abgabestruktur	23</w:t>
      </w:r>
    </w:p>
    <w:p>
      <w:pPr>
        <w:tabs>
          <w:tab w:val="right" w:pos="9026" w:leader="dot"/>
        </w:tabs>
        <w:spacing w:after="40"/>
        <w:ind w:left="0"/>
      </w:pPr>
      <w:r>
        <w:rPr>
          <w:rFonts w:ascii="Calibri" w:cs="Calibri" w:eastAsia="Calibri" w:hAnsi="Calibri"/>
          <w:b/>
          <w:bCs/>
          <w:sz w:val="22"/>
          <w:szCs w:val="22"/>
        </w:rPr>
        <w:t xml:space="preserve">Anhang B: Die zehn BPMN-Kollaborationsdiagramme	24</w:t>
      </w:r>
    </w:p>
    <w:p>
      <w:pPr>
        <w:tabs>
          <w:tab w:val="right" w:pos="9026" w:leader="dot"/>
        </w:tabs>
        <w:spacing w:after="40"/>
        <w:ind w:left="0"/>
      </w:pPr>
      <w:r>
        <w:rPr>
          <w:rFonts w:ascii="Calibri" w:cs="Calibri" w:eastAsia="Calibri" w:hAnsi="Calibri"/>
          <w:b/>
          <w:bCs/>
          <w:sz w:val="22"/>
          <w:szCs w:val="22"/>
        </w:rPr>
        <w:t xml:space="preserve">Anhang C: Das vollständige Klassendiagramm	34</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wurde von sechs Studierenden des Kurses WWI25B4 bearbeitet. Das Team hat sich zu Beginn des Semesters konstituiert und die Zuständigkeiten nach dem Scrum-Vorgehensmodell verteilt (Kapitel 4): Jedes Artefakt hat eine verantwortliche Person, die Projektleitung plant und koordiniert, und die Qualitätssicherung übernimmt eine Person, die nicht selbst modelliert.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VP-Server), Termine, Abgabe-Check</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Klassen- und Sequenzdiagramme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BPMN-Dateien im Git-Repository,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i/>
          <w:iCs/>
          <w:sz w:val="22"/>
          <w:szCs w:val="22"/>
          <w:shd w:fill="FFF2A8" w:color="auto" w:val="clear"/>
        </w:rPr>
        <w:t xml:space="preserve">[Gruppe: Vor der Abgabe ergänzen: tatsächliche Beiträge je Person (welche Diagramme, Kapitel und Folien wer erarbeitet hat), weil der Ablauf verlangt, dass erkennbar ist, was von wem erarbeitet wurde]</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Unabhängige Reparaturwerkstätten für Fahrräder, E-Bikes und Consumer-Elektronik arbeiten heute oft mit Papier-Auftragszetteln, Excel-Listen und Telefon. Das Reparaturgeschäft wächst, weil E-Bikes wartungsintensiv sind und das Recht auf Reparatur die Nachfrage nach Elektronikreparaturen stützt. Die Abläufe in den Werkstätten halten damit nicht Schritt.</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Aus Gesprächen mit dem Werkstattleiter und aus dem Ist-Ablauf ergeben sich vier wiederkehrende Probleme:</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Plattform entwickelt haben.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Werkstattsoftware gibt es bereits, meist entweder für Fahrradwerkstätten (fixdesk, RO App, Repero) oder für Elektronikreparaturen (RepairDesk, RepairShopr). Keine der verbreiteten Lösungen kombiniert beide Reparaturwelten oder deckt die Ersatzteilversorgung über mehrere Filialen ab. RepairFlow unterscheidet sich in drei Punkten: eine Plattform für Fahrrad, E-Bike und Elektronik mit gemeinsamem Ersatzteillager; eine filialübergreifende Ersatzteil-Disposition mit Beständen, Reservierungen und Umlagerungen über alle Standorte; und die KI-Sofortdiagnose, die dem Kunden einen Diagnosevorschlag mit vorläufigem Kostenvoranschlag liefert, bevor er die Werkstatt betritt (Abschnitt 2.6).</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86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Er durchläuft einen festen Lebenszyklus, den alle Modelle gemeinsam verwenden: angenommen, in Diagnose, KVA offen, freigegeben oder abgelehnt, Teile bestellt, in Reparatur, fertig, abgeholt. Die zehn Geschäftsprozesse in Kapitel 5 sind die Übergänge dieses Automaten, das Klassendiagramm führt ihn als Attribut status mit der Aufzählung AuftragStatus, und die Sequenzdiagramme markieren die Statuswechsel, an denen sie beteiligt sind. Abbildung 2 zeigt den Zustandsautomaten als UML-Zustandsdiagramm.</w:t>
      </w:r>
    </w:p>
    <w:p>
      <w:pPr>
        <w:keepNext/>
        <w:spacing w:after="0" w:before="120"/>
        <w:jc w:val="center"/>
      </w:pPr>
      <w:r>
        <w:drawing>
          <wp:inline distT="0" distB="0" distL="0" distR="0">
            <wp:extent cx="4095750" cy="5438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4387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entsteht eine Voranmeldung, und die benötigten Teile werden bereits vorreserviert. Bei der Fehlerdiagnose in der Werkstatt werden die Daten übernommen, der Techniker prüft den Vorschlag und bestätigt oder korrigiert ihn. Unser Slogan dafür: KVA in 60 Sekunden.</w:t>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Medien werden nur mit Einwilligung des Kunden verarbeitet und nach Abschluss des Auftrags gelöscht.</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Aufnahme der Ist-Abläufe beim Pilotkunden, Ableitung der Soll-Prozesse mit RepairFlow, Festlegung der Prozessliste mit zehn Kollaborationsdiagrammen und der Namenskonventionen als Single Source of Truth.</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Prüfung mit dem Linter des Camunda Modelers.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zu den interaktionsreichsten Use Cases, Zustandsdiagramm des Reparaturauftrags. Umsetzung in Visual Paradigm mit Teamwork-Server.</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Abschlusspräsentation mit Zuordnung der Vortragenden, Zusammenstellung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Diagramme sind so angereichert, dass der Camunda-Linter (dieselben Regeln wie das Problems-Panel des Modelers) keine Fehler meldet: Task-Definitionen für automatisierte Aktivitäten, Message-Subscriptions für empfangende Elemente, ISO-Dauern für Timer und FEEL-Bedingungen an allen Gateway-Ausgängen.</w:t>
      </w:r>
    </w:p>
    <w:p>
      <w:pPr>
        <w:pStyle w:val="ListParagraph"/>
        <w:numPr>
          <w:ilvl w:val="0"/>
          <w:numId w:val="2"/>
        </w:numPr>
        <w:spacing w:after="60" w:line="264"/>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Use-Case-, Klassen- und Sequenzdiagramme, mit dem Teamwork-Server der DHBW als gemeinsamem Repository (WWI25B4G1). Das Klassen- und Use-Case-Modell haben wir zusätzlich als XMI vorgehalten, damit es tool-unabhängig importierbar bleibt.</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Zwischenform der UML-Modelle. Aus einer gemeinsamen Modellbeschreibung entstehen Diagrammbilder für Dokumentation und Präsentation sowie die XMI-Datei für Visual Paradigm; so bleiben Klassennamen, Attribute und Operationen an allen Stellen identisch.</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Servicemitarbeiter, Techniker, Disponent und Werkstattleiter sind in BPMN Pool beziehungsweise Lanes (Kunde, Service / Annahme, Techniker, Ersatzteil-Disposition, Werkstattleitung), im Use-Case-Diagramm und in den Sequenzdiagrammen Akteure und im Klassendiagramm Unterklassen von Person beziehungsweise Mitarbeiter.</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 xml:space="preserve">Jedes Artefakt durchläuft eine Definition of Done: Ablage im Git-Repository über einen Pull Request mit Review durch eine zweite Person, bei den UML-Modellen zusätzlich Commit auf dem VP-Teamwork-Server, Einhaltung der Namens- und Modellierungskonventionen und Abnahme über die QA-Checkliste des Qualitätsmanagers. Die BPMN-Dateien prüfen wir zusätzlich automatisiert mit zwei Werkzeugen: dem Regelsatz des Camunda Modelers (@camunda/linting, Camunda 8.7, dieselben Regeln wie das Problems-Panel) und dem allgemeinen bpmnlint-Regelsatz „recommended". Geprüft werden unter anderem: genau ein Startereignis, kein Flussobjekt ohne Ein- und Ausgang, Bedingungen an allen Ausgängen exklusiver Gateways, keine Zusammenführung mit einem Verzweigungs-Gateway, Beschriftung aller Aktivitäten und Ereignisse, gültige Endpunkte aller Nachrichtenflüsse. Beide Prüfungen laufen für alle zehn Diagramme ohne Befund; ein eigenes Skript prüft zusätzlich, dass kein Fluss durch ein fremdes Element läuft. Die Diagramme wurden mit einem Generator erzeugt und werden vor der Abgabe im Camunda Modeler geöffnet, geprüft und gespeichert.</w:t>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die Abweichungen und ihre Korrekturen stehen in Kapitel 6.</w:t>
      </w:r>
    </w:p>
    <w:p>
      <w:pPr>
        <w:spacing w:after="120" w:line="276"/>
        <w:jc w:val="both"/>
      </w:pPr>
      <w:r>
        <w:rPr>
          <w:rFonts w:ascii="Calibri" w:cs="Calibri" w:eastAsia="Calibri" w:hAnsi="Calibri"/>
          <w:i/>
          <w:iCs/>
          <w:sz w:val="22"/>
          <w:szCs w:val="22"/>
          <w:shd w:fill="FFF2A8" w:color="auto" w:val="clear"/>
        </w:rPr>
        <w:t xml:space="preserve">[Gruppe: Nach Sprint 2 ergänzen, wie die Reviews tatsächlich abgelaufen sind: Anzahl der Befunde, typische Fehler]</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wie in der Aufgabenstellung vorgesehen, eine Projektleitung, die Planung und Termine koordiniert.</w:t>
      </w:r>
    </w:p>
    <w:p>
      <w:pPr>
        <w:spacing w:after="120" w:line="276"/>
        <w:jc w:val="both"/>
      </w:pPr>
      <w:r>
        <w:rPr>
          <w:rFonts w:ascii="Calibri" w:cs="Calibri" w:eastAsia="Calibri" w:hAnsi="Calibri"/>
          <w:sz w:val="22"/>
          <w:szCs w:val="22"/>
        </w:rPr>
        <w:t xml:space="preserve">Als Sprint-Takt dienen die Gruppentermine in Präsenz (jeweils 4:15 Stunden): Jeder Termin beginnt mit Sprint Review und Retrospektive des vorangegangenen Sprints und dem Sprint Planning des nächsten; das Feedback des Dozenten aus dem Coaching wird direkt im Planning eingeplant. Zwischen den Terminen arbeiten wir asynchron: Abstimmungen laufen über eine WhatsApp-Gruppe, Dateien teilen wir ausschließlich über das GitHub-Repository.</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Review-Befunde in den BPMN-Dateien einarbeiten, Modelle im Camunda Modeler nachziehen, Sequenzdiagramme als Unterdiagramme der Use Cases in Visual Paradigm, Dokumentationskapitel 1 bis 4</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BPMN-Freeze mit BPMN-Archiv, UML-Freeze mit VPP-Datei, Dokumentation fertig, Folien mit finalen Diagrammen, Sprechtexte</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 bis 20 Minuten im Plenum, alle Gruppenmitglieder tragen vor; Kapitel 6 und 7 abschließen; Abgabe-Archiv Fallstudie-WWI25B4-Gruppe1.zip über Moodle, jede Person lädt es selbst hoch</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Kilian übernimmt stattdessen das UML-Modell),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i/>
          <w:iCs/>
          <w:sz w:val="22"/>
          <w:szCs w:val="22"/>
          <w:shd w:fill="FFF2A8" w:color="auto" w:val="clear"/>
        </w:rPr>
        <w:t xml:space="preserve">[Gruppe: Tatsächliche Sprint-Ergebnisse und Abweichungen vom Plan beschreiben]</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keine direkten Commits auf main, ein Branch je Aufgabe, Pull Request mit Beschreibung, Review durch ein anderes Teammitglied, Definition of Done.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mit Datum, Begründung und Auswirkung im Entscheidungslog, Rückmeldungen des Dozenten in einer eigenen Datei.</w:t>
      </w:r>
    </w:p>
    <w:p>
      <w:pPr>
        <w:spacing w:after="120" w:line="276"/>
        <w:jc w:val="both"/>
      </w:pPr>
      <w:r>
        <w:rPr>
          <w:rFonts w:ascii="Calibri" w:cs="Calibri" w:eastAsia="Calibri" w:hAnsi="Calibri"/>
          <w:sz w:val="22"/>
          <w:szCs w:val="22"/>
        </w:rPr>
        <w:t xml:space="preserve">Die BPMN-Modelle liegen ausschließlich im Git-Repository, die UML-Modelle zusätzlich auf dem VP-Teamwork-Server; im Git liegen außerdem Exporte und lokale Sicherungen (PlantUML, XMI, nach Fertigstellung auch die VPP-Datei), damit jederzeit ein vollständiger Stand wiederhergestellt werden kann. Office-Dateien lassen sich nicht mergen; wer Dokumentation oder Folien bearbeitet, stimmt das vorher im Team ab.</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Lehre-VPN eingerichtet, regelmäßige lokale Sicherung der VPP-Datei über „Save Project As", XMI-Export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Jeder Teil der Präsentation hat eine Vertretung, Folien liegen im Repository</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als XML-Export in BPMN-WWI25B4-Gruppe1.zip, dort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(42 %)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angestoßen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(79 %)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Bestellbedarf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(38 %)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Gerät abholbereit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17</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(65 %)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(53 %)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(73 %)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 xml:space="preserve">Insgesamt enthalten die zehn Werkstatt-Prozesse 131 Aktivitäten, im Durchschnitt also 13,1 je Diagramm; die Abläufe im Pool Kunde kommen mit weiteren 26 Aktivitäten hinzu und sind in Tabelle 1 nicht mitgezählt. Dazu kommen 40 Nachrichtenflüsse zwischen den Pools und 60 Datenobjekte und Datenspeicher. Jeder Prozess hat auf Prozessebene genau ein Start- und ein Endereignis; alternative Ausgänge werden mit exklusiven Gateways zusammengeführt.</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zeigt aber, wann der Kunde reagiert und wie der Vorgang für ihn endet. Die Nachrichtenflüsse verbinden deshalb konkrete Aktivitäten und Ereignisse beider Pools. Der Lieferant bleibt ein Empty Pool (Black Box), weil wir seine internen Abläufe weder kennen noch beeinflussen. Der KI-Diagnosedienst ist kein eigener Pool, obwohl er im Systemkontext ein externer Dienst ist: RepairFlow ruft ihn synchron innerhalb der Geschäftsregel-Aktivität „KI-Diagnosevorschlag erstellen" auf, er hat keinen eigenen Geschäftsprozess, mit dem Nachrichten ausgetauscht würden.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Auftragsbestätigung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 oder „08 Abholung abwickeln" aus Diagnose, KVA und Reklamation.</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daraus legt RepairFlow sofort eine Voranmeldung an. Die Medien werden geprüft und vom KI-Dienst ausgewertet (bei nicht auswertbaren Medien fragt das System nach einer besseren Aufnahme, nach sieben Tagen ohne Antwort wird die Voranmeldung verworfen). RepairFlow berechnet einen vorläufigen Kostenvoranschlag, prüft die Teileverfügbarkeit in allen Filialen und schlägt Filiale und Termin vor. Bestätigt der Kunde, werden die Voranmeldung als bestätigt markiert und die Teile vorreserviert; lehnt er den Termin ab oder reagiert er sieben Tage nicht, wird die Voranmeldung verworfen.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bei nicht reproduzierbarem Fehler zusätzlich eine erweiterte Prüfung, und dokumentiert den Fehlerbefund samt Ersatzteilbedarf. RepairFlow bewertet die Wirtschaftlichkeit der Reparatur; bei einem Totalschaden oder ohne Befund wird der Kunde informiert, der Auftrag auf „abgelehnt" gesetzt und über Prozess 08 mit der Diagnosepauschale zur Abholung gebracht.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Nach der Prüfung durch den Service setzt RepairFlow den Auftrag auf „KVA offen", sendet den KVA und wartet auf Freigabe, Ablehnung oder eine dreitägige Frist. Bei jedem Fristablauf wird der Erinnerungszähler erhöht: Unter drei wird erneut gesendet, beim dritten Fristablauf wird der Auftrag abgelehnt. Nach Freigabe startet die Disposition (Prozess 05), nach Ablehnung folgt die Abholung mit Diagnosepauschale über Prozess 08.</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bei Bestand in einer anderen Filiale zusätzlich per Umlagerung angefordert, Fehlteile für die Bestellung markiert. Danach werden die Reservierungen bestätigt; ein unterschrittener Meldebestand erzeugt einen Nachbestellvorschlag. Der Service informiert den Kunden über den voraussichtlichen Reparaturbeginn. Nur Fehlteile lösen Prozess 06 direkt aus; ein Nachbestellvorschlag bleibt im Status Vorschlag und wird mit der nächsten Bestellung gebündelt, damit die Reparatur nicht auf Lagernachschub wartet.</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 xml:space="preserve">Die Fehlteile eines Auftrags werden mit offenen Nachbestellvorschlägen gebündelt und beim Lieferanten bestellt, bei Überschreitung der Freigabegrenze nach Freigabe durch die Werkstattleitung. Kommt binnen 3 Tagen keine Auftragsbestätigung oder kann der Lieferant nicht liefern, wird die Bestellung storniert und ein alternativer Lieferant gesucht. Nach Auftragsbestätigung wird der Liefertermin am Auftrag hinterlegt (Status „Teile bestellt") und der Kunde bei Verzögerung informiert; bleibt die Lieferung 14 Tage aus, wird sie angemahnt. Der Wareneingang wird geprüft und gebucht, mangelhafte Lieferungen gehen in die Retoure (Prozess 10). Eine Ersatzlieferung wird geprüft, bevor die Fehlteile dem Auftrag zugeordnet werden; bei Gutschrift wird neu bestellt, solange das Teil noch benötigt wird.</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in einer Schleife mit Zeiterfassung ab. Ein Zusatzbefund führt zu einem Nachtrags-KVA, den der Kunde freigeben muss; ohne Antwort innerhalb von drei Tagen gilt er als abgelehnt. Nach Endkontrolle und Prüfprotokoll wird der Auftrag auf „fertig" gesetzt, bei Mängeln folgt Nacharbeit. Auch die Nacharbeit aus einer Reklamation (Prozess 09) läuft über diesen Prozess.</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Sobald ein Gerät abholbereit ist, erstellt RepairFlow die Rechnung aus KVA und Arbeitszeiten, bei abgelehnten Aufträgen über die Diagnosepauschale (kostenfreie Nacharbeit ohne Rechnung) und benachrichtigt den Kunden. Wird das Gerät nicht abgeholt, erinnert das System alle 14 Tage, nach der dritten Erinnerung mit Lagergebühr. Bei der Abholung teilt der Kunde die Zahlungsart mit, zahlt bar oder per Karte oder erhält die Rechnung mit Zahlungsziel; danach wird das Gerät übergeben und der Auftrag auf „abgeholt" gesetzt. Offene Rechnungen werden nach 14 Tagen gemahnt, eingegangene Zahlungen verbucht und an die Buchhaltung übergeben. Zum Schluss bittet RepairFlow um eine Bewertung.</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erfasst, dem Ursprungsauftrag zugeordnet und das Gerät angenommen. Der Techniker prüft den Mangel, RepairFlow bewertet den Gewährleistungsfall. Die Werkstattleitung entscheidet über die kostenfreie Nacharbeit; andernfalls erhält der Kunde ein kostenpflichtiges Angebot. Nur nach Freigabe oder Angebotsannahme legt der Techniker einen Nacharbeitsauftrag an, der über Prozess 07 durchgeführt wird; defekte Lieferantenteile gehen in die Retoure (Prozess 10). Die Rückgabe des Geräts läuft in allen Zweigen über Prozess 08, danach wird die Reklamation geschlossen.</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 xml:space="preserve">Defekte oder falsche Lieferantenteile werden beim Lieferanten angemeldet. Bleibt die RMA-Freigabe fünf Tage aus, eskaliert die Werkstattleitung. Nach weiteren fünf Tagen ohne Freigabe wird das Teil abgeschrieben. Nach der Freigabe wird das Teil versendet, der Bestand korrigiert und je nach Rückmeldung eine Ersatzlieferung gebucht oder eine Gutschrift verbucht; ob danach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131 Aktivitäten sind 79 automatisierte, regelbasierte, sendende oder empfangende Aktivitäten, also 60 Prozent, die RepairFlow ohne manuelle Arbeit ausführt. Weitere 33 Benutzer-Aktivitäten laufen in der Oberfläche der Plattform. Nur 9 Aktivitäten sind manuell und liegen außerhalb der Systemgrenze; die übrigen 10 sind Aufruf-Aktivitäten und ein Mehrfach-Teilprozess. Die Software, die wir in der objektorientierten Analyse entwerfen, automatisiert damit den Reparaturauftrags-Lebenszyklus als zentrales Werkstatt-Management-System:</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Erinnerungen, Mahnungen und Lagergebühr.</w:t>
      </w:r>
    </w:p>
    <w:p>
      <w:pPr>
        <w:pStyle w:val="ListParagraph"/>
        <w:numPr>
          <w:ilvl w:val="0"/>
          <w:numId w:val="2"/>
        </w:numPr>
        <w:spacing w:after="60" w:line="264"/>
      </w:pPr>
      <w:r>
        <w:rPr>
          <w:rFonts w:ascii="Calibri" w:cs="Calibri" w:eastAsia="Calibri" w:hAnsi="Calibri"/>
          <w:sz w:val="22"/>
          <w:szCs w:val="22"/>
        </w:rPr>
        <w:t xml:space="preserve">Kundenkommunikation an jedem Statusübergang: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 xml:space="preserve">Die objektorientierte Analyse folgt der Reihenfolge aus der Vorlesung: Use-Case-Diagramm, Klassendiagramm, je Use Case ein Interaktionsdiagramm, Zustandsdiagramm je Klasse mit Lebenszyklus. Alle Diagramme werden aus der XMI-Datei in das Visual-Paradigm-Projekt UML-WWI25B4-Gruppe1.vpp übernommen, die Sequenzdiagramme dort als Unterdiagramme der zugehörigen Use Cases.</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19 Use Cases in vier Bereichen (Kundenportal, Auftrag und Werkstatt, Ersatzteil-Disposition, Administration) und acht Akteure. Primäre Akteure sind Kunde, Servicemitarbeiter, Techniker, Disponent, Werkstattleiter und Werkstattinhaber; Lieferant und KI-Diagnosedienst sind sekundäre, externe Akteure. Jede Lane der Prozessmodelle hat damit einen Akteur, die Lane Service / Annahme den Servicemitarbeiter.</w:t>
      </w:r>
    </w:p>
    <w:p>
      <w:pPr>
        <w:keepNext/>
        <w:spacing w:after="0" w:before="120"/>
        <w:jc w:val="center"/>
      </w:pPr>
      <w:r>
        <w:drawing>
          <wp:inline distT="0" distB="0" distL="0" distR="0">
            <wp:extent cx="5715000" cy="4581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5815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schließen „Sofortdiagnose anfordern" und „Ersatzteile disponieren und reservieren" im erfolgreichen Hauptablauf „Ersatzteil-Verfügbarkeit prüfen" ein. „Reparaturauftrag anlegen" erweitert „Reklamation bearbeiten" nur bei freigegebener Nacharbeit oder angenommenem Angebot; bei Ablehnung entsteht kein neuer Auftrag. „Voranmeldung bestätigen" erweitert die Sofortdiagnose nur dann, wenn der Kunde den Vorschlag annimmt; „Diagnosevorschlag prüfen" bleibt ein eigener Use Case vor der Befunderfassung; Prozess 03 enthält dafür keine bedingte Verzweigung, deshalb wird keine extend-Beziehung behauptet; „Nachbestellvorschlag erzeugen" erweitert die Disposition bei unterschrittenem Meldebestand. „Lieferantenbestellung auslösen" erweitert sie, wenn Fehlteile vorhanden sind. „Retoure abwickeln" erweitert den Wareneingang bei mangelhafter Lieferung und die Reklamation bei einem defekten Lieferantenteil. Die Bedingungen und Erweiterungspunkte stehen auch in der XMI-Datei. Vorbedingungen wie die Fertigmeldung vor der Rechnung sind bewusst keine include-Beziehungen, weil der Basis-Use-Case den anderen nicht ausführt.</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27 Klassen, darunter die abstrakten Klassen Person und Mitarbeiter, sowie sieben Aufzählungen und 36 Assoziationen. Es gibt genau ein vollständiges Klassendiagramm in Anhang C und im Repository (uml/klassen.png). Alle Klassen, Operationen und Beziehungen stehen in derselben Abbildung; zusätzliche Fokusdiagramme entfallen. In Visual Paradigm wird es aus der XMI-Datei aufgebaut.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ist dagegen nur assoziiert, weil der vorläufige KVA aus der Sofortdiagnose schon vor dem Auftrag entsteht (Multiplizität 0..1 auf Auftragsseite).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 (vorreserviere() statt reserviere()).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 xml:space="preserve">Eine Reklamation verweist auf den Ursprungsauftrag und führt zu einem neuen Reparaturauftrag für die Nacharbeit, der mit dem Attribut kostenfrei kennzeichnet, ob die Gewährleistung greift. So bleibt der Lebenszyklus jedes Auftrags linear, und Prozess 09 kann die Nacharbeit über die Prozesse 07 und 08 abwickeln.</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Servicemitarbeiter, Techniker, Disponent und Werkstattleiter entspricht den vier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zeigen Klassenobjekte und beteiligte Akteure. Klassenbotschaften verwenden die Operationen des Klassendiagramms; Antworten, Konstruktoren und Nachrichten an menschliche oder externe Akteure werden gesondert dargestellt. Kombinierte Fragmente bilden Verzweigungen, optionale Schritte, Schleifen und parallele Teileprüfungen ab.</w:t>
      </w:r>
    </w:p>
    <w:p>
      <w:pPr>
        <w:keepNext/>
        <w:spacing w:after="0" w:before="120"/>
        <w:jc w:val="center"/>
      </w:pPr>
      <w:r>
        <w:drawing>
          <wp:inline distT="0" distB="0" distL="0" distR="0">
            <wp:extent cx="3800475" cy="4953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0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SD1 – Sofortdiagnose anfordern (UC01)</w:t>
      </w:r>
    </w:p>
    <w:p>
      <w:pPr>
        <w:spacing w:after="120" w:line="276"/>
        <w:jc w:val="both"/>
      </w:pPr>
      <w:r>
        <w:rPr>
          <w:rFonts w:ascii="Calibri" w:cs="Calibri" w:eastAsia="Calibri" w:hAnsi="Calibri"/>
          <w:sz w:val="22"/>
          <w:szCs w:val="22"/>
        </w:rPr>
        <w:t xml:space="preserve">SD1 folgt Prozess 01: RepairFlow legt die Voranmeldung an und prüft die Medienqualität. Nicht auswertbare Aufnahmen können nachgereicht werden; sieben Tage ohne neue Aufnahme beenden den Ablauf. Erst danach wertet der KI-Dienst die Medien aus. Vorab-KVA, Verfügbarkeit und Filialauslastung führen zum Terminvorschlag. Bestätigung, Terminablehnung und sieben Tage ohne Entscheidung sind getrennte Pfade; verfügbare Teile werden erst nach Bestätigung vorreserviert.</w:t>
      </w:r>
    </w:p>
    <w:p>
      <w:pPr>
        <w:keepNext/>
        <w:spacing w:after="0" w:before="120"/>
        <w:jc w:val="center"/>
      </w:pPr>
      <w:r>
        <w:drawing>
          <wp:inline distT="0" distB="0" distL="0" distR="0">
            <wp:extent cx="3000375" cy="4572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00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SD2 – KVA freigeben / ablehnen (UC07)</w:t>
      </w:r>
    </w:p>
    <w:p>
      <w:pPr>
        <w:spacing w:after="120" w:line="276"/>
        <w:jc w:val="both"/>
      </w:pPr>
      <w:r>
        <w:rPr>
          <w:rFonts w:ascii="Calibri" w:cs="Calibri" w:eastAsia="Calibri" w:hAnsi="Calibri"/>
          <w:sz w:val="22"/>
          <w:szCs w:val="22"/>
        </w:rPr>
        <w:t xml:space="preserve">SD2 übernimmt Positionen und Ersatzteilpreise aus UC06, die Prüfung durch Service / Annahme und den Status „KVA offen". Alle drei Tage ohne Antwort wird ein Fristablauf protokolliert; vor dem dritten Ablauf wird der KVA mit Erinnerung erneut gesendet. Freigabe startet Prozess 05. Eine echte Kundenablehnung und der dritte Fristablauf sind getrennte Pfade zur Abholung über Prozess 08; der Timeout wird nicht als Kundenbotschaft dargestellt.</w:t>
      </w:r>
    </w:p>
    <w:p>
      <w:pPr>
        <w:keepNext/>
        <w:spacing w:after="0" w:before="120"/>
        <w:jc w:val="center"/>
      </w:pPr>
      <w:r>
        <w:drawing>
          <wp:inline distT="0" distB="0" distL="0" distR="0">
            <wp:extent cx="4943475" cy="4953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43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SD3 – Ersatzteile disponieren und reservieren (UC09)</w:t>
      </w:r>
    </w:p>
    <w:p>
      <w:pPr>
        <w:spacing w:after="120" w:line="276"/>
        <w:jc w:val="both"/>
      </w:pPr>
      <w:r>
        <w:rPr>
          <w:rFonts w:ascii="Calibri" w:cs="Calibri" w:eastAsia="Calibri" w:hAnsi="Calibri"/>
          <w:sz w:val="22"/>
          <w:szCs w:val="22"/>
        </w:rPr>
        <w:t xml:space="preserve">SD3 zeigt den parallelen Mehrfach-Teilprozess je Ersatzteil: eigene Filiale, andere Filialen mit Umlagerung oder Fehlteil markieren. Danach folgen die Bestätigung aller Reservierungen und die Meldebestandsprüfung mit optionalem Nachbestellvorschlag (UC12). Der Servicemitarbeiter ermittelt den Reparaturbeginn und informiert den Kunden. Erst dann startet bei Fehlteilen UC10, ein Nachbestellvorschlag allein löst keine Bestellung aus; der Status „Teile bestellt" folgt erst nach bestätigter Bestellung in SD6.</w:t>
      </w:r>
    </w:p>
    <w:p>
      <w:pPr>
        <w:keepNext/>
        <w:spacing w:after="0" w:before="120"/>
        <w:jc w:val="center"/>
      </w:pPr>
      <w:r>
        <w:drawing>
          <wp:inline distT="0" distB="0" distL="0" distR="0">
            <wp:extent cx="3238500" cy="4191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191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SD4 – Auftrag fertigmelden (UC14)</w:t>
      </w:r>
    </w:p>
    <w:p>
      <w:pPr>
        <w:spacing w:after="120" w:line="276"/>
        <w:jc w:val="both"/>
      </w:pPr>
      <w:r>
        <w:rPr>
          <w:rFonts w:ascii="Calibri" w:cs="Calibri" w:eastAsia="Calibri" w:hAnsi="Calibri"/>
          <w:sz w:val="22"/>
          <w:szCs w:val="22"/>
        </w:rPr>
        <w:t xml:space="preserve">SD4 knüpft die Fertigmeldung an abgeschlossene Reparaturschritte und bestandene Endkontrolle. UC13 umfasst die Schritte und Arbeitszeiten sowie den optionalen Nachtrags-KVA: Freigabe führt zu weiteren Schritten, Ablehnung oder drei Tage ohne Antwort zur Endkontrolle. Fehler in der Endkontrolle führen zur Nacharbeit und erneuter Prüfung. UC14 setzt erst dann den Status „fertig". Abholbenachrichtigung und Rechnung gehören zu UC15 in Prozess 08.</w:t>
      </w:r>
    </w:p>
    <w:p>
      <w:pPr>
        <w:keepNext/>
        <w:spacing w:after="0" w:before="120"/>
        <w:jc w:val="center"/>
      </w:pPr>
      <w:r>
        <w:drawing>
          <wp:inline distT="0" distB="0" distL="0" distR="0">
            <wp:extent cx="3933825" cy="4572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SD5 – Reklamation bearbeiten (UC16)</w:t>
      </w:r>
    </w:p>
    <w:p>
      <w:pPr>
        <w:spacing w:after="120" w:line="276"/>
        <w:jc w:val="both"/>
      </w:pPr>
      <w:r>
        <w:rPr>
          <w:rFonts w:ascii="Calibri" w:cs="Calibri" w:eastAsia="Calibri" w:hAnsi="Calibri"/>
          <w:sz w:val="22"/>
          <w:szCs w:val="22"/>
        </w:rPr>
        <w:t xml:space="preserve">SD5 zeigt Geräteannahme, Mangelprüfung durch den Techniker und Gewährleistungsbewertung am Ursprungsauftrag. Die Werkstattleitung gibt kostenfreie Nacharbeit frei; sonst entscheidet der Kunde über das Angebot. Nur bei Freigabe oder Annahme legt der Techniker den Nacharbeitsauftrag an. Darauf folgen Prozess 07, gegebenenfalls Prozess 10 bei defektem Lieferantenteil und in allen Pfaden Prozess 08 zur Abholung. Erst danach wird die Reklamation abgeschlossen.</w:t>
      </w:r>
    </w:p>
    <w:p>
      <w:pPr>
        <w:keepNext/>
        <w:spacing w:after="0" w:before="120"/>
        <w:jc w:val="center"/>
      </w:pPr>
      <w:r>
        <w:drawing>
          <wp:inline distT="0" distB="0" distL="0" distR="0">
            <wp:extent cx="3381375" cy="4572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81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SD6 – Lieferantenbestellung auslösen (UC10, mit Verweis auf UC12)</w:t>
      </w:r>
    </w:p>
    <w:p>
      <w:pPr>
        <w:spacing w:after="120" w:line="276"/>
        <w:jc w:val="both"/>
      </w:pPr>
      <w:r>
        <w:rPr>
          <w:rFonts w:ascii="Calibri" w:cs="Calibri" w:eastAsia="Calibri" w:hAnsi="Calibri"/>
          <w:sz w:val="22"/>
          <w:szCs w:val="22"/>
        </w:rPr>
        <w:t xml:space="preserve">SD6 bündelt den Bestellbedarf aus Prozess 05, wählt einen Lieferanten und legt eine Bestellung mit Positionen an. Oberhalb der Freigabegrenze ist die Freigabe durch die Werkstattleitung erforderlich. Nur eine bestätigte und lieferbare Bestellung setzt bei auftragsbezogenen Fehlteilen den Status „Teile bestellt"; Verzögerungen werden dem Kunden mitgeteilt. Nicht lieferbare Bestellungen werden storniert, ein alternativer Lieferant wird gesucht. UC11 verfeinert Lieferung und Wareneingang, bei Mängeln mit UC19 Retoure. Ohne Ersatz wird nur erneut bestellt, solange das Teil noch benötigt wird. Eine Zusammenführung mit offenen Bestellungen wird nicht behauptet, weil Prozess 06 diesen Pfad nicht enthält.</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drei Modelle sind über drei Klammern verbunden: Erstens tragen die Datenobjekte der BPMN-Diagramme die Klassennamen des Klassendiagramms, teilweise mit dem Zustand in eckigen Klammern. Zweitens entsprechen der Pool Kunde und die Lanes Service / Annahme, Techniker, Ersatzteil-Disposition und Werkstattleitung den Akteuren Kunde, Servicemitarbeiter, Techniker, Disponent und Werkstattleiter und den gleichnamigen Klassen (Kunde beziehungsweise Unterklassen von Mitarbeiter). Drittens folgen Sequenzdiagramme, Datenobjekt-Zustände und Zustandsdiagramm demselben Zustandsautomaten, sodass jeder Statuswechsel als Aktivität „Auftragsstatus auf … setzen" in den Prozessen, als Aufruf von wechsleStatus() in den Sequenzdiagrammen und als Übergang im Zustandsdiagramm wiederzufinden ist (den Status „abgelehnt" setzen Prozess 03 und 04, „angenommen" Prozess 02 und 09, weil beide Prozesse denselben Übergang auslösen). Tabelle 2 zeigt die Zuordnung.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Servicemitarbeiter,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 Reparaturauftrag [in Diagnose,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 aus P05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[offen, Mahnung, bezahlt], Servicemitarbeiter,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 UC03 nur bei Nacharbeit; UC19 bei defektem Teil</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Servicemitarbeiter, Werkstattleiter, Reparaturauftrag [angenommen]</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UC19</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[Retoure, Gutschrift],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beide Linter ohne Befund passieren;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 xml:space="preserve">Ein erster Entwurf modellierte Werkstatt und Ersatzteil-Disposition als getrennte Pools. Nach der Vorlesungsregel „Pool = Unternehmen, Lanes = Rollen" wurde auf einen Pool mit Lanes umgestellt; Kunde und Lieferant blieben eigene Pools. Erst dadurch wurden die Nachrichtenflüsse eindeutig. Den Kunden hatten wir zunächst als Black Box gezeichnet; weil dabei nicht sichtbar war, wann er antwortet, entscheidet oder fertig ist, haben wir ihm einen eigenen Ablauf gegeben (Entscheidungslog E-16). Eine Gesamtprüfung aller Modelle am 05.10.2026 (E-17) zeigte danach Lücken zwischen den Prozessen, etwa dass abgelehnte Aufträge nie abgeholt wurden und Warteschleifen keinen Ausstieg hatten; seitdem laufen alle Rückgaben über Prozess 08 und jede Warteschleife hat einen Timer.</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durchschnittlich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 xml:space="preserve">Datenobjekte, Klassen, Lebenslinien und Statuswerte müssen wortgleich sein. Frühere Fassungen der Sequenzdiagramme verwendeten „Diagnose" und „Reservierung", das Klassendiagramm „Fehlerbefund" und „ErsatzteilReservierung". Wir haben eine gemeinsame Modellbeschreibung eingeführt, aus der Klassendiagramm, XMI und die Namen in den anderen Modellen stammen.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das entspricht dem in der Vorlesung beschriebenen Weg vom fachlichen zum ausführbaren Modell.</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i/>
          <w:iCs/>
          <w:sz w:val="22"/>
          <w:szCs w:val="22"/>
          <w:shd w:fill="FFF2A8" w:color="auto" w:val="clear"/>
        </w:rPr>
        <w:t xml:space="preserve">[Gruppe: Ergänzen: Herausforderungen in der Gruppenarbeit, zum Beispiel Terminfindung, Aufteilung, Git-Konflikte]</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i/>
          <w:iCs/>
          <w:sz w:val="22"/>
          <w:szCs w:val="22"/>
          <w:shd w:fill="FFF2A8" w:color="auto" w:val="clear"/>
        </w:rPr>
        <w:t xml:space="preserve">[Gruppe: Weitere Rückmeldungen aus den Coaching-Terminen und deren Umsetzung ergänzen]</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 xml:space="preserve">Die Fallstudie hat uns gezeigt, wie viel Abstimmung nötig ist, damit Prozessmodell, Use Cases und Klassenmodell zusammenpassen. Das Wechselspiel aus Coaching-Terminen und eigenständiger Arbeit hat gut funktioniert, weil wir das Feedback direkt einarbeiten konnten. Hilfreich wäre aus unserer Sicht eine frühere Klarstellung gewesen, wie streng die Vorgabe „durchschnittlich zehn Aktivitäten" gemeint ist.</w:t>
      </w:r>
    </w:p>
    <w:p>
      <w:pPr>
        <w:spacing w:after="120" w:line="276"/>
        <w:jc w:val="both"/>
      </w:pPr>
      <w:r>
        <w:rPr>
          <w:rFonts w:ascii="Calibri" w:cs="Calibri" w:eastAsia="Calibri" w:hAnsi="Calibri"/>
          <w:i/>
          <w:iCs/>
          <w:sz w:val="22"/>
          <w:szCs w:val="22"/>
          <w:shd w:fill="FFF2A8" w:color="auto" w:val="clear"/>
        </w:rPr>
        <w:t xml:space="preserve">[Gruppe: Ergänzen: Was hat euch am meisten gebracht, was war zu viel oder zu wenig, was würdet ihr beim nächsten Mal anders machen]</w:t>
      </w:r>
    </w:p>
    <w:p>
      <w:pPr>
        <w:pStyle w:val="Heading1"/>
        <w:keepNext/>
        <w:spacing w:after="120" w:before="360"/>
      </w:pPr>
      <w:r>
        <w:rPr>
          <w:rFonts w:ascii="Calibri" w:cs="Calibri" w:eastAsia="Calibri" w:hAnsi="Calibri"/>
        </w:rPr>
        <w:t xml:space="preserve">Anhang A: Abgabestruktur</w:t>
      </w:r>
    </w:p>
    <w:p>
      <w:pPr>
        <w:spacing w:after="120" w:line="276"/>
        <w:jc w:val="both"/>
      </w:pPr>
      <w:r>
        <w:rPr>
          <w:rFonts w:ascii="Calibri" w:cs="Calibri" w:eastAsia="Calibri" w:hAnsi="Calibri"/>
          <w:sz w:val="22"/>
          <w:szCs w:val="22"/>
        </w:rPr>
        <w:t xml:space="preserve">Das Abgabe-Archiv Fallstudie-WWI25B4-Gruppe1.zip enthält: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Visual-Paradigm-Projekt mit Use-Case-, Klassen-, sechs Sequenz- und einem Zustandsdiagramm, aus uml/modell.xmi importiert (im Repository: uml/ als PlantUML, PNG und XMI)</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6"/>
          <w:footerReference w:type="default" r:id="rId7"/>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333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Prozess 02 Auftragsannahme, Geräteregistrierung und Terminplanung (Pools: Werkstattbetrieb, Kunde)</w:t>
      </w:r>
    </w:p>
    <w:p>
      <w:r>
        <w:br w:type="page"/>
      </w:r>
    </w:p>
    <w:p>
      <w:pPr>
        <w:keepNext/>
        <w:spacing w:after="0" w:before="120"/>
        <w:jc w:val="center"/>
      </w:pPr>
      <w:r>
        <w:drawing>
          <wp:inline distT="0" distB="0" distL="0" distR="0">
            <wp:extent cx="9144000" cy="2943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9432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03 Fehlerdiagnose (Pools: Werkstattbetrieb, Kunde)</w:t>
      </w:r>
    </w:p>
    <w:p>
      <w:r>
        <w:br w:type="page"/>
      </w:r>
    </w:p>
    <w:p>
      <w:pPr>
        <w:keepNext/>
        <w:spacing w:after="0" w:before="120"/>
        <w:jc w:val="center"/>
      </w:pPr>
      <w:r>
        <w:drawing>
          <wp:inline distT="0" distB="0" distL="0" distR="0">
            <wp:extent cx="9144000" cy="3752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37528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04 Kostenvoranschlag und Kundenfreigabe (Pools: Werkstattbetrieb, Kunde)</w:t>
      </w:r>
    </w:p>
    <w:p>
      <w:r>
        <w:br w:type="page"/>
      </w:r>
    </w:p>
    <w:p>
      <w:pPr>
        <w:keepNext/>
        <w:spacing w:after="0" w:before="120"/>
        <w:jc w:val="center"/>
      </w:pPr>
      <w:r>
        <w:drawing>
          <wp:inline distT="0" distB="0" distL="0" distR="0">
            <wp:extent cx="9144000" cy="23050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3050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05 Ersatzteil-Verfügbarkeit und Reservierung (Pools: Werkstattbetrieb, Kunde)</w:t>
      </w:r>
    </w:p>
    <w:p>
      <w:r>
        <w:br w:type="page"/>
      </w:r>
    </w:p>
    <w:p>
      <w:pPr>
        <w:keepNext/>
        <w:spacing w:after="0" w:before="120"/>
        <w:jc w:val="center"/>
      </w:pPr>
      <w:r>
        <w:drawing>
          <wp:inline distT="0" distB="0" distL="0" distR="0">
            <wp:extent cx="9144000" cy="2400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4003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06 Ersatzteil-Bestellung beim Lieferanten (Pools: Werkstattbetrieb, Lieferant, Kunde)</w:t>
      </w:r>
    </w:p>
    <w:p>
      <w:r>
        <w:br w:type="page"/>
      </w:r>
    </w:p>
    <w:p>
      <w:pPr>
        <w:keepNext/>
        <w:spacing w:after="0" w:before="120"/>
        <w:jc w:val="center"/>
      </w:pPr>
      <w:r>
        <w:drawing>
          <wp:inline distT="0" distB="0" distL="0" distR="0">
            <wp:extent cx="9144000" cy="26003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6003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07 Reparaturdurchführung und Arbeitszeiterfassung (Pools: Werkstattbetrieb, Kunde)</w:t>
      </w:r>
    </w:p>
    <w:p>
      <w:r>
        <w:br w:type="page"/>
      </w:r>
    </w:p>
    <w:p>
      <w:pPr>
        <w:keepNext/>
        <w:spacing w:after="0" w:before="120"/>
        <w:jc w:val="center"/>
      </w:pPr>
      <w:r>
        <w:drawing>
          <wp:inline distT="0" distB="0" distL="0" distR="0">
            <wp:extent cx="9144000" cy="2505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5050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09 Reklamation und Gewährleistung (Pools: Werkstattbetrieb, Kunde)</w:t>
      </w:r>
    </w:p>
    <w:p>
      <w:r>
        <w:br w:type="page"/>
      </w:r>
    </w:p>
    <w:p>
      <w:pPr>
        <w:keepNext/>
        <w:spacing w:after="0" w:before="120"/>
        <w:jc w:val="center"/>
      </w:pPr>
      <w:r>
        <w:drawing>
          <wp:inline distT="0" distB="0" distL="0" distR="0">
            <wp:extent cx="9144000" cy="27051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7051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10 Ersatzteil-Retoure und Lieferanten-Reklamation (Pools: Werkstattbetrieb, Lieferant)</w:t>
      </w:r>
    </w:p>
    <w:p>
      <w:r>
        <w:br w:type="page"/>
      </w:r>
    </w:p>
    <w:p>
      <w:pPr>
        <w:pStyle w:val="Heading1"/>
        <w:keepNext/>
        <w:spacing w:after="120" w:before="360"/>
      </w:pPr>
      <w:r>
        <w:rPr>
          <w:rFonts w:ascii="Calibri" w:cs="Calibri" w:eastAsia="Calibri" w:hAnsi="Calibri"/>
        </w:rPr>
        <w:t xml:space="preserve">Anhang C: Das vollständige Klassendiagramm</w:t>
      </w:r>
    </w:p>
    <w:p>
      <w:pPr>
        <w:keepNext/>
        <w:spacing w:after="0" w:before="120"/>
        <w:jc w:val="center"/>
      </w:pPr>
      <w:r>
        <w:drawing>
          <wp:inline distT="0" distB="0" distL="0" distR="0">
            <wp:extent cx="5324475" cy="4953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24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Klassendiagramm cd : RepairFlow mit allen 27 Klassen, 7 Aufzählungen und 36 Assoziationen</w:t>
      </w:r>
    </w:p>
    <w:sectPr>
      <w:headerReference w:type="default" r:id="rId8"/>
      <w:footerReference w:type="default" r:id="rId9"/>
      <w:pgSz w:w="16838" w:h="11906" w:orient="landscape"/>
      <w:pgMar w:top="10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12" Type="http://schemas.openxmlformats.org/officeDocument/2006/relationships/image" Target="media/80f9df417d37dec2d797149a62cc268a0a6db1b7.png"/><Relationship Id="rId13" Type="http://schemas.openxmlformats.org/officeDocument/2006/relationships/image" Target="media/d1d41a90e55f399d423313a2cc09f34deb8988a6.png"/><Relationship Id="rId14" Type="http://schemas.openxmlformats.org/officeDocument/2006/relationships/image" Target="media/37f36d51a93770381da15a87fa9bd48b596ba69b.png"/><Relationship Id="rId15" Type="http://schemas.openxmlformats.org/officeDocument/2006/relationships/image" Target="media/294f0f3fe469a4c0d7c833184582151ee1ab3e03.png"/><Relationship Id="rId16" Type="http://schemas.openxmlformats.org/officeDocument/2006/relationships/image" Target="media/11a0c2fe931b9fcc48ddb15e8cdfd1fea8fed605.png"/><Relationship Id="rId17" Type="http://schemas.openxmlformats.org/officeDocument/2006/relationships/image" Target="media/38e5de919292f39312c65f8d37a97eb17fd5f00c.png"/><Relationship Id="rId18" Type="http://schemas.openxmlformats.org/officeDocument/2006/relationships/image" Target="media/6e6d4ddb48b253b68e6b06c43c09c59f2d671e29.png"/><Relationship Id="rId19" Type="http://schemas.openxmlformats.org/officeDocument/2006/relationships/image" Target="media/a5eca7de5fa4434157315ad80ffffc3eb4abb380.png"/><Relationship Id="rId20" Type="http://schemas.openxmlformats.org/officeDocument/2006/relationships/image" Target="media/86b6c83b1409475cb8a663efe9e35a0713c341ad.png"/><Relationship Id="rId21" Type="http://schemas.openxmlformats.org/officeDocument/2006/relationships/image" Target="media/a138c8262cca5aec886abd06361d4692c7836926.png"/><Relationship Id="rId22" Type="http://schemas.openxmlformats.org/officeDocument/2006/relationships/image" Target="media/b3e54ce6bf2b9c53ada8e818dfdf00453a69268e.png"/><Relationship Id="rId23" Type="http://schemas.openxmlformats.org/officeDocument/2006/relationships/image" Target="media/cf431306389b14b92da8711c4c9082a824146b45.png"/><Relationship Id="rId24" Type="http://schemas.openxmlformats.org/officeDocument/2006/relationships/image" Target="media/d7065cdeb23af1b4d852920c7b500d7b7723143c.png"/><Relationship Id="rId25" Type="http://schemas.openxmlformats.org/officeDocument/2006/relationships/image" Target="media/f6c4644a37f704555594db8d98d05c3139cd7e28.png"/><Relationship Id="rId26" Type="http://schemas.openxmlformats.org/officeDocument/2006/relationships/image" Target="media/de39026c6bd813cee621afd7be1e52c850522e65.png"/><Relationship Id="rId27" Type="http://schemas.openxmlformats.org/officeDocument/2006/relationships/image" Target="media/2a08f7f2c3ca018b8be9a12c08468fd398680065.png"/><Relationship Id="rId28" Type="http://schemas.openxmlformats.org/officeDocument/2006/relationships/image" Target="media/322a52ec316878ad29d747f3f149c323965ed071.png"/><Relationship Id="rId29" Type="http://schemas.openxmlformats.org/officeDocument/2006/relationships/image" Target="media/3dfcf27ffbd1d012ab0a08b4561fe8488abd0f5d.png"/><Relationship Id="rId30" Type="http://schemas.openxmlformats.org/officeDocument/2006/relationships/image" Target="media/89ffadb71f52f746f5229a8a2c1cf472845e030f.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Un-named</cp:lastModifiedBy>
  <cp:revision>1</cp:revision>
  <dcterms:created xsi:type="dcterms:W3CDTF">2026-10-05T09:30:36.646Z</dcterms:created>
  <dcterms:modified xsi:type="dcterms:W3CDTF">2026-10-05T09:30:36.646Z</dcterms:modified>
</cp:coreProperties>
</file>

<file path=docProps/custom.xml><?xml version="1.0" encoding="utf-8"?>
<Properties xmlns="http://schemas.openxmlformats.org/officeDocument/2006/custom-properties" xmlns:vt="http://schemas.openxmlformats.org/officeDocument/2006/docPropsVTypes"/>
</file>