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tab/>
        <w:t>2</w:t>
      </w:r>
    </w:p>
    <w:p w14:paraId="6AC55036" w14:textId="77777777" w:rsidR="00570CD3" w:rsidRDefault="004E0540">
      <w:pPr>
        <w:tabs>
          <w:tab w:val="right" w:leader="dot" w:pos="9026"/>
        </w:tabs>
        <w:spacing w:after="40"/>
      </w:pPr>
      <w:r>
        <w:rPr>
          <w:b/>
          <w:bCs/>
        </w:rPr>
        <w:t>2 Das Projekt RepairFlow</w:t>
        <w:tab/>
        <w:t>3</w:t>
      </w:r>
    </w:p>
    <w:p w14:paraId="2EA31D8E" w14:textId="77777777" w:rsidR="00570CD3" w:rsidRDefault="004E0540">
      <w:pPr>
        <w:tabs>
          <w:tab w:val="right" w:leader="dot" w:pos="9026"/>
        </w:tabs>
        <w:spacing w:after="40"/>
        <w:ind w:left="400"/>
      </w:pPr>
      <w:r>
        <w:rPr>
          <w:sz w:val="20"/>
          <w:szCs w:val="20"/>
        </w:rPr>
        <w:t>2.1 Ausgangslage und Problem</w:t>
        <w:tab/>
        <w:t>3</w:t>
      </w:r>
    </w:p>
    <w:p w14:paraId="42B1A6AE" w14:textId="77777777" w:rsidR="00570CD3" w:rsidRDefault="004E0540">
      <w:pPr>
        <w:tabs>
          <w:tab w:val="right" w:leader="dot" w:pos="9026"/>
        </w:tabs>
        <w:spacing w:after="40"/>
        <w:ind w:left="400"/>
      </w:pPr>
      <w:r>
        <w:rPr>
          <w:sz w:val="20"/>
          <w:szCs w:val="20"/>
        </w:rPr>
        <w:t>2.2 RepairFlow als Solution Provider</w:t>
        <w:tab/>
        <w:t>3</w:t>
      </w:r>
    </w:p>
    <w:p w14:paraId="34542FBD" w14:textId="77777777" w:rsidR="00570CD3" w:rsidRDefault="004E0540">
      <w:pPr>
        <w:tabs>
          <w:tab w:val="right" w:leader="dot" w:pos="9026"/>
        </w:tabs>
        <w:spacing w:after="40"/>
        <w:ind w:left="400"/>
      </w:pPr>
      <w:r>
        <w:rPr>
          <w:sz w:val="20"/>
          <w:szCs w:val="20"/>
        </w:rPr>
        <w:t>2.3 Systemkontext und Systemgrenze</w:t>
        <w:tab/>
        <w:t>3</w:t>
      </w:r>
    </w:p>
    <w:p w14:paraId="1CB826ED" w14:textId="77777777" w:rsidR="00570CD3" w:rsidRDefault="004E0540">
      <w:pPr>
        <w:tabs>
          <w:tab w:val="right" w:leader="dot" w:pos="9026"/>
        </w:tabs>
        <w:spacing w:after="40"/>
        <w:ind w:left="400"/>
      </w:pPr>
      <w:r>
        <w:rPr>
          <w:sz w:val="20"/>
          <w:szCs w:val="20"/>
        </w:rPr>
        <w:t>2.4 Der Reparaturauftrag als roter Faden</w:t>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tab/>
        <w:t>4</w:t>
      </w:r>
    </w:p>
    <w:p w14:paraId="067F41A1" w14:textId="388A246F" w:rsidR="005F444F" w:rsidRDefault="005F444F">
      <w:pPr>
        <w:tabs>
          <w:tab w:val="right" w:leader="dot" w:pos="9026"/>
        </w:tabs>
        <w:spacing w:after="40"/>
        <w:ind w:left="400"/>
      </w:pPr>
      <w:r>
        <w:rPr>
          <w:sz w:val="20"/>
          <w:szCs w:val="20"/>
        </w:rPr>
        <w:t>2.6 Ausblick</w:t>
        <w:tab/>
        <w:t>5</w:t>
      </w:r>
    </w:p>
    <w:p w14:paraId="7FA83C3C" w14:textId="77777777" w:rsidR="00570CD3" w:rsidRDefault="004E0540">
      <w:pPr>
        <w:tabs>
          <w:tab w:val="right" w:leader="dot" w:pos="9026"/>
        </w:tabs>
        <w:spacing w:after="40"/>
      </w:pPr>
      <w:r>
        <w:rPr>
          <w:b/>
          <w:bCs/>
        </w:rPr>
        <w:t>3 Vorgehen bei der Umsetzung</w:t>
        <w:tab/>
        <w:t>5</w:t>
      </w:r>
    </w:p>
    <w:p w14:paraId="741BB697" w14:textId="77777777" w:rsidR="00570CD3" w:rsidRDefault="004E0540">
      <w:pPr>
        <w:tabs>
          <w:tab w:val="right" w:leader="dot" w:pos="9026"/>
        </w:tabs>
        <w:spacing w:after="40"/>
        <w:ind w:left="400"/>
      </w:pPr>
      <w:r>
        <w:rPr>
          <w:sz w:val="20"/>
          <w:szCs w:val="20"/>
        </w:rPr>
        <w:t>3.1 Werkzeuge und Konventionen</w:t>
        <w:tab/>
        <w:t>5</w:t>
      </w:r>
    </w:p>
    <w:p w14:paraId="6638B52A" w14:textId="77777777" w:rsidR="00570CD3" w:rsidRDefault="004E0540">
      <w:pPr>
        <w:tabs>
          <w:tab w:val="right" w:leader="dot" w:pos="9026"/>
        </w:tabs>
        <w:spacing w:after="40"/>
        <w:ind w:left="400"/>
      </w:pPr>
      <w:r>
        <w:rPr>
          <w:sz w:val="20"/>
          <w:szCs w:val="20"/>
        </w:rPr>
        <w:t>3.2 Qualitätssicherung</w:t>
        <w:tab/>
        <w:t>6</w:t>
      </w:r>
    </w:p>
    <w:p w14:paraId="288B0545" w14:textId="77777777" w:rsidR="00570CD3" w:rsidRDefault="004E0540">
      <w:pPr>
        <w:tabs>
          <w:tab w:val="right" w:leader="dot" w:pos="9026"/>
        </w:tabs>
        <w:spacing w:after="40"/>
      </w:pPr>
      <w:r>
        <w:rPr>
          <w:b/>
          <w:bCs/>
        </w:rPr>
        <w:t>4 Projektmanagement</w:t>
        <w:tab/>
        <w:t>6</w:t>
      </w:r>
    </w:p>
    <w:p w14:paraId="7855E8F4" w14:textId="77777777" w:rsidR="00570CD3" w:rsidRDefault="004E0540">
      <w:pPr>
        <w:tabs>
          <w:tab w:val="right" w:leader="dot" w:pos="9026"/>
        </w:tabs>
        <w:spacing w:after="40"/>
        <w:ind w:left="400"/>
      </w:pPr>
      <w:r>
        <w:rPr>
          <w:sz w:val="20"/>
          <w:szCs w:val="20"/>
        </w:rPr>
        <w:t>4.1 Vorgehensmodell und Kommunikation</w:t>
        <w:tab/>
        <w:t>6</w:t>
      </w:r>
    </w:p>
    <w:p w14:paraId="12D6BE06" w14:textId="77777777" w:rsidR="00570CD3" w:rsidRDefault="004E0540">
      <w:pPr>
        <w:tabs>
          <w:tab w:val="right" w:leader="dot" w:pos="9026"/>
        </w:tabs>
        <w:spacing w:after="40"/>
        <w:ind w:left="400"/>
      </w:pPr>
      <w:r>
        <w:rPr>
          <w:sz w:val="20"/>
          <w:szCs w:val="20"/>
        </w:rPr>
        <w:t>4.2 Sprintplan und Verlauf</w:t>
        <w:tab/>
        <w:t>7</w:t>
      </w:r>
    </w:p>
    <w:p w14:paraId="53449683" w14:textId="77777777" w:rsidR="00570CD3" w:rsidRDefault="004E0540">
      <w:pPr>
        <w:tabs>
          <w:tab w:val="right" w:leader="dot" w:pos="9026"/>
        </w:tabs>
        <w:spacing w:after="40"/>
        <w:ind w:left="400"/>
      </w:pPr>
      <w:r>
        <w:rPr>
          <w:sz w:val="20"/>
          <w:szCs w:val="20"/>
        </w:rPr>
        <w:t>4.3 Aufgabensteuerung und Repository</w:t>
        <w:tab/>
        <w:t>7</w:t>
      </w:r>
    </w:p>
    <w:p w14:paraId="094F117C" w14:textId="77777777" w:rsidR="00570CD3" w:rsidRDefault="004E0540">
      <w:pPr>
        <w:tabs>
          <w:tab w:val="right" w:leader="dot" w:pos="9026"/>
        </w:tabs>
        <w:spacing w:after="40"/>
        <w:ind w:left="400"/>
      </w:pPr>
      <w:r>
        <w:rPr>
          <w:sz w:val="20"/>
          <w:szCs w:val="20"/>
        </w:rPr>
        <w:t>4.4 Risiken</w:t>
        <w:tab/>
        <w:t>7</w:t>
      </w:r>
    </w:p>
    <w:p w14:paraId="395E791F" w14:textId="77777777" w:rsidR="00570CD3" w:rsidRDefault="004E0540">
      <w:pPr>
        <w:tabs>
          <w:tab w:val="right" w:leader="dot" w:pos="9026"/>
        </w:tabs>
        <w:spacing w:after="40"/>
      </w:pPr>
      <w:r>
        <w:rPr>
          <w:b/>
          <w:bCs/>
        </w:rPr>
        <w:t>5 Überblick über die erstellten Artefakte</w:t>
        <w:tab/>
        <w:t>8</w:t>
      </w:r>
    </w:p>
    <w:p w14:paraId="78596124" w14:textId="77777777" w:rsidR="00570CD3" w:rsidRDefault="004E0540">
      <w:pPr>
        <w:tabs>
          <w:tab w:val="right" w:leader="dot" w:pos="9026"/>
        </w:tabs>
        <w:spacing w:after="40"/>
        <w:ind w:left="400"/>
      </w:pPr>
      <w:r>
        <w:rPr>
          <w:sz w:val="20"/>
          <w:szCs w:val="20"/>
        </w:rPr>
        <w:t>5.1 Geschäftsprozessmodell (BPMN)</w:t>
        <w:tab/>
        <w:t>8</w:t>
      </w:r>
    </w:p>
    <w:p w14:paraId="17F09BD7" w14:textId="77777777" w:rsidR="00570CD3" w:rsidRDefault="004E0540">
      <w:pPr>
        <w:tabs>
          <w:tab w:val="right" w:leader="dot" w:pos="9026"/>
        </w:tabs>
        <w:spacing w:after="40"/>
        <w:ind w:left="400"/>
      </w:pPr>
      <w:r>
        <w:rPr>
          <w:sz w:val="20"/>
          <w:szCs w:val="20"/>
        </w:rPr>
        <w:t>5.2 Automatisierungspotential</w:t>
        <w:tab/>
        <w:t>11</w:t>
      </w:r>
    </w:p>
    <w:p w14:paraId="04974107" w14:textId="77777777" w:rsidR="00570CD3" w:rsidRDefault="004E0540">
      <w:pPr>
        <w:tabs>
          <w:tab w:val="right" w:leader="dot" w:pos="9026"/>
        </w:tabs>
        <w:spacing w:after="40"/>
        <w:ind w:left="400"/>
      </w:pPr>
      <w:r>
        <w:rPr>
          <w:sz w:val="20"/>
          <w:szCs w:val="20"/>
        </w:rPr>
        <w:t>5.3 Use-Case-Diagramm</w:t>
        <w:tab/>
        <w:t>12</w:t>
      </w:r>
    </w:p>
    <w:p w14:paraId="39A66CAE" w14:textId="65F6688A" w:rsidR="00570CD3" w:rsidRDefault="004E0540">
      <w:pPr>
        <w:tabs>
          <w:tab w:val="right" w:leader="dot" w:pos="9026"/>
        </w:tabs>
        <w:spacing w:after="40"/>
        <w:ind w:left="400"/>
      </w:pPr>
      <w:r>
        <w:rPr>
          <w:sz w:val="20"/>
          <w:szCs w:val="20"/>
        </w:rPr>
        <w:t>5.4 Klassendiagramm</w:t>
        <w:tab/>
        <w:t>15</w:t>
      </w:r>
    </w:p>
    <w:p w14:paraId="40A41F76" w14:textId="77777777" w:rsidR="00570CD3" w:rsidRDefault="004E0540">
      <w:pPr>
        <w:tabs>
          <w:tab w:val="right" w:leader="dot" w:pos="9026"/>
        </w:tabs>
        <w:spacing w:after="40"/>
        <w:ind w:left="400"/>
      </w:pPr>
      <w:r>
        <w:rPr>
          <w:sz w:val="20"/>
          <w:szCs w:val="20"/>
        </w:rPr>
        <w:t>5.5 Sequenzdiagramme</w:t>
        <w:tab/>
        <w:t>17</w:t>
      </w:r>
    </w:p>
    <w:p w14:paraId="7357B9F2" w14:textId="77777777" w:rsidR="00570CD3" w:rsidRDefault="004E0540">
      <w:pPr>
        <w:tabs>
          <w:tab w:val="right" w:leader="dot" w:pos="9026"/>
        </w:tabs>
        <w:spacing w:after="40"/>
        <w:ind w:left="400"/>
      </w:pPr>
      <w:r>
        <w:rPr>
          <w:sz w:val="20"/>
          <w:szCs w:val="20"/>
        </w:rPr>
        <w:t>5.6 Konsistenz zwischen den Modellen</w:t>
        <w:tab/>
        <w:t>18</w:t>
      </w:r>
    </w:p>
    <w:p w14:paraId="07856F14" w14:textId="250E95E9" w:rsidR="00570CD3" w:rsidRDefault="004E0540">
      <w:pPr>
        <w:tabs>
          <w:tab w:val="right" w:leader="dot" w:pos="9026"/>
        </w:tabs>
        <w:spacing w:after="40"/>
      </w:pPr>
      <w:r>
        <w:rPr>
          <w:b/>
          <w:bCs/>
        </w:rPr>
        <w:t>6 Probleme und Herausforderungen</w:t>
        <w:tab/>
        <w:t>19</w:t>
      </w:r>
    </w:p>
    <w:p w14:paraId="250316FA" w14:textId="1902E35C" w:rsidR="00570CD3" w:rsidRDefault="004E0540">
      <w:pPr>
        <w:tabs>
          <w:tab w:val="right" w:leader="dot" w:pos="9026"/>
        </w:tabs>
        <w:spacing w:after="40"/>
      </w:pPr>
      <w:r>
        <w:rPr>
          <w:b/>
          <w:bCs/>
        </w:rPr>
        <w:t>7 Feedback</w:t>
        <w:tab/>
        <w:t>20</w:t>
      </w:r>
    </w:p>
    <w:p w14:paraId="02953DF4" w14:textId="11B0F33A" w:rsidR="00570CD3" w:rsidRDefault="004E0540">
      <w:pPr>
        <w:tabs>
          <w:tab w:val="right" w:leader="dot" w:pos="9026"/>
        </w:tabs>
        <w:spacing w:after="40"/>
        <w:ind w:left="400"/>
      </w:pPr>
      <w:r>
        <w:rPr>
          <w:sz w:val="20"/>
          <w:szCs w:val="20"/>
        </w:rPr>
        <w:t>7.1 Feedback des Dozenten und Umsetzung</w:t>
        <w:tab/>
        <w:t>20</w:t>
      </w:r>
    </w:p>
    <w:p w14:paraId="327677E8" w14:textId="77777777" w:rsidR="00570CD3" w:rsidRDefault="004E0540">
      <w:pPr>
        <w:tabs>
          <w:tab w:val="right" w:leader="dot" w:pos="9026"/>
        </w:tabs>
        <w:spacing w:after="40"/>
        <w:ind w:left="400"/>
      </w:pPr>
      <w:r>
        <w:rPr>
          <w:sz w:val="20"/>
          <w:szCs w:val="20"/>
        </w:rPr>
        <w:t>7.2 Unser Feedback zur Fallstudie</w:t>
        <w:tab/>
        <w:t>21</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 xml:space="preserve">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 xml:space="preserve">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 xml:space="preserve">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 xml:space="preserve">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 xml:space="preserve">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 xml:space="preserve">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 xml:space="preserve">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49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 Erst danach erhält der Kunde bei der ersten Disposition den voraussichtlichen Reparaturbeginn, sofern alle Teile beschaffbar sind.</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Quote ist ein ungewichteter Anteil der Aktivitäten im Modell: Wie oft eine Aktivität ausgeführt wird und wie lange sie dauert, fließt nicht ein, und eine tatsächliche Zeitersparnis haben wir nicht gemessen.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RepairFlow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RepairFlow</w:t>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 xml:space="preserve">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 xml:space="preserve">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 xml:space="preserve">Medienprüfung mit Nachreichen; KI-Vorschlag, vorläufiger KVA, Vorreservierung erst nach Bestätigung. Ohne neue Aufnahme,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Fehlteile führen zu UC10; danach Reparaturbeginn nur bei der ersten Disposition und wenn alle Teile beschaffbar sind</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bei nicht lieferbaren Teilen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4005573"/>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4005573"/>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 xml:space="preserve">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 xml:space="preserve">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