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34"/>
          <w:szCs w:val="34"/>
        </w:rPr>
        <w:t xml:space="preserve">RepairFlow – Fallstudie Systemanalyse, WWI25B4 Gruppe 1</w:t>
      </w:r>
    </w:p>
    <w:p>
      <w:pPr>
        <w:pBdr>
          <w:bottom w:val="single" w:color="1F3864" w:sz="6" w:space="4"/>
        </w:pBdr>
        <w:spacing w:after="240"/>
      </w:pPr>
      <w:r>
        <w:rPr>
          <w:rFonts w:ascii="Calibri" w:cs="Calibri" w:eastAsia="Calibri" w:hAnsi="Calibri"/>
          <w:color w:val="595959"/>
          <w:sz w:val="24"/>
          <w:szCs w:val="24"/>
        </w:rPr>
        <w:t xml:space="preserve">Was die Gruppe noch tun MUSS – Stand 05.10.2026 (nach dem Komplettcheck, E-17)</w:t>
      </w:r>
    </w:p>
    <w:p>
      <w:pPr>
        <w:spacing w:after="120" w:line="276"/>
      </w:pPr>
      <w:r>
        <w:rPr>
          <w:rFonts w:ascii="Calibri" w:cs="Calibri" w:eastAsia="Calibri" w:hAnsi="Calibri"/>
          <w:sz w:val="22"/>
          <w:szCs w:val="22"/>
        </w:rPr>
        <w:t xml:space="preserve">Dieses Blatt ist die Aufgabenliste für die Gruppentermine am 15.10. und 22.10. und für die Abgabe am 13.11.2026, 23:59 Uhr (Präsentation: 27.10.2026, 09:00 Uhr, Raum B458). Alles, was sich mit Skripten erledigen ließ, ist bereits erledigt (Abschnitt 3). Übrig sind die Punkte, die Zugänge, Werkzeuge auf euren Rechnern oder eure eigenen Inhalte brauchen.</w:t>
      </w:r>
    </w:p>
    <w:p>
      <w:pPr>
        <w:pStyle w:val="Heading1"/>
        <w:spacing w:after="140" w:before="320"/>
      </w:pPr>
      <w:r>
        <w:rPr>
          <w:rFonts w:ascii="Calibri" w:cs="Calibri" w:eastAsia="Calibri" w:hAnsi="Calibri"/>
          <w:b/>
          <w:bCs/>
          <w:color w:val="1F3864"/>
          <w:sz w:val="30"/>
          <w:szCs w:val="30"/>
        </w:rPr>
        <w:t xml:space="preserve">1 Pflichtaufgaben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1500"/>
        <w:gridCol w:w="1300"/>
        <w:gridCol w:w="2660"/>
      </w:tblGrid>
      <w:tr>
        <w:trPr>
          <w:tblHeader/>
        </w:trPr>
        <w:tc>
          <w:tcPr>
            <w:tcW w:type="dxa" w:w="600"/>
            <w:shd w:fill="1F3864" w:color="auto" w:val="clear"/>
            <w:tcMar>
              <w:top w:type="dxa" w:w="60"/>
              <w:left w:type="dxa" w:w="90"/>
              <w:bottom w:type="dxa" w:w="60"/>
              <w:right w:type="dxa" w:w="90"/>
            </w:tcMar>
          </w:tcPr>
          <w:p>
            <w:pPr>
              <w:spacing w:after="0"/>
            </w:pPr>
            <w:r>
              <w:rPr>
                <w:rFonts w:ascii="Calibri" w:cs="Calibri" w:eastAsia="Calibri" w:hAnsi="Calibri"/>
                <w:b/>
                <w:bCs/>
                <w:color w:val="FFFFFF"/>
                <w:sz w:val="22"/>
                <w:szCs w:val="22"/>
              </w:rPr>
              <w:t xml:space="preserve">#</w:t>
            </w:r>
          </w:p>
        </w:tc>
        <w:tc>
          <w:tcPr>
            <w:tcW w:type="dxa" w:w="3300"/>
            <w:shd w:fill="1F3864" w:color="auto" w:val="clear"/>
            <w:tcMar>
              <w:top w:type="dxa" w:w="60"/>
              <w:left w:type="dxa" w:w="90"/>
              <w:bottom w:type="dxa" w:w="60"/>
              <w:right w:type="dxa" w:w="90"/>
            </w:tcMar>
          </w:tcPr>
          <w:p>
            <w:pPr>
              <w:spacing w:after="0"/>
            </w:pPr>
            <w:r>
              <w:rPr>
                <w:rFonts w:ascii="Calibri" w:cs="Calibri" w:eastAsia="Calibri" w:hAnsi="Calibri"/>
                <w:b/>
                <w:bCs/>
                <w:color w:val="FFFFFF"/>
                <w:sz w:val="22"/>
                <w:szCs w:val="22"/>
              </w:rPr>
              <w:t xml:space="preserve">Aufgabe</w:t>
            </w:r>
          </w:p>
        </w:tc>
        <w:tc>
          <w:tcPr>
            <w:tcW w:type="dxa" w:w="1500"/>
            <w:shd w:fill="1F3864" w:color="auto" w:val="clear"/>
            <w:tcMar>
              <w:top w:type="dxa" w:w="60"/>
              <w:left w:type="dxa" w:w="90"/>
              <w:bottom w:type="dxa" w:w="60"/>
              <w:right w:type="dxa" w:w="90"/>
            </w:tcMar>
          </w:tcPr>
          <w:p>
            <w:pPr>
              <w:spacing w:after="0"/>
            </w:pPr>
            <w:r>
              <w:rPr>
                <w:rFonts w:ascii="Calibri" w:cs="Calibri" w:eastAsia="Calibri" w:hAnsi="Calibri"/>
                <w:b/>
                <w:bCs/>
                <w:color w:val="FFFFFF"/>
                <w:sz w:val="22"/>
                <w:szCs w:val="22"/>
              </w:rPr>
              <w:t xml:space="preserve">Wer</w:t>
            </w:r>
          </w:p>
        </w:tc>
        <w:tc>
          <w:tcPr>
            <w:tcW w:type="dxa" w:w="1300"/>
            <w:shd w:fill="1F3864" w:color="auto" w:val="clear"/>
            <w:tcMar>
              <w:top w:type="dxa" w:w="60"/>
              <w:left w:type="dxa" w:w="90"/>
              <w:bottom w:type="dxa" w:w="60"/>
              <w:right w:type="dxa" w:w="90"/>
            </w:tcMar>
          </w:tcPr>
          <w:p>
            <w:pPr>
              <w:spacing w:after="0"/>
            </w:pPr>
            <w:r>
              <w:rPr>
                <w:rFonts w:ascii="Calibri" w:cs="Calibri" w:eastAsia="Calibri" w:hAnsi="Calibri"/>
                <w:b/>
                <w:bCs/>
                <w:color w:val="FFFFFF"/>
                <w:sz w:val="22"/>
                <w:szCs w:val="22"/>
              </w:rPr>
              <w:t xml:space="preserve">Bis</w:t>
            </w:r>
          </w:p>
        </w:tc>
        <w:tc>
          <w:tcPr>
            <w:tcW w:type="dxa" w:w="2660"/>
            <w:shd w:fill="1F3864" w:color="auto" w:val="clear"/>
            <w:tcMar>
              <w:top w:type="dxa" w:w="60"/>
              <w:left w:type="dxa" w:w="90"/>
              <w:bottom w:type="dxa" w:w="60"/>
              <w:right w:type="dxa" w:w="90"/>
            </w:tcMar>
          </w:tcPr>
          <w:p>
            <w:pPr>
              <w:spacing w:after="0"/>
            </w:pPr>
            <w:r>
              <w:rPr>
                <w:rFonts w:ascii="Calibri" w:cs="Calibri" w:eastAsia="Calibri" w:hAnsi="Calibri"/>
                <w:b/>
                <w:bCs/>
                <w:color w:val="FFFFFF"/>
                <w:sz w:val="22"/>
                <w:szCs w:val="22"/>
              </w:rPr>
              <w:t xml:space="preserve">Hinweis</w:t>
            </w:r>
          </w:p>
        </w:tc>
      </w:tr>
      <w:tr>
        <w:tc>
          <w:tcPr>
            <w:tcW w:type="dxa" w:w="600"/>
            <w:tcMar>
              <w:top w:type="dxa" w:w="60"/>
              <w:left w:type="dxa" w:w="90"/>
              <w:bottom w:type="dxa" w:w="60"/>
              <w:right w:type="dxa" w:w="90"/>
            </w:tcMar>
          </w:tcPr>
          <w:p>
            <w:pPr>
              <w:spacing w:after="0"/>
            </w:pPr>
            <w:r>
              <w:rPr>
                <w:rFonts w:ascii="Calibri" w:cs="Calibri" w:eastAsia="Calibri" w:hAnsi="Calibri"/>
                <w:sz w:val="22"/>
                <w:szCs w:val="22"/>
              </w:rPr>
              <w:t xml:space="preserve">1</w:t>
            </w:r>
          </w:p>
        </w:tc>
        <w:tc>
          <w:tcPr>
            <w:tcW w:type="dxa" w:w="3300"/>
            <w:tcMar>
              <w:top w:type="dxa" w:w="60"/>
              <w:left w:type="dxa" w:w="90"/>
              <w:bottom w:type="dxa" w:w="60"/>
              <w:right w:type="dxa" w:w="90"/>
            </w:tcMar>
          </w:tcPr>
          <w:p>
            <w:pPr>
              <w:spacing w:after="0"/>
            </w:pPr>
            <w:r>
              <w:rPr>
                <w:rFonts w:ascii="Calibri" w:cs="Calibri" w:eastAsia="Calibri" w:hAnsi="Calibri"/>
                <w:b/>
                <w:bCs/>
                <w:sz w:val="22"/>
                <w:szCs w:val="22"/>
              </w:rPr>
              <w:t xml:space="preserve">Aktuellen Stand holen</w:t>
            </w:r>
            <w:r>
              <w:rPr>
                <w:rFonts w:ascii="Calibri" w:cs="Calibri" w:eastAsia="Calibri" w:hAnsi="Calibri"/>
                <w:sz w:val="22"/>
                <w:szCs w:val="22"/>
              </w:rPr>
              <w:t xml:space="preserve"> – E-16 und E-17 sind seit 05.10. auf main (Commit 0d89be8). Jede Person holt den Stand mit git pull (Abschnitt 2), bevor sie weiterarbeitet. Wer das XMI schon in Visual Paradigm importiert hatte, importiert neu.</w:t>
            </w:r>
          </w:p>
        </w:tc>
        <w:tc>
          <w:tcPr>
            <w:tcW w:type="dxa" w:w="1500"/>
            <w:tcMar>
              <w:top w:type="dxa" w:w="60"/>
              <w:left w:type="dxa" w:w="90"/>
              <w:bottom w:type="dxa" w:w="60"/>
              <w:right w:type="dxa" w:w="90"/>
            </w:tcMar>
          </w:tcPr>
          <w:p>
            <w:pPr>
              <w:spacing w:after="0"/>
            </w:pPr>
            <w:r>
              <w:rPr>
                <w:rFonts w:ascii="Calibri" w:cs="Calibri" w:eastAsia="Calibri" w:hAnsi="Calibri"/>
                <w:sz w:val="22"/>
                <w:szCs w:val="22"/>
              </w:rPr>
              <w:t xml:space="preserve">alle</w:t>
            </w:r>
          </w:p>
        </w:tc>
        <w:tc>
          <w:tcPr>
            <w:tcW w:type="dxa" w:w="1300"/>
            <w:tcMar>
              <w:top w:type="dxa" w:w="60"/>
              <w:left w:type="dxa" w:w="90"/>
              <w:bottom w:type="dxa" w:w="60"/>
              <w:right w:type="dxa" w:w="90"/>
            </w:tcMar>
          </w:tcPr>
          <w:p>
            <w:pPr>
              <w:spacing w:after="0"/>
            </w:pPr>
            <w:r>
              <w:rPr>
                <w:rFonts w:ascii="Calibri" w:cs="Calibri" w:eastAsia="Calibri" w:hAnsi="Calibri"/>
                <w:sz w:val="22"/>
                <w:szCs w:val="22"/>
              </w:rPr>
              <w:t xml:space="preserve">sofort</w:t>
            </w:r>
          </w:p>
        </w:tc>
        <w:tc>
          <w:tcPr>
            <w:tcW w:type="dxa" w:w="2660"/>
            <w:tcMar>
              <w:top w:type="dxa" w:w="60"/>
              <w:left w:type="dxa" w:w="90"/>
              <w:bottom w:type="dxa" w:w="60"/>
              <w:right w:type="dxa" w:w="90"/>
            </w:tcMar>
          </w:tcPr>
          <w:p>
            <w:pPr>
              <w:spacing w:after="0"/>
            </w:pPr>
            <w:r>
              <w:rPr>
                <w:rFonts w:ascii="Calibri" w:cs="Calibri" w:eastAsia="Calibri" w:hAnsi="Calibri"/>
                <w:sz w:val="22"/>
                <w:szCs w:val="22"/>
              </w:rPr>
              <w:t xml:space="preserve">Befehle siehe Abschnitt 2</w:t>
            </w:r>
          </w:p>
        </w:tc>
      </w:tr>
      <w:tr>
        <w:tc>
          <w:tcPr>
            <w:tcW w:type="dxa" w:w="6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2</w:t>
            </w:r>
          </w:p>
        </w:tc>
        <w:tc>
          <w:tcPr>
            <w:tcW w:type="dxa" w:w="3300"/>
            <w:shd w:fill="F7F9FC" w:color="auto" w:val="clear"/>
            <w:tcMar>
              <w:top w:type="dxa" w:w="60"/>
              <w:left w:type="dxa" w:w="90"/>
              <w:bottom w:type="dxa" w:w="60"/>
              <w:right w:type="dxa" w:w="90"/>
            </w:tcMar>
          </w:tcPr>
          <w:p>
            <w:pPr>
              <w:spacing w:after="0"/>
            </w:pPr>
            <w:r>
              <w:rPr>
                <w:rFonts w:ascii="Calibri" w:cs="Calibri" w:eastAsia="Calibri" w:hAnsi="Calibri"/>
                <w:b/>
                <w:bCs/>
                <w:sz w:val="22"/>
                <w:szCs w:val="22"/>
              </w:rPr>
              <w:t xml:space="preserve">Korrekturen bestätigen (E-15, E-16, E-17)</w:t>
            </w:r>
            <w:r>
              <w:rPr>
                <w:rFonts w:ascii="Calibri" w:cs="Calibri" w:eastAsia="Calibri" w:hAnsi="Calibri"/>
                <w:sz w:val="22"/>
                <w:szCs w:val="22"/>
              </w:rPr>
              <w:t xml:space="preserve"> – Adrian als Product Owner und die Gruppe nehmen die Änderungen ab oder kippen sie. Insbesondere: alle Rückgaben über Prozess 08, Lagergebühr nach der dritten Abhol-Erinnerung, Mahnung nach 14 Tagen, Akteur Servicemitarbeiter, UC19 Retoure.</w:t>
            </w:r>
          </w:p>
        </w:tc>
        <w:tc>
          <w:tcPr>
            <w:tcW w:type="dxa" w:w="15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alle, Abnahme Adrian</w:t>
            </w:r>
          </w:p>
        </w:tc>
        <w:tc>
          <w:tcPr>
            <w:tcW w:type="dxa" w:w="13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15.10.</w:t>
            </w:r>
          </w:p>
        </w:tc>
        <w:tc>
          <w:tcPr>
            <w:tcW w:type="dxa" w:w="266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Entscheidungslog E-07 schließen; Beschluss in doku/03-entscheidungen.md eintragen</w:t>
            </w:r>
          </w:p>
        </w:tc>
      </w:tr>
      <w:tr>
        <w:tc>
          <w:tcPr>
            <w:tcW w:type="dxa" w:w="600"/>
            <w:tcMar>
              <w:top w:type="dxa" w:w="60"/>
              <w:left w:type="dxa" w:w="90"/>
              <w:bottom w:type="dxa" w:w="60"/>
              <w:right w:type="dxa" w:w="90"/>
            </w:tcMar>
          </w:tcPr>
          <w:p>
            <w:pPr>
              <w:spacing w:after="0"/>
            </w:pPr>
            <w:r>
              <w:rPr>
                <w:rFonts w:ascii="Calibri" w:cs="Calibri" w:eastAsia="Calibri" w:hAnsi="Calibri"/>
                <w:sz w:val="22"/>
                <w:szCs w:val="22"/>
              </w:rPr>
              <w:t xml:space="preserve">3</w:t>
            </w:r>
          </w:p>
        </w:tc>
        <w:tc>
          <w:tcPr>
            <w:tcW w:type="dxa" w:w="3300"/>
            <w:tcMar>
              <w:top w:type="dxa" w:w="60"/>
              <w:left w:type="dxa" w:w="90"/>
              <w:bottom w:type="dxa" w:w="60"/>
              <w:right w:type="dxa" w:w="90"/>
            </w:tcMar>
          </w:tcPr>
          <w:p>
            <w:pPr>
              <w:spacing w:after="0"/>
            </w:pPr>
            <w:r>
              <w:rPr>
                <w:rFonts w:ascii="Calibri" w:cs="Calibri" w:eastAsia="Calibri" w:hAnsi="Calibri"/>
                <w:b/>
                <w:bCs/>
                <w:sz w:val="22"/>
                <w:szCs w:val="22"/>
              </w:rPr>
              <w:t xml:space="preserve">UML-WWI25B4-Gruppe1.vpp erzeugen</w:t>
            </w:r>
            <w:r>
              <w:rPr>
                <w:rFonts w:ascii="Calibri" w:cs="Calibri" w:eastAsia="Calibri" w:hAnsi="Calibri"/>
                <w:sz w:val="22"/>
                <w:szCs w:val="22"/>
              </w:rPr>
              <w:t xml:space="preserve"> – Pflichtabgabe, existiert noch nicht. uml/modell.xmi in Visual Paradigm importieren, Klassen- und Use-Case-Diagramm aufziehen, die sechs Sequenzdiagramme als Unterdiagramme der Use Cases anlegen, Commit auf den VP-Teamwork-Server (Lehre-VPN), lokale Kopie als .vpp sichern und in uml/ einchecken.</w:t>
            </w:r>
          </w:p>
        </w:tc>
        <w:tc>
          <w:tcPr>
            <w:tcW w:type="dxa" w:w="1500"/>
            <w:tcMar>
              <w:top w:type="dxa" w:w="60"/>
              <w:left w:type="dxa" w:w="90"/>
              <w:bottom w:type="dxa" w:w="60"/>
              <w:right w:type="dxa" w:w="90"/>
            </w:tcMar>
          </w:tcPr>
          <w:p>
            <w:pPr>
              <w:spacing w:after="0"/>
            </w:pPr>
            <w:r>
              <w:rPr>
                <w:rFonts w:ascii="Calibri" w:cs="Calibri" w:eastAsia="Calibri" w:hAnsi="Calibri"/>
                <w:sz w:val="22"/>
                <w:szCs w:val="22"/>
              </w:rPr>
              <w:t xml:space="preserve">Kilian</w:t>
            </w:r>
          </w:p>
        </w:tc>
        <w:tc>
          <w:tcPr>
            <w:tcW w:type="dxa" w:w="1300"/>
            <w:tcMar>
              <w:top w:type="dxa" w:w="60"/>
              <w:left w:type="dxa" w:w="90"/>
              <w:bottom w:type="dxa" w:w="60"/>
              <w:right w:type="dxa" w:w="90"/>
            </w:tcMar>
          </w:tcPr>
          <w:p>
            <w:pPr>
              <w:spacing w:after="0"/>
            </w:pPr>
            <w:r>
              <w:rPr>
                <w:rFonts w:ascii="Calibri" w:cs="Calibri" w:eastAsia="Calibri" w:hAnsi="Calibri"/>
                <w:sz w:val="22"/>
                <w:szCs w:val="22"/>
              </w:rPr>
              <w:t xml:space="preserve">15.10.</w:t>
            </w:r>
          </w:p>
        </w:tc>
        <w:tc>
          <w:tcPr>
            <w:tcW w:type="dxa" w:w="2660"/>
            <w:tcMar>
              <w:top w:type="dxa" w:w="60"/>
              <w:left w:type="dxa" w:w="90"/>
              <w:bottom w:type="dxa" w:w="60"/>
              <w:right w:type="dxa" w:w="90"/>
            </w:tcMar>
          </w:tcPr>
          <w:p>
            <w:pPr>
              <w:spacing w:after="0"/>
            </w:pPr>
            <w:r>
              <w:rPr>
                <w:rFonts w:ascii="Calibri" w:cs="Calibri" w:eastAsia="Calibri" w:hAnsi="Calibri"/>
                <w:sz w:val="22"/>
                <w:szCs w:val="22"/>
              </w:rPr>
              <w:t xml:space="preserve">Anleitung: uml/README.md; Lebenslinien mit Klassen verknüpfen, dann bietet VP die Operationen an</w:t>
            </w:r>
          </w:p>
        </w:tc>
      </w:tr>
      <w:tr>
        <w:tc>
          <w:tcPr>
            <w:tcW w:type="dxa" w:w="6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4</w:t>
            </w:r>
          </w:p>
        </w:tc>
        <w:tc>
          <w:tcPr>
            <w:tcW w:type="dxa" w:w="3300"/>
            <w:shd w:fill="F7F9FC" w:color="auto" w:val="clear"/>
            <w:tcMar>
              <w:top w:type="dxa" w:w="60"/>
              <w:left w:type="dxa" w:w="90"/>
              <w:bottom w:type="dxa" w:w="60"/>
              <w:right w:type="dxa" w:w="90"/>
            </w:tcMar>
          </w:tcPr>
          <w:p>
            <w:pPr>
              <w:spacing w:after="0"/>
            </w:pPr>
            <w:r>
              <w:rPr>
                <w:rFonts w:ascii="Calibri" w:cs="Calibri" w:eastAsia="Calibri" w:hAnsi="Calibri"/>
                <w:b/>
                <w:bCs/>
                <w:sz w:val="22"/>
                <w:szCs w:val="22"/>
              </w:rPr>
              <w:t xml:space="preserve">BPMN im Camunda Modeler speichern und in die Camunda Cloud laden</w:t>
            </w:r>
            <w:r>
              <w:rPr>
                <w:rFonts w:ascii="Calibri" w:cs="Calibri" w:eastAsia="Calibri" w:hAnsi="Calibri"/>
                <w:sz w:val="22"/>
                <w:szCs w:val="22"/>
              </w:rPr>
              <w:t xml:space="preserve"> – alle zehn Dateien tragen noch den Exporter unseres Generators. Jede Datei öffnen (Camunda 8), Problems-Panel prüfen, einmal speichern, in die vorbereiteten Unterordner der Camunda Cloud hochladen (Namen 01-Sofortdiagnose … 10-Retoure). Danach python3 tools/pack_bpmn.py ausführen und das ZIP einchecken.</w:t>
            </w:r>
          </w:p>
        </w:tc>
        <w:tc>
          <w:tcPr>
            <w:tcW w:type="dxa" w:w="15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Maxi</w:t>
            </w:r>
          </w:p>
        </w:tc>
        <w:tc>
          <w:tcPr>
            <w:tcW w:type="dxa" w:w="13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15.10.</w:t>
            </w:r>
          </w:p>
        </w:tc>
        <w:tc>
          <w:tcPr>
            <w:tcW w:type="dxa" w:w="266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Pflicht laut Ablauf („Camunda Cloud als Artefakt-Repository")</w:t>
            </w:r>
          </w:p>
        </w:tc>
      </w:tr>
      <w:tr>
        <w:tc>
          <w:tcPr>
            <w:tcW w:type="dxa" w:w="600"/>
            <w:tcMar>
              <w:top w:type="dxa" w:w="60"/>
              <w:left w:type="dxa" w:w="90"/>
              <w:bottom w:type="dxa" w:w="60"/>
              <w:right w:type="dxa" w:w="90"/>
            </w:tcMar>
          </w:tcPr>
          <w:p>
            <w:pPr>
              <w:spacing w:after="0"/>
            </w:pPr>
            <w:r>
              <w:rPr>
                <w:rFonts w:ascii="Calibri" w:cs="Calibri" w:eastAsia="Calibri" w:hAnsi="Calibri"/>
                <w:sz w:val="22"/>
                <w:szCs w:val="22"/>
              </w:rPr>
              <w:t xml:space="preserve">5</w:t>
            </w:r>
          </w:p>
        </w:tc>
        <w:tc>
          <w:tcPr>
            <w:tcW w:type="dxa" w:w="3300"/>
            <w:tcMar>
              <w:top w:type="dxa" w:w="60"/>
              <w:left w:type="dxa" w:w="90"/>
              <w:bottom w:type="dxa" w:w="60"/>
              <w:right w:type="dxa" w:w="90"/>
            </w:tcMar>
          </w:tcPr>
          <w:p>
            <w:pPr>
              <w:spacing w:after="0"/>
            </w:pPr>
            <w:r>
              <w:rPr>
                <w:rFonts w:ascii="Calibri" w:cs="Calibri" w:eastAsia="Calibri" w:hAnsi="Calibri"/>
                <w:b/>
                <w:bCs/>
                <w:sz w:val="22"/>
                <w:szCs w:val="22"/>
              </w:rPr>
              <w:t xml:space="preserve">Platzhalter in der Doku füllen</w:t>
            </w:r>
            <w:r>
              <w:rPr>
                <w:rFonts w:ascii="Calibri" w:cs="Calibri" w:eastAsia="Calibri" w:hAnsi="Calibri"/>
                <w:sz w:val="22"/>
                <w:szCs w:val="22"/>
              </w:rPr>
              <w:t xml:space="preserve"> – gelb markierte Stellen „[Gruppe: …]": Kapitel 1 Beiträge je Person (Pflicht laut Ablauf: wer hat was erarbeitet) und KI-Nutzungserklärung, 3.3 Review-Ergebnisse, 4.1 Kommunikationskanal, 4.3 Trello-Screenshot und Sprint-Ergebnisse, 6 Herausforderungen in der Gruppenarbeit, 7.1 weitere Dozentenrückmeldungen, 7.2 Fazit.</w:t>
            </w:r>
          </w:p>
        </w:tc>
        <w:tc>
          <w:tcPr>
            <w:tcW w:type="dxa" w:w="1500"/>
            <w:tcMar>
              <w:top w:type="dxa" w:w="60"/>
              <w:left w:type="dxa" w:w="90"/>
              <w:bottom w:type="dxa" w:w="60"/>
              <w:right w:type="dxa" w:w="90"/>
            </w:tcMar>
          </w:tcPr>
          <w:p>
            <w:pPr>
              <w:spacing w:after="0"/>
            </w:pPr>
            <w:r>
              <w:rPr>
                <w:rFonts w:ascii="Calibri" w:cs="Calibri" w:eastAsia="Calibri" w:hAnsi="Calibri"/>
                <w:sz w:val="22"/>
                <w:szCs w:val="22"/>
              </w:rPr>
              <w:t xml:space="preserve">Nina (Text), alle (Zulieferung)</w:t>
            </w:r>
          </w:p>
        </w:tc>
        <w:tc>
          <w:tcPr>
            <w:tcW w:type="dxa" w:w="1300"/>
            <w:tcMar>
              <w:top w:type="dxa" w:w="60"/>
              <w:left w:type="dxa" w:w="90"/>
              <w:bottom w:type="dxa" w:w="60"/>
              <w:right w:type="dxa" w:w="90"/>
            </w:tcMar>
          </w:tcPr>
          <w:p>
            <w:pPr>
              <w:spacing w:after="0"/>
            </w:pPr>
            <w:r>
              <w:rPr>
                <w:rFonts w:ascii="Calibri" w:cs="Calibri" w:eastAsia="Calibri" w:hAnsi="Calibri"/>
                <w:sz w:val="22"/>
                <w:szCs w:val="22"/>
              </w:rPr>
              <w:t xml:space="preserve">22.10.</w:t>
            </w:r>
          </w:p>
        </w:tc>
        <w:tc>
          <w:tcPr>
            <w:tcW w:type="dxa" w:w="2660"/>
            <w:tcMar>
              <w:top w:type="dxa" w:w="60"/>
              <w:left w:type="dxa" w:w="90"/>
              <w:bottom w:type="dxa" w:w="60"/>
              <w:right w:type="dxa" w:w="90"/>
            </w:tcMar>
          </w:tcPr>
          <w:p>
            <w:pPr>
              <w:spacing w:after="0"/>
            </w:pPr>
            <w:r>
              <w:rPr>
                <w:rFonts w:ascii="Calibri" w:cs="Calibri" w:eastAsia="Calibri" w:hAnsi="Calibri"/>
                <w:sz w:val="22"/>
                <w:szCs w:val="22"/>
              </w:rPr>
              <w:t xml:space="preserve">Text an Kilian/Claude geben, wird in tools/doc.js eingebaut; PDF neu erzeugen</w:t>
            </w:r>
          </w:p>
        </w:tc>
      </w:tr>
      <w:tr>
        <w:tc>
          <w:tcPr>
            <w:tcW w:type="dxa" w:w="6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6</w:t>
            </w:r>
          </w:p>
        </w:tc>
        <w:tc>
          <w:tcPr>
            <w:tcW w:type="dxa" w:w="3300"/>
            <w:shd w:fill="F7F9FC" w:color="auto" w:val="clear"/>
            <w:tcMar>
              <w:top w:type="dxa" w:w="60"/>
              <w:left w:type="dxa" w:w="90"/>
              <w:bottom w:type="dxa" w:w="60"/>
              <w:right w:type="dxa" w:w="90"/>
            </w:tcMar>
          </w:tcPr>
          <w:p>
            <w:pPr>
              <w:spacing w:after="0"/>
            </w:pPr>
            <w:r>
              <w:rPr>
                <w:rFonts w:ascii="Calibri" w:cs="Calibri" w:eastAsia="Calibri" w:hAnsi="Calibri"/>
                <w:b/>
                <w:bCs/>
                <w:sz w:val="22"/>
                <w:szCs w:val="22"/>
              </w:rPr>
              <w:t xml:space="preserve">Trello-Board anlegen und Screenshot liefern</w:t>
            </w:r>
            <w:r>
              <w:rPr>
                <w:rFonts w:ascii="Calibri" w:cs="Calibri" w:eastAsia="Calibri" w:hAnsi="Calibri"/>
                <w:sz w:val="22"/>
                <w:szCs w:val="22"/>
              </w:rPr>
              <w:t xml:space="preserve"> – Board „RepairFlow – Fallstudie SYAN WWI25B4 G1" mit einer Liste je Termin; Screenshot vom Stand 15.10. für Doku 4.3 und Folie 16.</w:t>
            </w:r>
          </w:p>
        </w:tc>
        <w:tc>
          <w:tcPr>
            <w:tcW w:type="dxa" w:w="15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Kilian / Jakob</w:t>
            </w:r>
          </w:p>
        </w:tc>
        <w:tc>
          <w:tcPr>
            <w:tcW w:type="dxa" w:w="13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15.10.</w:t>
            </w:r>
          </w:p>
        </w:tc>
        <w:tc>
          <w:tcPr>
            <w:tcW w:type="dxa" w:w="266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Karten-Vorlagen: Trello-Karten-CopyPaste.md im Claude-Projekt (Kilian)</w:t>
            </w:r>
          </w:p>
        </w:tc>
      </w:tr>
      <w:tr>
        <w:tc>
          <w:tcPr>
            <w:tcW w:type="dxa" w:w="600"/>
            <w:tcMar>
              <w:top w:type="dxa" w:w="60"/>
              <w:left w:type="dxa" w:w="90"/>
              <w:bottom w:type="dxa" w:w="60"/>
              <w:right w:type="dxa" w:w="90"/>
            </w:tcMar>
          </w:tcPr>
          <w:p>
            <w:pPr>
              <w:spacing w:after="0"/>
            </w:pPr>
            <w:r>
              <w:rPr>
                <w:rFonts w:ascii="Calibri" w:cs="Calibri" w:eastAsia="Calibri" w:hAnsi="Calibri"/>
                <w:sz w:val="22"/>
                <w:szCs w:val="22"/>
              </w:rPr>
              <w:t xml:space="preserve">7</w:t>
            </w:r>
          </w:p>
        </w:tc>
        <w:tc>
          <w:tcPr>
            <w:tcW w:type="dxa" w:w="3300"/>
            <w:tcMar>
              <w:top w:type="dxa" w:w="60"/>
              <w:left w:type="dxa" w:w="90"/>
              <w:bottom w:type="dxa" w:w="60"/>
              <w:right w:type="dxa" w:w="90"/>
            </w:tcMar>
          </w:tcPr>
          <w:p>
            <w:pPr>
              <w:spacing w:after="0"/>
            </w:pPr>
            <w:r>
              <w:rPr>
                <w:rFonts w:ascii="Calibri" w:cs="Calibri" w:eastAsia="Calibri" w:hAnsi="Calibri"/>
                <w:b/>
                <w:bCs/>
                <w:sz w:val="22"/>
                <w:szCs w:val="22"/>
              </w:rPr>
              <w:t xml:space="preserve">QA-Checkliste bestätigen</w:t>
            </w:r>
            <w:r>
              <w:rPr>
                <w:rFonts w:ascii="Calibri" w:cs="Calibri" w:eastAsia="Calibri" w:hAnsi="Calibri"/>
                <w:sz w:val="22"/>
                <w:szCs w:val="22"/>
              </w:rPr>
              <w:t xml:space="preserve"> – doku/qa-checkliste.md ist ein Entwurf; Jakob prüft, ergänzt und nutzt sie für die Abnahme jedes Artefakts. Dann ist die „QA-Checkliste", die Doku 3.3 und 4.3 erwähnen, tatsächlich vorhanden.</w:t>
            </w:r>
          </w:p>
        </w:tc>
        <w:tc>
          <w:tcPr>
            <w:tcW w:type="dxa" w:w="1500"/>
            <w:tcMar>
              <w:top w:type="dxa" w:w="60"/>
              <w:left w:type="dxa" w:w="90"/>
              <w:bottom w:type="dxa" w:w="60"/>
              <w:right w:type="dxa" w:w="90"/>
            </w:tcMar>
          </w:tcPr>
          <w:p>
            <w:pPr>
              <w:spacing w:after="0"/>
            </w:pPr>
            <w:r>
              <w:rPr>
                <w:rFonts w:ascii="Calibri" w:cs="Calibri" w:eastAsia="Calibri" w:hAnsi="Calibri"/>
                <w:sz w:val="22"/>
                <w:szCs w:val="22"/>
              </w:rPr>
              <w:t xml:space="preserve">Jakob</w:t>
            </w:r>
          </w:p>
        </w:tc>
        <w:tc>
          <w:tcPr>
            <w:tcW w:type="dxa" w:w="1300"/>
            <w:tcMar>
              <w:top w:type="dxa" w:w="60"/>
              <w:left w:type="dxa" w:w="90"/>
              <w:bottom w:type="dxa" w:w="60"/>
              <w:right w:type="dxa" w:w="90"/>
            </w:tcMar>
          </w:tcPr>
          <w:p>
            <w:pPr>
              <w:spacing w:after="0"/>
            </w:pPr>
            <w:r>
              <w:rPr>
                <w:rFonts w:ascii="Calibri" w:cs="Calibri" w:eastAsia="Calibri" w:hAnsi="Calibri"/>
                <w:sz w:val="22"/>
                <w:szCs w:val="22"/>
              </w:rPr>
              <w:t xml:space="preserve">15.10.</w:t>
            </w:r>
          </w:p>
        </w:tc>
        <w:tc>
          <w:tcPr>
            <w:tcW w:type="dxa" w:w="2660"/>
            <w:tcMar>
              <w:top w:type="dxa" w:w="60"/>
              <w:left w:type="dxa" w:w="90"/>
              <w:bottom w:type="dxa" w:w="60"/>
              <w:right w:type="dxa" w:w="90"/>
            </w:tcMar>
          </w:tcPr>
          <w:p>
            <w:pPr>
              <w:spacing w:after="0"/>
            </w:pPr>
            <w:r>
              <w:rPr>
                <w:rFonts w:ascii="Calibri" w:cs="Calibri" w:eastAsia="Calibri" w:hAnsi="Calibri"/>
                <w:sz w:val="22"/>
                <w:szCs w:val="22"/>
              </w:rPr>
              <w:t xml:space="preserve"/>
            </w:r>
          </w:p>
        </w:tc>
      </w:tr>
      <w:tr>
        <w:tc>
          <w:tcPr>
            <w:tcW w:type="dxa" w:w="6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8</w:t>
            </w:r>
          </w:p>
        </w:tc>
        <w:tc>
          <w:tcPr>
            <w:tcW w:type="dxa" w:w="3300"/>
            <w:shd w:fill="F7F9FC" w:color="auto" w:val="clear"/>
            <w:tcMar>
              <w:top w:type="dxa" w:w="60"/>
              <w:left w:type="dxa" w:w="90"/>
              <w:bottom w:type="dxa" w:w="60"/>
              <w:right w:type="dxa" w:w="90"/>
            </w:tcMar>
          </w:tcPr>
          <w:p>
            <w:pPr>
              <w:spacing w:after="0"/>
            </w:pPr>
            <w:r>
              <w:rPr>
                <w:rFonts w:ascii="Calibri" w:cs="Calibri" w:eastAsia="Calibri" w:hAnsi="Calibri"/>
                <w:b/>
                <w:bCs/>
                <w:sz w:val="22"/>
                <w:szCs w:val="22"/>
              </w:rPr>
              <w:t xml:space="preserve">Präsentation fertigstellen</w:t>
            </w:r>
            <w:r>
              <w:rPr>
                <w:rFonts w:ascii="Calibri" w:cs="Calibri" w:eastAsia="Calibri" w:hAnsi="Calibri"/>
                <w:sz w:val="22"/>
                <w:szCs w:val="22"/>
              </w:rPr>
              <w:t xml:space="preserve"> – Trello-Screenshot auf Folie 16, Sprechernotizen auf den Folien 1, 2, 4, 7, 16, 17, 18, 19, Probelauf mit Zeitmessung (15–20 Minuten, alle sprechen), PDF-Export.</w:t>
            </w:r>
          </w:p>
        </w:tc>
        <w:tc>
          <w:tcPr>
            <w:tcW w:type="dxa" w:w="15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Jakob (Folien), alle (Notizen)</w:t>
            </w:r>
          </w:p>
        </w:tc>
        <w:tc>
          <w:tcPr>
            <w:tcW w:type="dxa" w:w="13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22.10. (Generalprobe)</w:t>
            </w:r>
          </w:p>
        </w:tc>
        <w:tc>
          <w:tcPr>
            <w:tcW w:type="dxa" w:w="266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Sprecherzuordnung steht auf Folie 20</w:t>
            </w:r>
          </w:p>
        </w:tc>
      </w:tr>
      <w:tr>
        <w:tc>
          <w:tcPr>
            <w:tcW w:type="dxa" w:w="600"/>
            <w:tcMar>
              <w:top w:type="dxa" w:w="60"/>
              <w:left w:type="dxa" w:w="90"/>
              <w:bottom w:type="dxa" w:w="60"/>
              <w:right w:type="dxa" w:w="90"/>
            </w:tcMar>
          </w:tcPr>
          <w:p>
            <w:pPr>
              <w:spacing w:after="0"/>
            </w:pPr>
            <w:r>
              <w:rPr>
                <w:rFonts w:ascii="Calibri" w:cs="Calibri" w:eastAsia="Calibri" w:hAnsi="Calibri"/>
                <w:sz w:val="22"/>
                <w:szCs w:val="22"/>
              </w:rPr>
              <w:t xml:space="preserve">9</w:t>
            </w:r>
          </w:p>
        </w:tc>
        <w:tc>
          <w:tcPr>
            <w:tcW w:type="dxa" w:w="3300"/>
            <w:tcMar>
              <w:top w:type="dxa" w:w="60"/>
              <w:left w:type="dxa" w:w="90"/>
              <w:bottom w:type="dxa" w:w="60"/>
              <w:right w:type="dxa" w:w="90"/>
            </w:tcMar>
          </w:tcPr>
          <w:p>
            <w:pPr>
              <w:spacing w:after="0"/>
            </w:pPr>
            <w:r>
              <w:rPr>
                <w:rFonts w:ascii="Calibri" w:cs="Calibri" w:eastAsia="Calibri" w:hAnsi="Calibri"/>
                <w:b/>
                <w:bCs/>
                <w:sz w:val="22"/>
                <w:szCs w:val="22"/>
              </w:rPr>
              <w:t xml:space="preserve">Dozent informieren</w:t>
            </w:r>
            <w:r>
              <w:rPr>
                <w:rFonts w:ascii="Calibri" w:cs="Calibri" w:eastAsia="Calibri" w:hAnsi="Calibri"/>
                <w:sz w:val="22"/>
                <w:szCs w:val="22"/>
              </w:rPr>
              <w:t xml:space="preserve"> – Wechsel der Ansprechperson (Maximilian → Nina) mitteilen; Termine 05.10./15.10./22.10. gegen Rapla prüfen; die offenen Fragen aus doku/04-dozenten-feedback.md beim nächsten Coaching stellen (zählen nur die Aktivitäten im Werkstatt-Pool? Kunde als eigener Prozess in Ordnung? Lagergebühr/Mahnung gewollt?).</w:t>
            </w:r>
          </w:p>
        </w:tc>
        <w:tc>
          <w:tcPr>
            <w:tcW w:type="dxa" w:w="1500"/>
            <w:tcMar>
              <w:top w:type="dxa" w:w="60"/>
              <w:left w:type="dxa" w:w="90"/>
              <w:bottom w:type="dxa" w:w="60"/>
              <w:right w:type="dxa" w:w="90"/>
            </w:tcMar>
          </w:tcPr>
          <w:p>
            <w:pPr>
              <w:spacing w:after="0"/>
            </w:pPr>
            <w:r>
              <w:rPr>
                <w:rFonts w:ascii="Calibri" w:cs="Calibri" w:eastAsia="Calibri" w:hAnsi="Calibri"/>
                <w:sz w:val="22"/>
                <w:szCs w:val="22"/>
              </w:rPr>
              <w:t xml:space="preserve">Nina</w:t>
            </w:r>
          </w:p>
        </w:tc>
        <w:tc>
          <w:tcPr>
            <w:tcW w:type="dxa" w:w="1300"/>
            <w:tcMar>
              <w:top w:type="dxa" w:w="60"/>
              <w:left w:type="dxa" w:w="90"/>
              <w:bottom w:type="dxa" w:w="60"/>
              <w:right w:type="dxa" w:w="90"/>
            </w:tcMar>
          </w:tcPr>
          <w:p>
            <w:pPr>
              <w:spacing w:after="0"/>
            </w:pPr>
            <w:r>
              <w:rPr>
                <w:rFonts w:ascii="Calibri" w:cs="Calibri" w:eastAsia="Calibri" w:hAnsi="Calibri"/>
                <w:sz w:val="22"/>
                <w:szCs w:val="22"/>
              </w:rPr>
              <w:t xml:space="preserve">nächstes Coaching</w:t>
            </w:r>
          </w:p>
        </w:tc>
        <w:tc>
          <w:tcPr>
            <w:tcW w:type="dxa" w:w="2660"/>
            <w:tcMar>
              <w:top w:type="dxa" w:w="60"/>
              <w:left w:type="dxa" w:w="90"/>
              <w:bottom w:type="dxa" w:w="60"/>
              <w:right w:type="dxa" w:w="90"/>
            </w:tcMar>
          </w:tcPr>
          <w:p>
            <w:pPr>
              <w:spacing w:after="0"/>
            </w:pPr>
            <w:r>
              <w:rPr>
                <w:rFonts w:ascii="Calibri" w:cs="Calibri" w:eastAsia="Calibri" w:hAnsi="Calibri"/>
                <w:sz w:val="22"/>
                <w:szCs w:val="22"/>
              </w:rPr>
              <w:t xml:space="preserve"/>
            </w:r>
          </w:p>
        </w:tc>
      </w:tr>
      <w:tr>
        <w:tc>
          <w:tcPr>
            <w:tcW w:type="dxa" w:w="6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10</w:t>
            </w:r>
          </w:p>
        </w:tc>
        <w:tc>
          <w:tcPr>
            <w:tcW w:type="dxa" w:w="3300"/>
            <w:shd w:fill="F7F9FC" w:color="auto" w:val="clear"/>
            <w:tcMar>
              <w:top w:type="dxa" w:w="60"/>
              <w:left w:type="dxa" w:w="90"/>
              <w:bottom w:type="dxa" w:w="60"/>
              <w:right w:type="dxa" w:w="90"/>
            </w:tcMar>
          </w:tcPr>
          <w:p>
            <w:pPr>
              <w:spacing w:after="0"/>
            </w:pPr>
            <w:r>
              <w:rPr>
                <w:rFonts w:ascii="Calibri" w:cs="Calibri" w:eastAsia="Calibri" w:hAnsi="Calibri"/>
                <w:b/>
                <w:bCs/>
                <w:sz w:val="22"/>
                <w:szCs w:val="22"/>
              </w:rPr>
              <w:t xml:space="preserve">Zuständigkeit BPMN 09/10 klären</w:t>
            </w:r>
            <w:r>
              <w:rPr>
                <w:rFonts w:ascii="Calibri" w:cs="Calibri" w:eastAsia="Calibri" w:hAnsi="Calibri"/>
                <w:sz w:val="22"/>
                <w:szCs w:val="22"/>
              </w:rPr>
              <w:t xml:space="preserve"> – drei Dokumente weisen die Prüfung unterschiedlich zu (Maxi oder Jakob). Entscheiden und in doku/03-entscheidungen.md festhalten.</w:t>
            </w:r>
          </w:p>
        </w:tc>
        <w:tc>
          <w:tcPr>
            <w:tcW w:type="dxa" w:w="15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Maxi, Jakob</w:t>
            </w:r>
          </w:p>
        </w:tc>
        <w:tc>
          <w:tcPr>
            <w:tcW w:type="dxa" w:w="13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15.10.</w:t>
            </w:r>
          </w:p>
        </w:tc>
        <w:tc>
          <w:tcPr>
            <w:tcW w:type="dxa" w:w="266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
            </w:r>
          </w:p>
        </w:tc>
      </w:tr>
      <w:tr>
        <w:tc>
          <w:tcPr>
            <w:tcW w:type="dxa" w:w="600"/>
            <w:tcMar>
              <w:top w:type="dxa" w:w="60"/>
              <w:left w:type="dxa" w:w="90"/>
              <w:bottom w:type="dxa" w:w="60"/>
              <w:right w:type="dxa" w:w="90"/>
            </w:tcMar>
          </w:tcPr>
          <w:p>
            <w:pPr>
              <w:spacing w:after="0"/>
            </w:pPr>
            <w:r>
              <w:rPr>
                <w:rFonts w:ascii="Calibri" w:cs="Calibri" w:eastAsia="Calibri" w:hAnsi="Calibri"/>
                <w:sz w:val="22"/>
                <w:szCs w:val="22"/>
              </w:rPr>
              <w:t xml:space="preserve">11</w:t>
            </w:r>
          </w:p>
        </w:tc>
        <w:tc>
          <w:tcPr>
            <w:tcW w:type="dxa" w:w="3300"/>
            <w:tcMar>
              <w:top w:type="dxa" w:w="60"/>
              <w:left w:type="dxa" w:w="90"/>
              <w:bottom w:type="dxa" w:w="60"/>
              <w:right w:type="dxa" w:w="90"/>
            </w:tcMar>
          </w:tcPr>
          <w:p>
            <w:pPr>
              <w:spacing w:after="0"/>
            </w:pPr>
            <w:r>
              <w:rPr>
                <w:rFonts w:ascii="Calibri" w:cs="Calibri" w:eastAsia="Calibri" w:hAnsi="Calibri"/>
                <w:b/>
                <w:bCs/>
                <w:sz w:val="22"/>
                <w:szCs w:val="22"/>
              </w:rPr>
              <w:t xml:space="preserve">Abgabe-Archiv bauen</w:t>
            </w:r>
            <w:r>
              <w:rPr>
                <w:rFonts w:ascii="Calibri" w:cs="Calibri" w:eastAsia="Calibri" w:hAnsi="Calibri"/>
                <w:sz w:val="22"/>
                <w:szCs w:val="22"/>
              </w:rPr>
              <w:t xml:space="preserve"> – Fallstudie-WWI25B4-Gruppe1.zip mit Projekt-WWI25B4-Gruppe1.pdf, BPMN-WWI25B4-Gruppe1.zip, UML-WWI25B4-Gruppe1.vpp und dem PDF-Export der Präsentation (mit Angabe der Vortragenden). Jede Person lädt das vollständige Archiv selbst in Moodle hoch.</w:t>
            </w:r>
          </w:p>
        </w:tc>
        <w:tc>
          <w:tcPr>
            <w:tcW w:type="dxa" w:w="1500"/>
            <w:tcMar>
              <w:top w:type="dxa" w:w="60"/>
              <w:left w:type="dxa" w:w="90"/>
              <w:bottom w:type="dxa" w:w="60"/>
              <w:right w:type="dxa" w:w="90"/>
            </w:tcMar>
          </w:tcPr>
          <w:p>
            <w:pPr>
              <w:spacing w:after="0"/>
            </w:pPr>
            <w:r>
              <w:rPr>
                <w:rFonts w:ascii="Calibri" w:cs="Calibri" w:eastAsia="Calibri" w:hAnsi="Calibri"/>
                <w:sz w:val="22"/>
                <w:szCs w:val="22"/>
              </w:rPr>
              <w:t xml:space="preserve">David (Backup), alle (Upload)</w:t>
            </w:r>
          </w:p>
        </w:tc>
        <w:tc>
          <w:tcPr>
            <w:tcW w:type="dxa" w:w="1300"/>
            <w:tcMar>
              <w:top w:type="dxa" w:w="60"/>
              <w:left w:type="dxa" w:w="90"/>
              <w:bottom w:type="dxa" w:w="60"/>
              <w:right w:type="dxa" w:w="90"/>
            </w:tcMar>
          </w:tcPr>
          <w:p>
            <w:pPr>
              <w:spacing w:after="0"/>
            </w:pPr>
            <w:r>
              <w:rPr>
                <w:rFonts w:ascii="Calibri" w:cs="Calibri" w:eastAsia="Calibri" w:hAnsi="Calibri"/>
                <w:sz w:val="22"/>
                <w:szCs w:val="22"/>
              </w:rPr>
              <w:t xml:space="preserve">13.11., 23:59</w:t>
            </w:r>
          </w:p>
        </w:tc>
        <w:tc>
          <w:tcPr>
            <w:tcW w:type="dxa" w:w="2660"/>
            <w:tcMar>
              <w:top w:type="dxa" w:w="60"/>
              <w:left w:type="dxa" w:w="90"/>
              <w:bottom w:type="dxa" w:w="60"/>
              <w:right w:type="dxa" w:w="90"/>
            </w:tcMar>
          </w:tcPr>
          <w:p>
            <w:pPr>
              <w:spacing w:after="0"/>
            </w:pPr>
            <w:r>
              <w:rPr>
                <w:rFonts w:ascii="Calibri" w:cs="Calibri" w:eastAsia="Calibri" w:hAnsi="Calibri"/>
                <w:sz w:val="22"/>
                <w:szCs w:val="22"/>
              </w:rPr>
              <w:t xml:space="preserve">Anleitung: abgabe/README.md</w:t>
            </w:r>
          </w:p>
        </w:tc>
      </w:tr>
    </w:tbl>
    <w:p>
      <w:pPr>
        <w:spacing w:after="120" w:before="160"/>
      </w:pPr>
      <w:r>
        <w:rPr>
          <w:rFonts w:ascii="Calibri" w:cs="Calibri" w:eastAsia="Calibri" w:hAnsi="Calibri"/>
          <w:i/>
          <w:iCs/>
          <w:color w:val="595959"/>
          <w:sz w:val="22"/>
          <w:szCs w:val="22"/>
        </w:rPr>
        <w:t xml:space="preserve">Die Punkte 3 und 4 sind Abgabekriterien laut Ablauf (VPP-Datei, Camunda Cloud). Punkt 5 enthält die Pflichtangabe, wer welchen Beitrag erarbeitet hat. Ohne diese drei Punkte ist die Abgabe unvollständig.</w:t>
      </w:r>
    </w:p>
    <w:p>
      <w:pPr>
        <w:pStyle w:val="Heading1"/>
        <w:spacing w:after="140" w:before="320"/>
      </w:pPr>
      <w:r>
        <w:rPr>
          <w:rFonts w:ascii="Calibri" w:cs="Calibri" w:eastAsia="Calibri" w:hAnsi="Calibri"/>
          <w:b/>
          <w:bCs/>
          <w:color w:val="1F3864"/>
          <w:sz w:val="30"/>
          <w:szCs w:val="30"/>
        </w:rPr>
        <w:t xml:space="preserve">2 Aktuellen Stand holen (alle)</w:t>
      </w:r>
    </w:p>
    <w:p>
      <w:pPr>
        <w:spacing w:after="120" w:line="276"/>
      </w:pPr>
      <w:r>
        <w:rPr>
          <w:rFonts w:ascii="Calibri" w:cs="Calibri" w:eastAsia="Calibri" w:hAnsi="Calibri"/>
          <w:sz w:val="22"/>
          <w:szCs w:val="22"/>
        </w:rPr>
        <w:t xml:space="preserve">Im eigenen Repo-Ordner (dort, wo ihr das Repository geklont habt) im Terminal:</w:t>
      </w:r>
    </w:p>
    <w:p>
      <w:pPr>
        <w:shd w:fill="F2F2F2" w:color="auto" w:val="clear"/>
        <w:spacing w:after="40"/>
        <w:ind w:left="400"/>
      </w:pPr>
      <w:r>
        <w:rPr>
          <w:rFonts w:ascii="Consolas" w:cs="Consolas" w:eastAsia="Consolas" w:hAnsi="Consolas"/>
          <w:sz w:val="19"/>
          <w:szCs w:val="19"/>
        </w:rPr>
        <w:t xml:space="preserve">git switch main</w:t>
      </w:r>
    </w:p>
    <w:p>
      <w:pPr>
        <w:shd w:fill="F2F2F2" w:color="auto" w:val="clear"/>
        <w:spacing w:after="40"/>
        <w:ind w:left="400"/>
      </w:pPr>
      <w:r>
        <w:rPr>
          <w:rFonts w:ascii="Consolas" w:cs="Consolas" w:eastAsia="Consolas" w:hAnsi="Consolas"/>
          <w:sz w:val="19"/>
          <w:szCs w:val="19"/>
        </w:rPr>
        <w:t xml:space="preserve">git pull</w:t>
      </w:r>
    </w:p>
    <w:p>
      <w:pPr>
        <w:shd w:fill="F2F2F2" w:color="auto" w:val="clear"/>
        <w:spacing w:after="40"/>
        <w:ind w:left="400"/>
      </w:pPr>
      <w:r>
        <w:rPr>
          <w:rFonts w:ascii="Consolas" w:cs="Consolas" w:eastAsia="Consolas" w:hAnsi="Consolas"/>
          <w:sz w:val="19"/>
          <w:szCs w:val="19"/>
        </w:rPr>
        <w:t xml:space="preserve">git log --oneline -1</w:t>
      </w:r>
    </w:p>
    <w:p>
      <w:pPr>
        <w:spacing w:before="120"/>
      </w:pPr>
      <w:r>
        <w:rPr>
          <w:rFonts w:ascii="Calibri" w:cs="Calibri" w:eastAsia="Calibri" w:hAnsi="Calibri"/>
          <w:sz w:val="22"/>
          <w:szCs w:val="22"/>
        </w:rPr>
        <w:t xml:space="preserve">Oben muss mindestens der Commit 0d89be8 (E-17) oder ein neuerer stehen. Meldet git status geänderte Dateien, die ihr nicht selbst bearbeitet habt (oft nur Zeilenenden), vor dem Pull mit der Gruppe klären, statt sie zu überschreiben. Eigene Änderungen immer in einem eigenen Branch mit Pull Request (Regeln: claude.readme/README.md).</w:t>
      </w:r>
    </w:p>
    <w:p>
      <w:pPr>
        <w:pStyle w:val="Heading1"/>
        <w:spacing w:after="140" w:before="320"/>
      </w:pPr>
      <w:r>
        <w:rPr>
          <w:rFonts w:ascii="Calibri" w:cs="Calibri" w:eastAsia="Calibri" w:hAnsi="Calibri"/>
          <w:b/>
          <w:bCs/>
          <w:color w:val="1F3864"/>
          <w:sz w:val="30"/>
          <w:szCs w:val="30"/>
        </w:rPr>
        <w:t xml:space="preserve">3 Bereits erledigt (05.10.2026, mit KI-Unterstützung)</w:t>
      </w:r>
    </w:p>
    <w:p>
      <w:pPr>
        <w:pStyle w:val="ListParagraph"/>
        <w:numPr>
          <w:ilvl w:val="0"/>
          <w:numId w:val="2"/>
        </w:numPr>
        <w:spacing w:after="60"/>
      </w:pPr>
      <w:r>
        <w:rPr>
          <w:rFonts w:ascii="Calibri" w:cs="Calibri" w:eastAsia="Calibri" w:hAnsi="Calibri"/>
          <w:sz w:val="22"/>
          <w:szCs w:val="22"/>
        </w:rPr>
        <w:t xml:space="preserve">BPMN: Abgelehnte und reklamierte Aufträge werden jetzt über „08 Abholung abwickeln" zurückgegeben (Prozess 03, 04, 09); Prozess 08 unterscheidet Reparatur, Diagnosepauschale und kostenfrei. Die Nacharbeit aus Prozess 09 läuft über Prozess 07.</w:t>
      </w:r>
    </w:p>
    <w:p>
      <w:pPr>
        <w:pStyle w:val="ListParagraph"/>
        <w:numPr>
          <w:ilvl w:val="0"/>
          <w:numId w:val="2"/>
        </w:numPr>
        <w:spacing w:after="60"/>
      </w:pPr>
      <w:r>
        <w:rPr>
          <w:rFonts w:ascii="Calibri" w:cs="Calibri" w:eastAsia="Calibri" w:hAnsi="Calibri"/>
          <w:sz w:val="22"/>
          <w:szCs w:val="22"/>
        </w:rPr>
        <w:t xml:space="preserve">BPMN: Jede Warteschleife hat einen Ausstieg (Timer bei Rückfrage und Nachtrag, dritte Erinnerung beim KVA, Storno und Alternativlieferant, Lagergebühr und Mahnung, Abschreibung nach zweiter Eskalation). Fehlende Nachrichtenflüsse in 08, 09 und 10 ergänzt. Prozess 05 informiert den Kunden vor der Bestellung, Prozess 06 verarbeitet auch Nachbestellvorschläge.</w:t>
      </w:r>
    </w:p>
    <w:p>
      <w:pPr>
        <w:pStyle w:val="ListParagraph"/>
        <w:numPr>
          <w:ilvl w:val="0"/>
          <w:numId w:val="2"/>
        </w:numPr>
        <w:spacing w:after="60"/>
      </w:pPr>
      <w:r>
        <w:rPr>
          <w:rFonts w:ascii="Calibri" w:cs="Calibri" w:eastAsia="Calibri" w:hAnsi="Calibri"/>
          <w:sz w:val="22"/>
          <w:szCs w:val="22"/>
        </w:rPr>
        <w:t xml:space="preserve">UML: include/extend korrigiert, Akteur Servicemitarbeiter (Lane Service / Annahme), UC19 Retoure abwickeln, Reklamation → Nacharbeitsauftrag im Klassenmodell, Kostenvoranschlag als Assoziation, Sequenzdiagramme 2 bis 6 und Zustandsdiagramm an die Prozesse angepasst. Jetzt 27 Klassen, 36 Assoziationen, 19 Use Cases, 8 Akteure.</w:t>
      </w:r>
    </w:p>
    <w:p>
      <w:pPr>
        <w:pStyle w:val="ListParagraph"/>
        <w:numPr>
          <w:ilvl w:val="0"/>
          <w:numId w:val="2"/>
        </w:numPr>
        <w:spacing w:after="60"/>
      </w:pPr>
      <w:r>
        <w:rPr>
          <w:rFonts w:ascii="Calibri" w:cs="Calibri" w:eastAsia="Calibri" w:hAnsi="Calibri"/>
          <w:sz w:val="22"/>
          <w:szCs w:val="22"/>
        </w:rPr>
        <w:t xml:space="preserve">Texte: Entscheidung E-17, Prüfprotokoll (doku/protokolle/2026-10-05-komplettcheck.md), QA-Checkliste (Entwurf, doku/qa-checkliste.md), OOA-Reihenfolge, Konsistenzaussagen, Stand-Daten, Sprint-Zählung; Doku (38 Seiten, Klassendiagramm als Anhang C) und Präsentation (20 Folien) neu erzeugt; BPMN-ZIP neu gepackt.</w:t>
      </w:r>
    </w:p>
    <w:p>
      <w:pPr>
        <w:pStyle w:val="ListParagraph"/>
        <w:numPr>
          <w:ilvl w:val="0"/>
          <w:numId w:val="2"/>
        </w:numPr>
        <w:spacing w:after="60"/>
      </w:pPr>
      <w:r>
        <w:rPr>
          <w:rFonts w:ascii="Calibri" w:cs="Calibri" w:eastAsia="Calibri" w:hAnsi="Calibri"/>
          <w:sz w:val="22"/>
          <w:szCs w:val="22"/>
        </w:rPr>
        <w:t xml:space="preserve">Repository: Stand mit E-16 und E-17 am 05.10.2026 auf main gemergt (Commit 0d89be8).</w:t>
      </w:r>
    </w:p>
    <w:p>
      <w:pPr>
        <w:pStyle w:val="ListParagraph"/>
        <w:numPr>
          <w:ilvl w:val="0"/>
          <w:numId w:val="2"/>
        </w:numPr>
        <w:spacing w:after="60"/>
      </w:pPr>
      <w:r>
        <w:rPr>
          <w:rFonts w:ascii="Calibri" w:cs="Calibri" w:eastAsia="Calibri" w:hAnsi="Calibri"/>
          <w:sz w:val="22"/>
          <w:szCs w:val="22"/>
        </w:rPr>
        <w:t xml:space="preserve">Prüfungen: Camunda-Linter 0 Befunde, bpmnlint 0 Befunde, Layout-Prüfung 0 Befunde, Regel „Botschaft = Operation" 0 Verstöße, alle generierten Dateien byte-identisch reproduzierbar.</w:t>
      </w:r>
    </w:p>
    <w:p>
      <w:pPr>
        <w:spacing w:before="160"/>
      </w:pPr>
      <w:r>
        <w:rPr>
          <w:rFonts w:ascii="Calibri" w:cs="Calibri" w:eastAsia="Calibri" w:hAnsi="Calibri"/>
          <w:i/>
          <w:iCs/>
          <w:color w:val="595959"/>
          <w:sz w:val="22"/>
          <w:szCs w:val="22"/>
        </w:rPr>
        <w:t xml:space="preserve">Hinweis zur akademischen Integrität: Die Korrekturen aus E-15, E-16 und E-17 wurden mit dem KI-Werkzeug Claude vorbereitet. Die Gruppe muss sie prüfen, fachlich bestätigen (Punkt 2) und die KI-Nutzung in Kapitel 1 der Dokumentation nennen; der Hinweis dort ist bereits vorformuliert.</w:t>
      </w:r>
    </w:p>
    <w:p>
      <w:pPr>
        <w:pStyle w:val="Heading1"/>
        <w:spacing w:after="140" w:before="320"/>
      </w:pPr>
      <w:r>
        <w:rPr>
          <w:rFonts w:ascii="Calibri" w:cs="Calibri" w:eastAsia="Calibri" w:hAnsi="Calibri"/>
          <w:b/>
          <w:bCs/>
          <w:color w:val="1F3864"/>
          <w:sz w:val="30"/>
          <w:szCs w:val="30"/>
        </w:rPr>
        <w:t xml:space="preserve">4 Termine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color="auto" w:val="clear"/>
            <w:tcMar>
              <w:top w:type="dxa" w:w="60"/>
              <w:left w:type="dxa" w:w="90"/>
              <w:bottom w:type="dxa" w:w="60"/>
              <w:right w:type="dxa" w:w="90"/>
            </w:tcMar>
          </w:tcPr>
          <w:p>
            <w:pPr>
              <w:spacing w:after="0"/>
            </w:pPr>
            <w:r>
              <w:rPr>
                <w:rFonts w:ascii="Calibri" w:cs="Calibri" w:eastAsia="Calibri" w:hAnsi="Calibri"/>
                <w:b/>
                <w:bCs/>
                <w:color w:val="FFFFFF"/>
                <w:sz w:val="22"/>
                <w:szCs w:val="22"/>
              </w:rPr>
              <w:t xml:space="preserve">Termin</w:t>
            </w:r>
          </w:p>
        </w:tc>
        <w:tc>
          <w:tcPr>
            <w:tcW w:type="dxa" w:w="7160"/>
            <w:shd w:fill="1F3864" w:color="auto" w:val="clear"/>
            <w:tcMar>
              <w:top w:type="dxa" w:w="60"/>
              <w:left w:type="dxa" w:w="90"/>
              <w:bottom w:type="dxa" w:w="60"/>
              <w:right w:type="dxa" w:w="90"/>
            </w:tcMar>
          </w:tcPr>
          <w:p>
            <w:pPr>
              <w:spacing w:after="0"/>
            </w:pPr>
            <w:r>
              <w:rPr>
                <w:rFonts w:ascii="Calibri" w:cs="Calibri" w:eastAsia="Calibri" w:hAnsi="Calibri"/>
                <w:b/>
                <w:bCs/>
                <w:color w:val="FFFFFF"/>
                <w:sz w:val="22"/>
                <w:szCs w:val="22"/>
              </w:rPr>
              <w:t xml:space="preserve">Was bis dahin fertig sein muss</w:t>
            </w:r>
          </w:p>
        </w:tc>
      </w:tr>
      <w:tr>
        <w:tc>
          <w:tcPr>
            <w:tcW w:type="dxa" w:w="2200"/>
            <w:tcMar>
              <w:top w:type="dxa" w:w="60"/>
              <w:left w:type="dxa" w:w="90"/>
              <w:bottom w:type="dxa" w:w="60"/>
              <w:right w:type="dxa" w:w="90"/>
            </w:tcMar>
          </w:tcPr>
          <w:p>
            <w:pPr>
              <w:spacing w:after="0"/>
            </w:pPr>
            <w:r>
              <w:rPr>
                <w:rFonts w:ascii="Calibri" w:cs="Calibri" w:eastAsia="Calibri" w:hAnsi="Calibri"/>
                <w:sz w:val="22"/>
                <w:szCs w:val="22"/>
              </w:rPr>
              <w:t xml:space="preserve">15.10.2026 (Sprint 3)</w:t>
            </w:r>
          </w:p>
        </w:tc>
        <w:tc>
          <w:tcPr>
            <w:tcW w:type="dxa" w:w="7160"/>
            <w:tcMar>
              <w:top w:type="dxa" w:w="60"/>
              <w:left w:type="dxa" w:w="90"/>
              <w:bottom w:type="dxa" w:w="60"/>
              <w:right w:type="dxa" w:w="90"/>
            </w:tcMar>
          </w:tcPr>
          <w:p>
            <w:pPr>
              <w:spacing w:after="0"/>
            </w:pPr>
            <w:r>
              <w:rPr>
                <w:rFonts w:ascii="Calibri" w:cs="Calibri" w:eastAsia="Calibri" w:hAnsi="Calibri"/>
                <w:sz w:val="22"/>
                <w:szCs w:val="22"/>
              </w:rPr>
              <w:t xml:space="preserve">Punkte 2, 3, 4, 6, 7, 10; Entscheidungen zu Lagergebühr/Mahnung und BPMN-Zuständigkeit</w:t>
            </w:r>
          </w:p>
        </w:tc>
      </w:tr>
      <w:tr>
        <w:tc>
          <w:tcPr>
            <w:tcW w:type="dxa" w:w="22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22.10.2026 (Generalprobe)</w:t>
            </w:r>
          </w:p>
        </w:tc>
        <w:tc>
          <w:tcPr>
            <w:tcW w:type="dxa" w:w="716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Punkte 5 und 8: Doku ohne Platzhalter, Präsentation mit Notizen, Probelauf mit Zeitmessung</w:t>
            </w:r>
          </w:p>
        </w:tc>
      </w:tr>
      <w:tr>
        <w:tc>
          <w:tcPr>
            <w:tcW w:type="dxa" w:w="2200"/>
            <w:tcMar>
              <w:top w:type="dxa" w:w="60"/>
              <w:left w:type="dxa" w:w="90"/>
              <w:bottom w:type="dxa" w:w="60"/>
              <w:right w:type="dxa" w:w="90"/>
            </w:tcMar>
          </w:tcPr>
          <w:p>
            <w:pPr>
              <w:spacing w:after="0"/>
            </w:pPr>
            <w:r>
              <w:rPr>
                <w:rFonts w:ascii="Calibri" w:cs="Calibri" w:eastAsia="Calibri" w:hAnsi="Calibri"/>
                <w:sz w:val="22"/>
                <w:szCs w:val="22"/>
              </w:rPr>
              <w:t xml:space="preserve">27.10.2026, 09:00, B458</w:t>
            </w:r>
          </w:p>
        </w:tc>
        <w:tc>
          <w:tcPr>
            <w:tcW w:type="dxa" w:w="7160"/>
            <w:tcMar>
              <w:top w:type="dxa" w:w="60"/>
              <w:left w:type="dxa" w:w="90"/>
              <w:bottom w:type="dxa" w:w="60"/>
              <w:right w:type="dxa" w:w="90"/>
            </w:tcMar>
          </w:tcPr>
          <w:p>
            <w:pPr>
              <w:spacing w:after="0"/>
            </w:pPr>
            <w:r>
              <w:rPr>
                <w:rFonts w:ascii="Calibri" w:cs="Calibri" w:eastAsia="Calibri" w:hAnsi="Calibri"/>
                <w:sz w:val="22"/>
                <w:szCs w:val="22"/>
              </w:rPr>
              <w:t xml:space="preserve">Abschlusspräsentation, 15–20 Minuten, alle sprechen</w:t>
            </w:r>
          </w:p>
        </w:tc>
      </w:tr>
      <w:tr>
        <w:tc>
          <w:tcPr>
            <w:tcW w:type="dxa" w:w="220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13.11.2026, 23:59</w:t>
            </w:r>
          </w:p>
        </w:tc>
        <w:tc>
          <w:tcPr>
            <w:tcW w:type="dxa" w:w="7160"/>
            <w:shd w:fill="F7F9FC" w:color="auto" w:val="clear"/>
            <w:tcMar>
              <w:top w:type="dxa" w:w="60"/>
              <w:left w:type="dxa" w:w="90"/>
              <w:bottom w:type="dxa" w:w="60"/>
              <w:right w:type="dxa" w:w="90"/>
            </w:tcMar>
          </w:tcPr>
          <w:p>
            <w:pPr>
              <w:spacing w:after="0"/>
            </w:pPr>
            <w:r>
              <w:rPr>
                <w:rFonts w:ascii="Calibri" w:cs="Calibri" w:eastAsia="Calibri" w:hAnsi="Calibri"/>
                <w:sz w:val="22"/>
                <w:szCs w:val="22"/>
              </w:rPr>
              <w:t xml:space="preserve">Punkt 11: Fallstudie-WWI25B4-Gruppe1.zip von jeder Person in Moodle hochgeladen</w:t>
            </w:r>
          </w:p>
        </w:tc>
      </w:tr>
    </w:tbl>
    <w:sectPr>
      <w:pgSz w:w="11906" w:h="16838" w:orient="portrait"/>
      <w:pgMar w:top="1200" w:right="1300" w:bottom="11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RepairFlow – Was die Gruppe noch tun muss (Stand 05.10.2026)</dc:title>
  <dc:creator>Kilian Platter</dc:creator>
  <dc:description>Gruppen-To-do nach dem Komplettcheck E-17</dc:description>
  <cp:lastModifiedBy>Un-named</cp:lastModifiedBy>
  <cp:revision>1</cp:revision>
  <dcterms:created xsi:type="dcterms:W3CDTF">2026-10-05T06:51:26.146Z</dcterms:created>
  <dcterms:modified xsi:type="dcterms:W3CDTF">2026-10-05T06:51:26.152Z</dcterms:modified>
</cp:coreProperties>
</file>

<file path=docProps/custom.xml><?xml version="1.0" encoding="utf-8"?>
<Properties xmlns="http://schemas.openxmlformats.org/officeDocument/2006/custom-properties" xmlns:vt="http://schemas.openxmlformats.org/officeDocument/2006/docPropsVTypes"/>
</file>