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after="240" w:line="480" w:lineRule="auto"/>
      </w:pPr>
      <w:r>
        <w:rPr>
          <w:rFonts w:ascii="Times New Roman" w:hAnsi="Times New Roman" w:cs="Times New Roman"/>
          <w:sz w:val="28"/>
          <w:szCs w:val="28"/>
          <w:b/>
        </w:rPr>
        <w:t xml:space="preserve">Paper Structure Outline: Homelessness Resource Accessibility and Social Need on Long Island</w:t>
      </w:r>
    </w:p>
    <w:p>
      <w:pPr>
        <w:spacing w:line="480" w:lineRule="auto"/>
      </w:pPr>
      <w:r>
        <w:rPr>
          <w:rFonts w:ascii="Times New Roman" w:hAnsi="Times New Roman" w:cs="Times New Roman"/>
          <w:sz w:val="24"/>
          <w:szCs w:val="24"/>
        </w:rPr>
        <w:t xml:space="preserve">Suggested title:</w:t>
      </w:r>
    </w:p>
    <w:p>
      <w:pPr>
        <w:spacing w:line="480" w:lineRule="auto"/>
      </w:pPr>
      <w:r>
        <w:rPr>
          <w:rFonts w:ascii="Times New Roman" w:hAnsi="Times New Roman" w:cs="Times New Roman"/>
          <w:sz w:val="24"/>
          <w:szCs w:val="24"/>
          <w:b/>
        </w:rPr>
        <w:t xml:space="preserve">Beyond Resource Presence: Mapping Homelessness Resource Accessibility and Social Need on Long Island</w:t>
      </w:r>
    </w:p>
    <w:p>
      <w:pPr>
        <w:spacing w:line="480" w:lineRule="auto"/>
      </w:pPr>
      <w:r>
        <w:rPr>
          <w:rFonts w:ascii="Times New Roman" w:hAnsi="Times New Roman" w:cs="Times New Roman"/>
          <w:sz w:val="24"/>
          <w:szCs w:val="24"/>
        </w:rPr>
        <w:t xml:space="preserve">Core argument:</w:t>
      </w:r>
    </w:p>
    <w:p>
      <w:pPr>
        <w:ind w:left="720"/>
        <w:spacing w:line="480" w:lineRule="auto"/>
      </w:pPr>
      <w:r>
        <w:rPr>
          <w:rFonts w:ascii="Times New Roman" w:hAnsi="Times New Roman" w:cs="Times New Roman"/>
          <w:sz w:val="24"/>
          <w:szCs w:val="24"/>
          <w:b/>
          <w:i/>
        </w:rPr>
        <w:t xml:space="preserve">Resource presence is not enough. Social responsibility should be evaluated by whether resources are accessible and spatially aligned with need.</w:t>
      </w:r>
    </w:p>
    <w:p>
      <w:pPr>
        <w:spacing w:before="240" w:after="0" w:line="480" w:lineRule="auto"/>
      </w:pPr>
      <w:r>
        <w:rPr>
          <w:rFonts w:ascii="Times New Roman" w:hAnsi="Times New Roman" w:cs="Times New Roman"/>
          <w:sz w:val="24"/>
          <w:szCs w:val="24"/>
          <w:b/>
        </w:rPr>
        <w:t xml:space="preserve">Abstract</w:t>
      </w:r>
    </w:p>
    <w:p>
      <w:pPr>
        <w:spacing w:line="480" w:lineRule="auto"/>
      </w:pPr>
      <w:r>
        <w:rPr>
          <w:rFonts w:ascii="Times New Roman" w:hAnsi="Times New Roman" w:cs="Times New Roman"/>
          <w:sz w:val="24"/>
          <w:szCs w:val="24"/>
        </w:rPr>
        <w:t xml:space="preserve">Homelessness and housing instability on Long Island are often overshadowed by the more visible crisis in New York City, yet Nassau and Suffolk counties also contain substantial social need. This study evaluates whether homelessness-related and basic-needs resources on Long Island are spatially aligned with poverty, rent burden, renter share, and a composite tract-level need score. The analysis integrates 2022 ACS five-year census tract indicators, Nassau and Suffolk resource locations, and NYSED McKinney-Vento K-12 student homelessness data. Methodologically, the study uses the Enhanced Two-Step Floating Catchment Area (E2SFCA) method to calculate 15-minute drive and walk access, then constructs a mismatch index to identify high-need / low-access areas. Results show that the bivariate Moran's I between need and access is +0.097 under the drive model (p = 0.001), indicating a statistically significant but weak relationship; under the walk model, the relationship is not significant. Pearson correlations between access index and major need factors are also weak. These findings suggest that Long Island does have visible resources, but resource presence alone does not demonstrate social responsibility. If resources are not consistently aligned with social need, the resource system should be evaluated through accessibility, equity, and local mismatch.</w:t>
      </w:r>
    </w:p>
    <w:p>
      <w:pPr>
        <w:spacing w:before="240" w:after="0" w:line="480" w:lineRule="auto"/>
      </w:pPr>
      <w:r>
        <w:rPr>
          <w:rFonts w:ascii="Times New Roman" w:hAnsi="Times New Roman" w:cs="Times New Roman"/>
          <w:sz w:val="24"/>
          <w:szCs w:val="24"/>
          <w:b/>
        </w:rPr>
        <w:t xml:space="preserve">Keywords</w:t>
      </w:r>
    </w:p>
    <w:p>
      <w:pPr>
        <w:spacing w:line="480" w:lineRule="auto"/>
      </w:pPr>
      <w:r>
        <w:rPr>
          <w:rFonts w:ascii="Times New Roman" w:hAnsi="Times New Roman" w:cs="Times New Roman"/>
          <w:sz w:val="24"/>
          <w:szCs w:val="24"/>
        </w:rPr>
        <w:t xml:space="preserve">homelessness; resource accessibility; Long Island; social responsibility; spatial mismatch; E2SFCA; suburban poverty; McKinney-Vento; GIS</w:t>
      </w:r>
    </w:p>
    <w:p>
      <w:pPr>
        <w:spacing w:before="240" w:after="0" w:line="480" w:lineRule="auto"/>
      </w:pPr>
      <w:r>
        <w:rPr>
          <w:rFonts w:ascii="Times New Roman" w:hAnsi="Times New Roman" w:cs="Times New Roman"/>
          <w:sz w:val="24"/>
          <w:szCs w:val="24"/>
          <w:b/>
        </w:rPr>
        <w:t xml:space="preserve">1. Introduction</w:t>
      </w:r>
    </w:p>
    <w:p>
      <w:pPr>
        <w:spacing w:before="120" w:after="0" w:line="480" w:lineRule="auto"/>
      </w:pPr>
      <w:r>
        <w:rPr>
          <w:rFonts w:ascii="Times New Roman" w:hAnsi="Times New Roman" w:cs="Times New Roman"/>
          <w:sz w:val="24"/>
          <w:szCs w:val="24"/>
          <w:b/>
          <w:i/>
        </w:rPr>
        <w:t xml:space="preserve">Paragraph 1: Problem Context</w:t>
      </w:r>
    </w:p>
    <w:p>
      <w:pPr>
        <w:spacing w:line="480" w:lineRule="auto"/>
      </w:pPr>
      <w:r>
        <w:rPr>
          <w:rFonts w:ascii="Times New Roman" w:hAnsi="Times New Roman" w:cs="Times New Roman"/>
          <w:sz w:val="24"/>
          <w:szCs w:val="24"/>
        </w:rPr>
        <w:t xml:space="preserve">Explain that homelessness is often imagined as a New York City or central-city issue, while suburban counties such as Long Island also experience housing instability, student homelessness, and basic-needs insecurity.</w:t>
      </w:r>
    </w:p>
    <w:p>
      <w:pPr>
        <w:spacing w:before="120" w:after="0" w:line="480" w:lineRule="auto"/>
      </w:pPr>
      <w:r>
        <w:rPr>
          <w:rFonts w:ascii="Times New Roman" w:hAnsi="Times New Roman" w:cs="Times New Roman"/>
          <w:sz w:val="24"/>
          <w:szCs w:val="24"/>
          <w:b/>
          <w:i/>
        </w:rPr>
        <w:t xml:space="preserve">Paragraph 2: Research Problem</w:t>
      </w:r>
    </w:p>
    <w:p>
      <w:pPr>
        <w:spacing w:line="480" w:lineRule="auto"/>
      </w:pPr>
      <w:r>
        <w:rPr>
          <w:rFonts w:ascii="Times New Roman" w:hAnsi="Times New Roman" w:cs="Times New Roman"/>
          <w:sz w:val="24"/>
          <w:szCs w:val="24"/>
        </w:rPr>
        <w:t xml:space="preserve">State that the paper does not simply ask whether Long Island has homelessness-related or basic-needs resources. Instead, it asks whether these resources are spatially aligned with high-need areas, whether they are accessible, and whether their distribution supports a meaningful claim of social responsibility.</w:t>
      </w:r>
    </w:p>
    <w:p>
      <w:pPr>
        <w:spacing w:before="120" w:after="0" w:line="480" w:lineRule="auto"/>
      </w:pPr>
      <w:r>
        <w:rPr>
          <w:rFonts w:ascii="Times New Roman" w:hAnsi="Times New Roman" w:cs="Times New Roman"/>
          <w:sz w:val="24"/>
          <w:szCs w:val="24"/>
          <w:b/>
          <w:i/>
        </w:rPr>
        <w:t xml:space="preserve">Paragraph 3: Research Gap</w:t>
      </w:r>
    </w:p>
    <w:p>
      <w:pPr>
        <w:spacing w:line="480" w:lineRule="auto"/>
      </w:pPr>
      <w:r>
        <w:rPr>
          <w:rFonts w:ascii="Times New Roman" w:hAnsi="Times New Roman" w:cs="Times New Roman"/>
          <w:sz w:val="24"/>
          <w:szCs w:val="24"/>
        </w:rPr>
        <w:t xml:space="preserve">Explain that many resource maps show facility locations but do not evaluate the spatial relationship between resource access and social need. This creates a gap between resource presence and resource effectiveness.</w:t>
      </w:r>
    </w:p>
    <w:p>
      <w:pPr>
        <w:spacing w:before="120" w:after="0" w:line="480" w:lineRule="auto"/>
      </w:pPr>
      <w:r>
        <w:rPr>
          <w:rFonts w:ascii="Times New Roman" w:hAnsi="Times New Roman" w:cs="Times New Roman"/>
          <w:sz w:val="24"/>
          <w:szCs w:val="24"/>
          <w:b/>
          <w:i/>
        </w:rPr>
        <w:t xml:space="preserve">Paragraph 4: Research Questions</w:t>
      </w:r>
    </w:p>
    <w:p>
      <w:pPr>
        <w:spacing w:line="480" w:lineRule="auto"/>
      </w:pPr>
      <w:r>
        <w:rPr>
          <w:rFonts w:ascii="Times New Roman" w:hAnsi="Times New Roman" w:cs="Times New Roman"/>
          <w:sz w:val="24"/>
          <w:szCs w:val="24"/>
        </w:rPr>
        <w:t xml:space="preserve">List three research questions:</w:t>
      </w:r>
    </w:p>
    <w:p>
      <w:pPr>
        <w:ind w:left="720" w:hanging="360"/>
        <w:spacing w:line="480" w:lineRule="auto"/>
      </w:pPr>
      <w:r>
        <w:rPr>
          <w:rFonts w:ascii="Times New Roman" w:hAnsi="Times New Roman" w:cs="Times New Roman"/>
          <w:sz w:val="24"/>
          <w:szCs w:val="24"/>
        </w:rPr>
        <w:t xml:space="preserve">1. How is housing-instability need distributed at the census tract level on Long Island?</w:t>
      </w:r>
    </w:p>
    <w:p>
      <w:pPr>
        <w:ind w:left="720" w:hanging="360"/>
        <w:spacing w:line="480" w:lineRule="auto"/>
      </w:pPr>
      <w:r>
        <w:rPr>
          <w:rFonts w:ascii="Times New Roman" w:hAnsi="Times New Roman" w:cs="Times New Roman"/>
          <w:sz w:val="24"/>
          <w:szCs w:val="24"/>
        </w:rPr>
        <w:t xml:space="preserve">2. Are homelessness-related and basic-needs resources spatially aligned with high-need tracts?</w:t>
      </w:r>
    </w:p>
    <w:p>
      <w:pPr>
        <w:ind w:left="720" w:hanging="360"/>
        <w:spacing w:line="480" w:lineRule="auto"/>
      </w:pPr>
      <w:r>
        <w:rPr>
          <w:rFonts w:ascii="Times New Roman" w:hAnsi="Times New Roman" w:cs="Times New Roman"/>
          <w:sz w:val="24"/>
          <w:szCs w:val="24"/>
        </w:rPr>
        <w:t xml:space="preserve">3. Do drive access and walk access produce different mismatch patterns?</w:t>
      </w:r>
    </w:p>
    <w:p>
      <w:pPr>
        <w:spacing w:before="120" w:after="0" w:line="480" w:lineRule="auto"/>
      </w:pPr>
      <w:r>
        <w:rPr>
          <w:rFonts w:ascii="Times New Roman" w:hAnsi="Times New Roman" w:cs="Times New Roman"/>
          <w:sz w:val="24"/>
          <w:szCs w:val="24"/>
          <w:b/>
          <w:i/>
        </w:rPr>
        <w:t xml:space="preserve">Paragraph 5: Core Argument</w:t>
      </w:r>
    </w:p>
    <w:p>
      <w:pPr>
        <w:spacing w:line="480" w:lineRule="auto"/>
      </w:pPr>
      <w:r>
        <w:rPr>
          <w:rFonts w:ascii="Times New Roman" w:hAnsi="Times New Roman" w:cs="Times New Roman"/>
          <w:sz w:val="24"/>
          <w:szCs w:val="24"/>
        </w:rPr>
        <w:t xml:space="preserve">State the central claim: Long Island has visible resources, but resource access is only weakly aligned with measured social need. Therefore, social responsibility should not be evaluated only by whether resources exist, but by whether they are accessible, equitable, and responsive to local mismatch.</w:t>
      </w:r>
    </w:p>
    <w:p>
      <w:pPr>
        <w:spacing w:before="120" w:after="0" w:line="480" w:lineRule="auto"/>
      </w:pPr>
      <w:r>
        <w:rPr>
          <w:rFonts w:ascii="Times New Roman" w:hAnsi="Times New Roman" w:cs="Times New Roman"/>
          <w:sz w:val="24"/>
          <w:szCs w:val="24"/>
          <w:b/>
          <w:i/>
        </w:rPr>
        <w:t xml:space="preserve">Paragraph 6: Contributions</w:t>
      </w:r>
    </w:p>
    <w:p>
      <w:pPr>
        <w:spacing w:line="480" w:lineRule="auto"/>
      </w:pPr>
      <w:r>
        <w:rPr>
          <w:rFonts w:ascii="Times New Roman" w:hAnsi="Times New Roman" w:cs="Times New Roman"/>
          <w:sz w:val="24"/>
          <w:szCs w:val="24"/>
        </w:rPr>
        <w:t xml:space="preserve">Identify three contributions: first, a Long Island-wide tract-level resource mismatch analysis; second, a method combining E2SFCA, Moran's I, LISA, and K-12 homelessness data; third, the use of "resource presence is not enough" as a framework for evaluating suburban homelessness response.</w:t>
      </w:r>
    </w:p>
    <w:p>
      <w:pPr>
        <w:spacing w:before="240" w:after="0" w:line="480" w:lineRule="auto"/>
      </w:pPr>
      <w:r>
        <w:rPr>
          <w:rFonts w:ascii="Times New Roman" w:hAnsi="Times New Roman" w:cs="Times New Roman"/>
          <w:sz w:val="24"/>
          <w:szCs w:val="24"/>
          <w:b/>
        </w:rPr>
        <w:t xml:space="preserve">2. Literature Review</w:t>
      </w:r>
    </w:p>
    <w:p>
      <w:pPr>
        <w:spacing w:before="120" w:after="0" w:line="480" w:lineRule="auto"/>
      </w:pPr>
      <w:r>
        <w:rPr>
          <w:rFonts w:ascii="Times New Roman" w:hAnsi="Times New Roman" w:cs="Times New Roman"/>
          <w:sz w:val="24"/>
          <w:szCs w:val="24"/>
          <w:b/>
          <w:i/>
        </w:rPr>
        <w:t xml:space="preserve">Paragraph 1: Spatial Mismatch Theory</w:t>
      </w:r>
    </w:p>
    <w:p>
      <w:pPr>
        <w:spacing w:line="480" w:lineRule="auto"/>
      </w:pPr>
      <w:r>
        <w:rPr>
          <w:rFonts w:ascii="Times New Roman" w:hAnsi="Times New Roman" w:cs="Times New Roman"/>
          <w:sz w:val="24"/>
          <w:szCs w:val="24"/>
        </w:rPr>
        <w:t xml:space="preserve">Explain that spatial mismatch theory was first used to describe the separation between disadvantaged residential communities and employment opportunities. This paper extends that logic to ask whether social need and homelessness-related resources are spatially misaligned.</w:t>
      </w:r>
    </w:p>
    <w:p>
      <w:pPr>
        <w:spacing w:line="480" w:lineRule="auto"/>
      </w:pPr>
      <w:r>
        <w:rPr>
          <w:rFonts w:ascii="Times New Roman" w:hAnsi="Times New Roman" w:cs="Times New Roman"/>
          <w:sz w:val="24"/>
          <w:szCs w:val="24"/>
        </w:rPr>
        <w:t xml:space="preserve">Suggested citations:</w:t>
      </w:r>
    </w:p>
    <w:p>
      <w:pPr>
        <w:ind w:left="720" w:hanging="720"/>
        <w:spacing w:line="480" w:lineRule="auto"/>
      </w:pPr>
      <w:r>
        <w:rPr>
          <w:rFonts w:ascii="Times New Roman" w:hAnsi="Times New Roman" w:cs="Times New Roman"/>
          <w:sz w:val="24"/>
          <w:szCs w:val="24"/>
        </w:rPr>
        <w:t xml:space="preserve">Kain, J. F. (1968). Housing segregation, Negro employment, and metropolitan decentralization. </w:t>
      </w:r>
      <w:r>
        <w:rPr>
          <w:rFonts w:ascii="Times New Roman" w:hAnsi="Times New Roman" w:cs="Times New Roman"/>
          <w:sz w:val="24"/>
          <w:szCs w:val="24"/>
          <w:i/>
        </w:rPr>
        <w:t xml:space="preserve">The Quarterly Journal of Economics, 82</w:t>
      </w:r>
      <w:r>
        <w:rPr>
          <w:rFonts w:ascii="Times New Roman" w:hAnsi="Times New Roman" w:cs="Times New Roman"/>
          <w:sz w:val="24"/>
          <w:szCs w:val="24"/>
        </w:rPr>
        <w:t xml:space="preserve">(2), 175-197. https://doi.org/10.2307/1885893</w:t>
      </w:r>
    </w:p>
    <w:p>
      <w:pPr>
        <w:ind w:left="720" w:hanging="720"/>
        <w:spacing w:line="480" w:lineRule="auto"/>
      </w:pPr>
      <w:r>
        <w:rPr>
          <w:rFonts w:ascii="Times New Roman" w:hAnsi="Times New Roman" w:cs="Times New Roman"/>
          <w:sz w:val="24"/>
          <w:szCs w:val="24"/>
        </w:rPr>
        <w:t xml:space="preserve">Kain, J. F. (1992). The spatial mismatch hypothesis: Three decades later. </w:t>
      </w:r>
      <w:r>
        <w:rPr>
          <w:rFonts w:ascii="Times New Roman" w:hAnsi="Times New Roman" w:cs="Times New Roman"/>
          <w:sz w:val="24"/>
          <w:szCs w:val="24"/>
          <w:i/>
        </w:rPr>
        <w:t xml:space="preserve">Housing Policy Debate, 3</w:t>
      </w:r>
      <w:r>
        <w:rPr>
          <w:rFonts w:ascii="Times New Roman" w:hAnsi="Times New Roman" w:cs="Times New Roman"/>
          <w:sz w:val="24"/>
          <w:szCs w:val="24"/>
        </w:rPr>
        <w:t xml:space="preserve">(2), 371-460.</w:t>
      </w:r>
    </w:p>
    <w:p>
      <w:pPr>
        <w:ind w:left="720" w:hanging="720"/>
        <w:spacing w:line="480" w:lineRule="auto"/>
      </w:pPr>
      <w:r>
        <w:rPr>
          <w:rFonts w:ascii="Times New Roman" w:hAnsi="Times New Roman" w:cs="Times New Roman"/>
          <w:sz w:val="24"/>
          <w:szCs w:val="24"/>
        </w:rPr>
        <w:t xml:space="preserve">Ihlanfeldt, K. R., &amp; Sjoquist, D. L. (1998). The spatial mismatch hypothesis: A review of recent studies and their implications for welfare reform. </w:t>
      </w:r>
      <w:r>
        <w:rPr>
          <w:rFonts w:ascii="Times New Roman" w:hAnsi="Times New Roman" w:cs="Times New Roman"/>
          <w:sz w:val="24"/>
          <w:szCs w:val="24"/>
          <w:i/>
        </w:rPr>
        <w:t xml:space="preserve">Housing Policy Debate, 9</w:t>
      </w:r>
      <w:r>
        <w:rPr>
          <w:rFonts w:ascii="Times New Roman" w:hAnsi="Times New Roman" w:cs="Times New Roman"/>
          <w:sz w:val="24"/>
          <w:szCs w:val="24"/>
        </w:rPr>
        <w:t xml:space="preserve">(4), 849-892.</w:t>
      </w:r>
    </w:p>
    <w:p>
      <w:pPr>
        <w:spacing w:before="120" w:after="0" w:line="480" w:lineRule="auto"/>
      </w:pPr>
      <w:r>
        <w:rPr>
          <w:rFonts w:ascii="Times New Roman" w:hAnsi="Times New Roman" w:cs="Times New Roman"/>
          <w:sz w:val="24"/>
          <w:szCs w:val="24"/>
          <w:b/>
          <w:i/>
        </w:rPr>
        <w:t xml:space="preserve">Paragraph 2: Accessibility and E2SFCA</w:t>
      </w:r>
    </w:p>
    <w:p>
      <w:pPr>
        <w:spacing w:line="480" w:lineRule="auto"/>
      </w:pPr>
      <w:r>
        <w:rPr>
          <w:rFonts w:ascii="Times New Roman" w:hAnsi="Times New Roman" w:cs="Times New Roman"/>
          <w:sz w:val="24"/>
          <w:szCs w:val="24"/>
        </w:rPr>
        <w:t xml:space="preserve">Explain that accessibility is not only distance, but a relationship among supply, demand, and travel-time catchments. E2SFCA provides a GIS-based method for measuring resource accessibility, and this study adapts it from health care accessibility to homelessness-related and basic-needs resources.</w:t>
      </w:r>
    </w:p>
    <w:p>
      <w:pPr>
        <w:spacing w:line="480" w:lineRule="auto"/>
      </w:pPr>
      <w:r>
        <w:rPr>
          <w:rFonts w:ascii="Times New Roman" w:hAnsi="Times New Roman" w:cs="Times New Roman"/>
          <w:sz w:val="24"/>
          <w:szCs w:val="24"/>
        </w:rPr>
        <w:t xml:space="preserve">Suggested citations:</w:t>
      </w:r>
    </w:p>
    <w:p>
      <w:pPr>
        <w:ind w:left="720" w:hanging="720"/>
        <w:spacing w:line="480" w:lineRule="auto"/>
      </w:pPr>
      <w:r>
        <w:rPr>
          <w:rFonts w:ascii="Times New Roman" w:hAnsi="Times New Roman" w:cs="Times New Roman"/>
          <w:sz w:val="24"/>
          <w:szCs w:val="24"/>
        </w:rPr>
        <w:t xml:space="preserve">Luo, W., &amp; Wang, F. (2003). Measures of spatial accessibility to health care in a GIS environment: Synthesis and a case study in the Chicago region. </w:t>
      </w:r>
      <w:r>
        <w:rPr>
          <w:rFonts w:ascii="Times New Roman" w:hAnsi="Times New Roman" w:cs="Times New Roman"/>
          <w:sz w:val="24"/>
          <w:szCs w:val="24"/>
          <w:i/>
        </w:rPr>
        <w:t xml:space="preserve">Environment and Planning B: Planning and Design, 30</w:t>
      </w:r>
      <w:r>
        <w:rPr>
          <w:rFonts w:ascii="Times New Roman" w:hAnsi="Times New Roman" w:cs="Times New Roman"/>
          <w:sz w:val="24"/>
          <w:szCs w:val="24"/>
        </w:rPr>
        <w:t xml:space="preserve">(6), 865-884. https://doi.org/10.1068/b29120</w:t>
      </w:r>
    </w:p>
    <w:p>
      <w:pPr>
        <w:ind w:left="720" w:hanging="720"/>
        <w:spacing w:line="480" w:lineRule="auto"/>
      </w:pPr>
      <w:r>
        <w:rPr>
          <w:rFonts w:ascii="Times New Roman" w:hAnsi="Times New Roman" w:cs="Times New Roman"/>
          <w:sz w:val="24"/>
          <w:szCs w:val="24"/>
        </w:rPr>
        <w:t xml:space="preserve">Luo, W., &amp; Qi, Y. (2009). An enhanced two-step floating catchment area (E2SFCA) method for measuring spatial accessibility to primary care physicians. </w:t>
      </w:r>
      <w:r>
        <w:rPr>
          <w:rFonts w:ascii="Times New Roman" w:hAnsi="Times New Roman" w:cs="Times New Roman"/>
          <w:sz w:val="24"/>
          <w:szCs w:val="24"/>
          <w:i/>
        </w:rPr>
        <w:t xml:space="preserve">Health &amp; Place, 15</w:t>
      </w:r>
      <w:r>
        <w:rPr>
          <w:rFonts w:ascii="Times New Roman" w:hAnsi="Times New Roman" w:cs="Times New Roman"/>
          <w:sz w:val="24"/>
          <w:szCs w:val="24"/>
        </w:rPr>
        <w:t xml:space="preserve">(4), 1100-1107. https://doi.org/10.1016/j.healthplace.2009.06.002</w:t>
      </w:r>
    </w:p>
    <w:p>
      <w:pPr>
        <w:spacing w:before="120" w:after="0" w:line="480" w:lineRule="auto"/>
      </w:pPr>
      <w:r>
        <w:rPr>
          <w:rFonts w:ascii="Times New Roman" w:hAnsi="Times New Roman" w:cs="Times New Roman"/>
          <w:sz w:val="24"/>
          <w:szCs w:val="24"/>
          <w:b/>
          <w:i/>
        </w:rPr>
        <w:t xml:space="preserve">Paragraph 3: Homelessness and Student Homelessness</w:t>
      </w:r>
    </w:p>
    <w:p>
      <w:pPr>
        <w:spacing w:line="480" w:lineRule="auto"/>
      </w:pPr>
      <w:r>
        <w:rPr>
          <w:rFonts w:ascii="Times New Roman" w:hAnsi="Times New Roman" w:cs="Times New Roman"/>
          <w:sz w:val="24"/>
          <w:szCs w:val="24"/>
        </w:rPr>
        <w:t xml:space="preserve">Explain that homelessness is not limited to street homelessness or shelter counts. McKinney-Vento student homelessness data can reveal doubled-up families, temporarily housed students, and suburban housing instability.</w:t>
      </w:r>
    </w:p>
    <w:p>
      <w:pPr>
        <w:spacing w:line="480" w:lineRule="auto"/>
      </w:pPr>
      <w:r>
        <w:rPr>
          <w:rFonts w:ascii="Times New Roman" w:hAnsi="Times New Roman" w:cs="Times New Roman"/>
          <w:sz w:val="24"/>
          <w:szCs w:val="24"/>
        </w:rPr>
        <w:t xml:space="preserve">Suggested citations:</w:t>
      </w:r>
    </w:p>
    <w:p>
      <w:pPr>
        <w:ind w:left="720" w:hanging="720"/>
        <w:spacing w:line="480" w:lineRule="auto"/>
      </w:pPr>
      <w:r>
        <w:rPr>
          <w:rFonts w:ascii="Times New Roman" w:hAnsi="Times New Roman" w:cs="Times New Roman"/>
          <w:sz w:val="24"/>
          <w:szCs w:val="24"/>
        </w:rPr>
        <w:t xml:space="preserve">National Center for Homeless Education. (2025). </w:t>
      </w:r>
      <w:r>
        <w:rPr>
          <w:rFonts w:ascii="Times New Roman" w:hAnsi="Times New Roman" w:cs="Times New Roman"/>
          <w:sz w:val="24"/>
          <w:szCs w:val="24"/>
          <w:i/>
        </w:rPr>
        <w:t xml:space="preserve">Student homelessness in America: School years 2020-21 to 2022-23</w:t>
      </w:r>
      <w:r>
        <w:rPr>
          <w:rFonts w:ascii="Times New Roman" w:hAnsi="Times New Roman" w:cs="Times New Roman"/>
          <w:sz w:val="24"/>
          <w:szCs w:val="24"/>
        </w:rPr>
        <w:t xml:space="preserve">. U.S. Department of Education.</w:t>
      </w:r>
    </w:p>
    <w:p>
      <w:pPr>
        <w:ind w:left="720" w:hanging="720"/>
        <w:spacing w:line="480" w:lineRule="auto"/>
      </w:pPr>
      <w:r>
        <w:rPr>
          <w:rFonts w:ascii="Times New Roman" w:hAnsi="Times New Roman" w:cs="Times New Roman"/>
          <w:sz w:val="24"/>
          <w:szCs w:val="24"/>
        </w:rPr>
        <w:t xml:space="preserve">New York State Education Department. (n.d.). </w:t>
      </w:r>
      <w:r>
        <w:rPr>
          <w:rFonts w:ascii="Times New Roman" w:hAnsi="Times New Roman" w:cs="Times New Roman"/>
          <w:sz w:val="24"/>
          <w:szCs w:val="24"/>
          <w:i/>
        </w:rPr>
        <w:t xml:space="preserve">McKinney-Vento homeless education</w:t>
      </w:r>
      <w:r>
        <w:rPr>
          <w:rFonts w:ascii="Times New Roman" w:hAnsi="Times New Roman" w:cs="Times New Roman"/>
          <w:sz w:val="24"/>
          <w:szCs w:val="24"/>
        </w:rPr>
        <w:t xml:space="preserve">. https://www.nysed.gov/essa/mckinney-vento-homeless-education</w:t>
      </w:r>
    </w:p>
    <w:p>
      <w:pPr>
        <w:ind w:left="720" w:hanging="720"/>
        <w:spacing w:line="480" w:lineRule="auto"/>
      </w:pPr>
      <w:r>
        <w:rPr>
          <w:rFonts w:ascii="Times New Roman" w:hAnsi="Times New Roman" w:cs="Times New Roman"/>
          <w:sz w:val="24"/>
          <w:szCs w:val="24"/>
        </w:rPr>
        <w:t xml:space="preserve">SchoolHouse Connection. (2026). </w:t>
      </w:r>
      <w:r>
        <w:rPr>
          <w:rFonts w:ascii="Times New Roman" w:hAnsi="Times New Roman" w:cs="Times New Roman"/>
          <w:sz w:val="24"/>
          <w:szCs w:val="24"/>
          <w:i/>
        </w:rPr>
        <w:t xml:space="preserve">Fact sheet: Educating children and youth experiencing homelessness</w:t>
      </w:r>
      <w:r>
        <w:rPr>
          <w:rFonts w:ascii="Times New Roman" w:hAnsi="Times New Roman" w:cs="Times New Roman"/>
          <w:sz w:val="24"/>
          <w:szCs w:val="24"/>
        </w:rPr>
        <w:t xml:space="preserve">. https://schoolhouseconnection.org/article/fact-sheet-educating-children-and-youth-experiencing-homelessness</w:t>
      </w:r>
    </w:p>
    <w:p>
      <w:pPr>
        <w:spacing w:before="120" w:after="0" w:line="480" w:lineRule="auto"/>
      </w:pPr>
      <w:r>
        <w:rPr>
          <w:rFonts w:ascii="Times New Roman" w:hAnsi="Times New Roman" w:cs="Times New Roman"/>
          <w:sz w:val="24"/>
          <w:szCs w:val="24"/>
          <w:b/>
          <w:i/>
        </w:rPr>
        <w:t xml:space="preserve">Paragraph 4: Resource Presence Versus Resource Effectiveness</w:t>
      </w:r>
    </w:p>
    <w:p>
      <w:pPr>
        <w:spacing w:line="480" w:lineRule="auto"/>
      </w:pPr>
      <w:r>
        <w:rPr>
          <w:rFonts w:ascii="Times New Roman" w:hAnsi="Times New Roman" w:cs="Times New Roman"/>
          <w:sz w:val="24"/>
          <w:szCs w:val="24"/>
        </w:rPr>
        <w:t xml:space="preserve">Explain that homelessness response cannot be evaluated only by the number of resources. Resource effectiveness also depends on whether resources are located near high-need areas, whether they are reachable, and whether they meet the needs of target populations. This paragraph should bring the review back to the paper's core argument: resource presence is not enough.</w:t>
      </w:r>
    </w:p>
    <w:p>
      <w:pPr>
        <w:spacing w:line="480" w:lineRule="auto"/>
      </w:pPr>
      <w:r>
        <w:rPr>
          <w:rFonts w:ascii="Times New Roman" w:hAnsi="Times New Roman" w:cs="Times New Roman"/>
          <w:sz w:val="24"/>
          <w:szCs w:val="24"/>
        </w:rPr>
        <w:t xml:space="preserve">Suggested citations:</w:t>
      </w:r>
    </w:p>
    <w:p>
      <w:pPr>
        <w:ind w:left="720" w:hanging="720"/>
        <w:spacing w:line="480" w:lineRule="auto"/>
      </w:pPr>
      <w:r>
        <w:rPr>
          <w:rFonts w:ascii="Times New Roman" w:hAnsi="Times New Roman" w:cs="Times New Roman"/>
          <w:sz w:val="24"/>
          <w:szCs w:val="24"/>
        </w:rPr>
        <w:t xml:space="preserve">U.S. Department of Housing and Urban Development. (2023). </w:t>
      </w:r>
      <w:r>
        <w:rPr>
          <w:rFonts w:ascii="Times New Roman" w:hAnsi="Times New Roman" w:cs="Times New Roman"/>
          <w:sz w:val="24"/>
          <w:szCs w:val="24"/>
          <w:i/>
        </w:rPr>
        <w:t xml:space="preserve">The 2023 Annual Homelessness Assessment Report (AHAR) to Congress: Part 1: Point-in-time estimates of homelessness in the U.S.</w:t>
      </w:r>
      <w:r>
        <w:rPr>
          <w:rFonts w:ascii="Times New Roman" w:hAnsi="Times New Roman" w:cs="Times New Roman"/>
          <w:sz w:val="24"/>
          <w:szCs w:val="24"/>
        </w:rPr>
        <w:t xml:space="preserve"> https://www.huduser.gov/portal/datasets/ahar/2023-ahar-part-1-pit-estimates-of-homelessness-in-the-us.html</w:t>
      </w:r>
    </w:p>
    <w:p>
      <w:pPr>
        <w:ind w:left="720" w:hanging="720"/>
        <w:spacing w:line="480" w:lineRule="auto"/>
      </w:pPr>
      <w:r>
        <w:rPr>
          <w:rFonts w:ascii="Times New Roman" w:hAnsi="Times New Roman" w:cs="Times New Roman"/>
          <w:sz w:val="24"/>
          <w:szCs w:val="24"/>
        </w:rPr>
        <w:t xml:space="preserve">United States Interagency Council on Homelessness. (n.d.). </w:t>
      </w:r>
      <w:r>
        <w:rPr>
          <w:rFonts w:ascii="Times New Roman" w:hAnsi="Times New Roman" w:cs="Times New Roman"/>
          <w:sz w:val="24"/>
          <w:szCs w:val="24"/>
          <w:i/>
        </w:rPr>
        <w:t xml:space="preserve">Homelessness data &amp; trends</w:t>
      </w:r>
      <w:r>
        <w:rPr>
          <w:rFonts w:ascii="Times New Roman" w:hAnsi="Times New Roman" w:cs="Times New Roman"/>
          <w:sz w:val="24"/>
          <w:szCs w:val="24"/>
        </w:rPr>
        <w:t xml:space="preserve">. https://usich.gov/guidance-reports-data/data-trends</w:t>
      </w:r>
    </w:p>
    <w:p>
      <w:pPr>
        <w:spacing w:before="120" w:after="0" w:line="480" w:lineRule="auto"/>
      </w:pPr>
      <w:r>
        <w:rPr>
          <w:rFonts w:ascii="Times New Roman" w:hAnsi="Times New Roman" w:cs="Times New Roman"/>
          <w:sz w:val="24"/>
          <w:szCs w:val="24"/>
          <w:b/>
          <w:i/>
        </w:rPr>
        <w:t xml:space="preserve">Paragraph 5: Literature Review Synthesis</w:t>
      </w:r>
    </w:p>
    <w:p>
      <w:pPr>
        <w:spacing w:line="480" w:lineRule="auto"/>
      </w:pPr>
      <w:r>
        <w:rPr>
          <w:rFonts w:ascii="Times New Roman" w:hAnsi="Times New Roman" w:cs="Times New Roman"/>
          <w:sz w:val="24"/>
          <w:szCs w:val="24"/>
        </w:rPr>
        <w:t xml:space="preserve">Explain that existing scholarship addresses spatial mismatch, accessibility measurement, and homelessness data separately, but less often places them together in suburban homelessness resource systems. This paper uses Long Island as a case to evaluate whether resource presence actually becomes spatially aligned resource access.</w:t>
      </w:r>
    </w:p>
    <w:p>
      <w:pPr>
        <w:spacing w:before="240" w:after="0" w:line="480" w:lineRule="auto"/>
      </w:pPr>
      <w:r>
        <w:rPr>
          <w:rFonts w:ascii="Times New Roman" w:hAnsi="Times New Roman" w:cs="Times New Roman"/>
          <w:sz w:val="24"/>
          <w:szCs w:val="24"/>
          <w:b/>
        </w:rPr>
        <w:t xml:space="preserve">3. Data and Methodologies</w:t>
      </w:r>
    </w:p>
    <w:p>
      <w:pPr>
        <w:spacing w:before="120" w:after="0" w:line="480" w:lineRule="auto"/>
      </w:pPr>
      <w:r>
        <w:rPr>
          <w:rFonts w:ascii="Times New Roman" w:hAnsi="Times New Roman" w:cs="Times New Roman"/>
          <w:sz w:val="24"/>
          <w:szCs w:val="24"/>
          <w:b/>
          <w:i/>
        </w:rPr>
        <w:t xml:space="preserve">3.1 Study Area</w:t>
      </w:r>
    </w:p>
    <w:p>
      <w:pPr>
        <w:spacing w:line="480" w:lineRule="auto"/>
      </w:pPr>
      <w:r>
        <w:rPr>
          <w:rFonts w:ascii="Times New Roman" w:hAnsi="Times New Roman" w:cs="Times New Roman"/>
          <w:sz w:val="24"/>
          <w:szCs w:val="24"/>
        </w:rPr>
        <w:t xml:space="preserve">This study focuses on Long Island, defined as Nassau County and Suffolk County, New York. Kings County and Queens County are excluded because they are part of New York City's distinct shelter system, transit environment, density structure, and governance context. The unit of tract-level analysis is the 2022 Census tract. Water-only tracts were excluded from the analytical tract layer so that the map and spatial statistics reflect land-based communities rather than offshore or water-dominated geographies.</w:t>
      </w:r>
    </w:p>
    <w:p>
      <w:pPr>
        <w:spacing w:line="480" w:lineRule="auto"/>
      </w:pPr>
      <w:r>
        <w:rPr>
          <w:rFonts w:ascii="Times New Roman" w:hAnsi="Times New Roman" w:cs="Times New Roman"/>
          <w:sz w:val="24"/>
          <w:szCs w:val="24"/>
        </w:rPr>
        <w:t xml:space="preserve">The suburban geography of Long Island is central to the research design. Unlike New York City, where public transit and dense service networks shape resource access, Long Island resource accessibility is strongly affected by automobile dependence, dispersed settlement patterns, and county-level service provision. For this reason, the analysis calculates access under two travel assumptions: a 15-minute drive and a 15-minute walk.</w:t>
      </w:r>
    </w:p>
    <w:p>
      <w:pPr>
        <w:spacing w:before="120" w:after="0" w:line="480" w:lineRule="auto"/>
      </w:pPr>
      <w:r>
        <w:rPr>
          <w:rFonts w:ascii="Times New Roman" w:hAnsi="Times New Roman" w:cs="Times New Roman"/>
          <w:sz w:val="24"/>
          <w:szCs w:val="24"/>
          <w:b/>
          <w:i/>
        </w:rPr>
        <w:t xml:space="preserve">3.2 Data Sources</w:t>
      </w:r>
    </w:p>
    <w:p>
      <w:pPr>
        <w:spacing w:line="480" w:lineRule="auto"/>
      </w:pPr>
      <w:r>
        <w:rPr>
          <w:rFonts w:ascii="Times New Roman" w:hAnsi="Times New Roman" w:cs="Times New Roman"/>
          <w:sz w:val="24"/>
          <w:szCs w:val="24"/>
        </w:rPr>
        <w:t xml:space="preserve">The study integrates four main data sources. First, tract-level socioeconomic indicators are drawn from the 2022 ACS five-year estimates. These indicators include poverty rate, rent burden rate, renter share, renter households, demographic counts, and median household income. Second, homelessness-related and basic-needs resource locations are compiled from Nassau and Suffolk resource datasets. The final resource layer includes food pantries, food banks, shelters, shelter intake points, outreach services, legal aid, housing-support services, behavioral-health services, public-benefits services, clinics, and other support resources.</w:t>
      </w:r>
    </w:p>
    <w:p>
      <w:pPr>
        <w:spacing w:line="480" w:lineRule="auto"/>
      </w:pPr>
      <w:r>
        <w:rPr>
          <w:rFonts w:ascii="Times New Roman" w:hAnsi="Times New Roman" w:cs="Times New Roman"/>
          <w:sz w:val="24"/>
          <w:szCs w:val="24"/>
        </w:rPr>
        <w:t xml:space="preserve">Third, NYSED McKinney-Vento student homelessness data are used to construct a school-district layer of K-12 homelessness. These data report students identified as experiencing homelessness across school districts over the 2018-19, 2019-20, and 2020-21 school years. The layer is not used as a tract-level input to the mismatch index, because school districts and census tracts are different geographies. Instead, it is used as contextual evidence that housing instability and homelessness are empirically visible in suburban Long Island.</w:t>
      </w:r>
    </w:p>
    <w:p>
      <w:pPr>
        <w:spacing w:line="480" w:lineRule="auto"/>
      </w:pPr>
      <w:r>
        <w:rPr>
          <w:rFonts w:ascii="Times New Roman" w:hAnsi="Times New Roman" w:cs="Times New Roman"/>
          <w:sz w:val="24"/>
          <w:szCs w:val="24"/>
        </w:rPr>
        <w:t xml:space="preserve">Fourth, TIGER/Line spatial boundary files are used for census tracts, county boundaries, and school district boundaries. The school district layer is clipped to land using TIGER AREAWATER files, so district polygons do not extend into bays, the Long Island Sound, or the Atlantic Ocean in the final map.</w:t>
      </w:r>
    </w:p>
    <w:p>
      <w:pPr>
        <w:spacing w:before="120" w:after="0" w:line="480" w:lineRule="auto"/>
      </w:pPr>
      <w:r>
        <w:rPr>
          <w:rFonts w:ascii="Times New Roman" w:hAnsi="Times New Roman" w:cs="Times New Roman"/>
          <w:sz w:val="24"/>
          <w:szCs w:val="24"/>
          <w:b/>
          <w:i/>
        </w:rPr>
        <w:t xml:space="preserve">3.3 Resource Classification</w:t>
      </w:r>
    </w:p>
    <w:p>
      <w:pPr>
        <w:spacing w:line="480" w:lineRule="auto"/>
      </w:pPr>
      <w:r>
        <w:rPr>
          <w:rFonts w:ascii="Times New Roman" w:hAnsi="Times New Roman" w:cs="Times New Roman"/>
          <w:sz w:val="24"/>
          <w:szCs w:val="24"/>
        </w:rPr>
        <w:t xml:space="preserve">The resource layer contains 184 Nassau and Suffolk resource points. These resources are divided into two analytical categories. The first category, access-score resources, includes food pantries, food banks, shelters, shelter intake points, and outreach services. These 161 resources enter the E2SFCA access model because they represent direct basic-needs or homelessness-response resources that can plausibly affect immediate access.</w:t>
      </w:r>
    </w:p>
    <w:p>
      <w:pPr>
        <w:spacing w:line="480" w:lineRule="auto"/>
      </w:pPr>
      <w:r>
        <w:rPr>
          <w:rFonts w:ascii="Times New Roman" w:hAnsi="Times New Roman" w:cs="Times New Roman"/>
          <w:sz w:val="24"/>
          <w:szCs w:val="24"/>
        </w:rPr>
        <w:t xml:space="preserve">The second category, context-only resources, includes legal aid, housing support, behavioral health, public benefits, clinics, and other support services. These 23 resources are retained in the map as contextual infrastructure but are not included in the access score. This distinction prevents the access model from treating all support services as equivalent while still making the broader resource landscape visible.</w:t>
      </w:r>
    </w:p>
    <w:p>
      <w:pPr>
        <w:spacing w:before="120" w:after="0" w:line="480" w:lineRule="auto"/>
      </w:pPr>
      <w:r>
        <w:rPr>
          <w:rFonts w:ascii="Times New Roman" w:hAnsi="Times New Roman" w:cs="Times New Roman"/>
          <w:sz w:val="24"/>
          <w:szCs w:val="24"/>
          <w:b/>
          <w:i/>
        </w:rPr>
        <w:t xml:space="preserve">3.4 Need Score Construction</w:t>
      </w:r>
    </w:p>
    <w:p>
      <w:pPr>
        <w:spacing w:line="480" w:lineRule="auto"/>
      </w:pPr>
      <w:r>
        <w:rPr>
          <w:rFonts w:ascii="Times New Roman" w:hAnsi="Times New Roman" w:cs="Times New Roman"/>
          <w:sz w:val="24"/>
          <w:szCs w:val="24"/>
        </w:rPr>
        <w:t xml:space="preserve">The tract-level need score is a composite measure designed to capture housing instability and socioeconomic vulnerability. It combines rent burden rate, poverty rate, renter share, and an eviction filing rate placeholder. Each component is standardized using z-scores, and the components are combined using equal weights. Higher need scores indicate tracts with greater measured vulnerability.</w:t>
      </w:r>
    </w:p>
    <w:p>
      <w:pPr>
        <w:spacing w:line="480" w:lineRule="auto"/>
      </w:pPr>
      <w:r>
        <w:rPr>
          <w:rFonts w:ascii="Times New Roman" w:hAnsi="Times New Roman" w:cs="Times New Roman"/>
          <w:sz w:val="24"/>
          <w:szCs w:val="24"/>
        </w:rPr>
        <w:t xml:space="preserve">The eviction filing component is currently a placeholder because tract-level Long Island eviction filing data have not yet been integrated. Since current eviction filings are zero across tracts, this component does not contribute variation to the need score and is skipped in spatial diagnostics when constant. This limitation should be addressed before final publication if reliable tract-level eviction filing or shelter utilization data become available.</w:t>
      </w:r>
    </w:p>
    <w:p>
      <w:pPr>
        <w:spacing w:before="120" w:after="0" w:line="480" w:lineRule="auto"/>
      </w:pPr>
      <w:r>
        <w:rPr>
          <w:rFonts w:ascii="Times New Roman" w:hAnsi="Times New Roman" w:cs="Times New Roman"/>
          <w:sz w:val="24"/>
          <w:szCs w:val="24"/>
          <w:b/>
          <w:i/>
        </w:rPr>
        <w:t xml:space="preserve">3.5 Access Score and Access Index</w:t>
      </w:r>
    </w:p>
    <w:p>
      <w:pPr>
        <w:spacing w:line="480" w:lineRule="auto"/>
      </w:pPr>
      <w:r>
        <w:rPr>
          <w:rFonts w:ascii="Times New Roman" w:hAnsi="Times New Roman" w:cs="Times New Roman"/>
          <w:sz w:val="24"/>
          <w:szCs w:val="24"/>
        </w:rPr>
        <w:t xml:space="preserve">Resource accessibility is measured using the Enhanced Two-Step Floating Catchment Area (E2SFCA) method. In this study, renter households are used as the demand base, while access-score resources are treated as supply points. For each travel mode, the model estimates the relationship between tract-level demand and reachable resources within a 15-minute catchment.</w:t>
      </w:r>
    </w:p>
    <w:p>
      <w:pPr>
        <w:spacing w:line="480" w:lineRule="auto"/>
      </w:pPr>
      <w:r>
        <w:rPr>
          <w:rFonts w:ascii="Times New Roman" w:hAnsi="Times New Roman" w:cs="Times New Roman"/>
          <w:sz w:val="24"/>
          <w:szCs w:val="24"/>
        </w:rPr>
        <w:t xml:space="preserve">The raw E2SFCA result is retained as </w:t>
      </w:r>
      <w:r>
        <w:rPr>
          <w:rFonts w:ascii="Courier New" w:hAnsi="Courier New" w:cs="Courier New"/>
          <w:sz w:val="24"/>
          <w:szCs w:val="24"/>
        </w:rPr>
        <w:t xml:space="preserve">access_score</w:t>
      </w:r>
      <w:r>
        <w:rPr>
          <w:rFonts w:ascii="Times New Roman" w:hAnsi="Times New Roman" w:cs="Times New Roman"/>
          <w:sz w:val="24"/>
          <w:szCs w:val="24"/>
        </w:rPr>
        <w:t xml:space="preserve">. Because raw E2SFCA values are supply-demand ratios and can appear very small, the public-facing map also reports </w:t>
      </w:r>
      <w:r>
        <w:rPr>
          <w:rFonts w:ascii="Courier New" w:hAnsi="Courier New" w:cs="Courier New"/>
          <w:sz w:val="24"/>
          <w:szCs w:val="24"/>
        </w:rPr>
        <w:t xml:space="preserve">access_index</w:t>
      </w:r>
      <w:r>
        <w:rPr>
          <w:rFonts w:ascii="Times New Roman" w:hAnsi="Times New Roman" w:cs="Times New Roman"/>
          <w:sz w:val="24"/>
          <w:szCs w:val="24"/>
        </w:rPr>
        <w:t xml:space="preserve">, a 0-100 percentile rank of raw access within Long Island. Higher access index values indicate greater relative access compared with other Long Island tracts. The raw </w:t>
      </w:r>
      <w:r>
        <w:rPr>
          <w:rFonts w:ascii="Courier New" w:hAnsi="Courier New" w:cs="Courier New"/>
          <w:sz w:val="24"/>
          <w:szCs w:val="24"/>
        </w:rPr>
        <w:t xml:space="preserve">access_score</w:t>
      </w:r>
      <w:r>
        <w:rPr>
          <w:rFonts w:ascii="Times New Roman" w:hAnsi="Times New Roman" w:cs="Times New Roman"/>
          <w:sz w:val="24"/>
          <w:szCs w:val="24"/>
        </w:rPr>
        <w:t xml:space="preserve"> is used for diagnostics and mismatch calculation, while </w:t>
      </w:r>
      <w:r>
        <w:rPr>
          <w:rFonts w:ascii="Courier New" w:hAnsi="Courier New" w:cs="Courier New"/>
          <w:sz w:val="24"/>
          <w:szCs w:val="24"/>
        </w:rPr>
        <w:t xml:space="preserve">access_index</w:t>
      </w:r>
      <w:r>
        <w:rPr>
          <w:rFonts w:ascii="Times New Roman" w:hAnsi="Times New Roman" w:cs="Times New Roman"/>
          <w:sz w:val="24"/>
          <w:szCs w:val="24"/>
        </w:rPr>
        <w:t xml:space="preserve"> is used for interpretation and visualization.</w:t>
      </w:r>
    </w:p>
    <w:p>
      <w:pPr>
        <w:spacing w:before="120" w:after="0" w:line="480" w:lineRule="auto"/>
      </w:pPr>
      <w:r>
        <w:rPr>
          <w:rFonts w:ascii="Times New Roman" w:hAnsi="Times New Roman" w:cs="Times New Roman"/>
          <w:sz w:val="24"/>
          <w:szCs w:val="24"/>
          <w:b/>
          <w:i/>
        </w:rPr>
        <w:t xml:space="preserve">3.6 Mismatch Index</w:t>
      </w:r>
    </w:p>
    <w:p>
      <w:pPr>
        <w:spacing w:line="480" w:lineRule="auto"/>
      </w:pPr>
      <w:r>
        <w:rPr>
          <w:rFonts w:ascii="Times New Roman" w:hAnsi="Times New Roman" w:cs="Times New Roman"/>
          <w:sz w:val="24"/>
          <w:szCs w:val="24"/>
        </w:rPr>
        <w:t xml:space="preserve">The mismatch index measures the gap between tract-level need and resource accessibility. It is defined as:</w:t>
      </w:r>
    </w:p>
    <w:p>
      <w:pPr>
        <w:ind w:left="720"/>
        <w:spacing w:before="120" w:after="120" w:line="280" w:lineRule="auto"/>
      </w:pPr>
      <w:r>
        <w:rPr>
          <w:rFonts w:ascii="Courier New" w:hAnsi="Courier New" w:cs="Courier New"/>
          <w:sz w:val="20"/>
          <w:szCs w:val="20"/>
        </w:rPr>
        <w:t xml:space="preserve">mismatch_index = z(need_score) - z(access_score)</w:t>
      </w:r>
    </w:p>
    <w:p>
      <w:pPr>
        <w:spacing w:line="480" w:lineRule="auto"/>
      </w:pPr>
      <w:r>
        <w:rPr>
          <w:rFonts w:ascii="Times New Roman" w:hAnsi="Times New Roman" w:cs="Times New Roman"/>
          <w:sz w:val="24"/>
          <w:szCs w:val="24"/>
        </w:rPr>
        <w:t xml:space="preserve">Higher values indicate tracts where measured need is high relative to modeled access. Lower or negative values indicate tracts where access is relatively high compared with need. This index should not be interpreted as a direct measure of homelessness or service failure. Rather, it is a spatial diagnostic that identifies areas where the resource system may not be proportionate to measured social need.</w:t>
      </w:r>
    </w:p>
    <w:p>
      <w:pPr>
        <w:spacing w:before="120" w:after="0" w:line="480" w:lineRule="auto"/>
      </w:pPr>
      <w:r>
        <w:rPr>
          <w:rFonts w:ascii="Times New Roman" w:hAnsi="Times New Roman" w:cs="Times New Roman"/>
          <w:sz w:val="24"/>
          <w:szCs w:val="24"/>
          <w:b/>
          <w:i/>
        </w:rPr>
        <w:t xml:space="preserve">3.7 Spatial Diagnostics</w:t>
      </w:r>
    </w:p>
    <w:p>
      <w:pPr>
        <w:spacing w:line="480" w:lineRule="auto"/>
      </w:pPr>
      <w:r>
        <w:rPr>
          <w:rFonts w:ascii="Times New Roman" w:hAnsi="Times New Roman" w:cs="Times New Roman"/>
          <w:sz w:val="24"/>
          <w:szCs w:val="24"/>
        </w:rPr>
        <w:t xml:space="preserve">The analysis uses several spatial statistics to evaluate whether need, access, and mismatch are spatially clustered. Global Moran's I is calculated for need score, access score, mismatch index, poverty rate, and rent burden rate. Bivariate Moran's I between need and access is used as a validation gate for the central resource-alignment claim. If need and access are strongly positively related, the mismatch argument must be framed carefully; if they are weakly related or unrelated, the mismatch framing becomes more plausible.</w:t>
      </w:r>
    </w:p>
    <w:p>
      <w:pPr>
        <w:spacing w:line="480" w:lineRule="auto"/>
      </w:pPr>
      <w:r>
        <w:rPr>
          <w:rFonts w:ascii="Times New Roman" w:hAnsi="Times New Roman" w:cs="Times New Roman"/>
          <w:sz w:val="24"/>
          <w:szCs w:val="24"/>
        </w:rPr>
        <w:t xml:space="preserve">Local Indicators of Spatial Association (LISA) are calculated for the mismatch index. In the map interpretation, HH clusters are treated as high need / low access areas, while LL clusters are treated as low need / high access areas. These local clusters are more actionable than countywide averages because they identify spatially coherent areas where resource placement, outreach, or transportation interventions may be considered.</w:t>
      </w:r>
    </w:p>
    <w:p>
      <w:pPr>
        <w:spacing w:line="480" w:lineRule="auto"/>
      </w:pPr>
      <w:r>
        <w:rPr>
          <w:rFonts w:ascii="Times New Roman" w:hAnsi="Times New Roman" w:cs="Times New Roman"/>
          <w:sz w:val="24"/>
          <w:szCs w:val="24"/>
        </w:rPr>
        <w:t xml:space="preserve">Robustness checks are conducted across multiple spatial weight structures, including queen contiguity, K-nearest neighbors, and distance-band weights. These checks help determine whether clustering patterns depend heavily on one spatial weights assumption.</w:t>
      </w:r>
    </w:p>
    <w:p>
      <w:pPr>
        <w:spacing w:before="120" w:after="0" w:line="480" w:lineRule="auto"/>
      </w:pPr>
      <w:r>
        <w:rPr>
          <w:rFonts w:ascii="Times New Roman" w:hAnsi="Times New Roman" w:cs="Times New Roman"/>
          <w:sz w:val="24"/>
          <w:szCs w:val="24"/>
          <w:b/>
          <w:i/>
        </w:rPr>
        <w:t xml:space="preserve">3.8 Correlation Analysis</w:t>
      </w:r>
    </w:p>
    <w:p>
      <w:pPr>
        <w:spacing w:line="480" w:lineRule="auto"/>
      </w:pPr>
      <w:r>
        <w:rPr>
          <w:rFonts w:ascii="Times New Roman" w:hAnsi="Times New Roman" w:cs="Times New Roman"/>
          <w:sz w:val="24"/>
          <w:szCs w:val="24"/>
        </w:rPr>
        <w:t xml:space="preserve">The right-side application panel and results memo include Pearson correlations between </w:t>
      </w:r>
      <w:r>
        <w:rPr>
          <w:rFonts w:ascii="Courier New" w:hAnsi="Courier New" w:cs="Courier New"/>
          <w:sz w:val="24"/>
          <w:szCs w:val="24"/>
        </w:rPr>
        <w:t xml:space="preserve">access_index</w:t>
      </w:r>
      <w:r>
        <w:rPr>
          <w:rFonts w:ascii="Times New Roman" w:hAnsi="Times New Roman" w:cs="Times New Roman"/>
          <w:sz w:val="24"/>
          <w:szCs w:val="24"/>
        </w:rPr>
        <w:t xml:space="preserve"> and several factors: need score, poverty rate, rent burden rate, renter share, and mismatch index. These correlations are descriptive, not causal. The correlation between access index and mismatch index is expected to be strongly negative because access is part of the mismatch formula. Therefore, that relationship is used only as a sanity check. The more substantively important correlations are between access index and external need factors such as poverty, rent burden, renter share, and the need composite.</w:t>
      </w:r>
    </w:p>
    <w:p>
      <w:pPr>
        <w:spacing w:before="120" w:after="0" w:line="480" w:lineRule="auto"/>
      </w:pPr>
      <w:r>
        <w:rPr>
          <w:rFonts w:ascii="Times New Roman" w:hAnsi="Times New Roman" w:cs="Times New Roman"/>
          <w:sz w:val="24"/>
          <w:szCs w:val="24"/>
          <w:b/>
          <w:i/>
        </w:rPr>
        <w:t xml:space="preserve">3.9 Methodological Limitations</w:t>
      </w:r>
    </w:p>
    <w:p>
      <w:pPr>
        <w:spacing w:line="480" w:lineRule="auto"/>
      </w:pPr>
      <w:r>
        <w:rPr>
          <w:rFonts w:ascii="Times New Roman" w:hAnsi="Times New Roman" w:cs="Times New Roman"/>
          <w:sz w:val="24"/>
          <w:szCs w:val="24"/>
        </w:rPr>
        <w:t xml:space="preserve">Several limitations should be noted. First, travel time currently uses haversine fallback unless OSRM routing endpoints are configured. Final publication should rerun the analysis with network-based drive and walk travel times. Second, resource points do not fully capture capacity, service hours, eligibility restrictions, language access, or hidden shelter infrastructure such as protected addresses and motel voucher systems. Third, the K-12 student homelessness layer is district-level and should not be interpreted as tract-level homelessness. Fourth, all correlations and spatial statistics are descriptive; they do not establish causality between resource placement and homelessness outcomes.</w:t>
      </w:r>
    </w:p>
    <w:p>
      <w:pPr>
        <w:spacing w:before="240" w:after="0" w:line="480" w:lineRule="auto"/>
      </w:pPr>
      <w:r>
        <w:rPr>
          <w:rFonts w:ascii="Times New Roman" w:hAnsi="Times New Roman" w:cs="Times New Roman"/>
          <w:sz w:val="24"/>
          <w:szCs w:val="24"/>
          <w:b/>
        </w:rPr>
        <w:t xml:space="preserve">4. Results</w:t>
      </w:r>
    </w:p>
    <w:p>
      <w:pPr>
        <w:spacing w:before="120" w:after="0" w:line="480" w:lineRule="auto"/>
      </w:pPr>
      <w:r>
        <w:rPr>
          <w:rFonts w:ascii="Times New Roman" w:hAnsi="Times New Roman" w:cs="Times New Roman"/>
          <w:sz w:val="24"/>
          <w:szCs w:val="24"/>
          <w:b/>
          <w:i/>
        </w:rPr>
        <w:t xml:space="preserve">Paragraph 1: Data Scale and Resource Composition</w:t>
      </w:r>
    </w:p>
    <w:p>
      <w:pPr>
        <w:spacing w:line="480" w:lineRule="auto"/>
      </w:pPr>
      <w:r>
        <w:rPr>
          <w:rFonts w:ascii="Times New Roman" w:hAnsi="Times New Roman" w:cs="Times New Roman"/>
          <w:sz w:val="24"/>
          <w:szCs w:val="24"/>
        </w:rPr>
        <w:t xml:space="preserve">Write about the scale of the analysis: 665 tracts, 184 resources, 161 access-score resources, 23 context-only resources, and 113 school districts. Note that the resource inventory is dominated by food resources and that resource types are unevenly distributed. Suggested evidence: Figure 1, Table 1, and Table 4.</w:t>
      </w:r>
    </w:p>
    <w:p>
      <w:pPr>
        <w:spacing w:before="120" w:after="0" w:line="480" w:lineRule="auto"/>
      </w:pPr>
      <w:r>
        <w:rPr>
          <w:rFonts w:ascii="Times New Roman" w:hAnsi="Times New Roman" w:cs="Times New Roman"/>
          <w:sz w:val="24"/>
          <w:szCs w:val="24"/>
          <w:b/>
          <w:i/>
        </w:rPr>
        <w:t xml:space="preserve">Paragraph 2: Global Need-Access Relationship</w:t>
      </w:r>
    </w:p>
    <w:p>
      <w:pPr>
        <w:spacing w:line="480" w:lineRule="auto"/>
      </w:pPr>
      <w:r>
        <w:rPr>
          <w:rFonts w:ascii="Times New Roman" w:hAnsi="Times New Roman" w:cs="Times New Roman"/>
          <w:sz w:val="24"/>
          <w:szCs w:val="24"/>
        </w:rPr>
        <w:t xml:space="preserve">Report that the bivariate Moran's I is +0.097 (p = 0.001) under the drive model and -0.025 (p = 0.121) under the walk model. Explain that the drive relationship is statistically significant but weak, while the walk relationship is not significant. Suggested evidence: Table 2 and Figure 3.</w:t>
      </w:r>
    </w:p>
    <w:p>
      <w:pPr>
        <w:spacing w:before="120" w:after="0" w:line="480" w:lineRule="auto"/>
      </w:pPr>
      <w:r>
        <w:rPr>
          <w:rFonts w:ascii="Times New Roman" w:hAnsi="Times New Roman" w:cs="Times New Roman"/>
          <w:sz w:val="24"/>
          <w:szCs w:val="24"/>
          <w:b/>
          <w:i/>
        </w:rPr>
        <w:t xml:space="preserve">Paragraph 3: Local Mismatch Clusters</w:t>
      </w:r>
    </w:p>
    <w:p>
      <w:pPr>
        <w:spacing w:line="480" w:lineRule="auto"/>
      </w:pPr>
      <w:r>
        <w:rPr>
          <w:rFonts w:ascii="Times New Roman" w:hAnsi="Times New Roman" w:cs="Times New Roman"/>
          <w:sz w:val="24"/>
          <w:szCs w:val="24"/>
        </w:rPr>
        <w:t xml:space="preserve">Report that the drive model identifies 172 HH tracts and 128 LL tracts, while the walk model identifies 49 HH tracts, 24 LL tracts, and 568 non-significant tracts. Explain that local mismatch is more visible under the drive assumption. Suggested evidence: Figure 2, Figure 6, and Table 3.</w:t>
      </w:r>
    </w:p>
    <w:p>
      <w:pPr>
        <w:spacing w:before="120" w:after="0" w:line="480" w:lineRule="auto"/>
      </w:pPr>
      <w:r>
        <w:rPr>
          <w:rFonts w:ascii="Times New Roman" w:hAnsi="Times New Roman" w:cs="Times New Roman"/>
          <w:sz w:val="24"/>
          <w:szCs w:val="24"/>
          <w:b/>
          <w:i/>
        </w:rPr>
        <w:t xml:space="preserve">Paragraph 4: Access and Social-Risk Factors</w:t>
      </w:r>
    </w:p>
    <w:p>
      <w:pPr>
        <w:spacing w:line="480" w:lineRule="auto"/>
      </w:pPr>
      <w:r>
        <w:rPr>
          <w:rFonts w:ascii="Times New Roman" w:hAnsi="Times New Roman" w:cs="Times New Roman"/>
          <w:sz w:val="24"/>
          <w:szCs w:val="24"/>
        </w:rPr>
        <w:t xml:space="preserve">Discuss that access index is only weakly correlated with need score, poverty rate, rent burden, and renter share. Explain that resource access does not strongly track measured social-need factors. Suggested evidence: Figure 4 and Table 5.</w:t>
      </w:r>
    </w:p>
    <w:p>
      <w:pPr>
        <w:spacing w:before="120" w:after="0" w:line="480" w:lineRule="auto"/>
      </w:pPr>
      <w:r>
        <w:rPr>
          <w:rFonts w:ascii="Times New Roman" w:hAnsi="Times New Roman" w:cs="Times New Roman"/>
          <w:sz w:val="24"/>
          <w:szCs w:val="24"/>
          <w:b/>
          <w:i/>
        </w:rPr>
        <w:t xml:space="preserve">Paragraph 5: County-Level Context</w:t>
      </w:r>
    </w:p>
    <w:p>
      <w:pPr>
        <w:spacing w:line="480" w:lineRule="auto"/>
      </w:pPr>
      <w:r>
        <w:rPr>
          <w:rFonts w:ascii="Times New Roman" w:hAnsi="Times New Roman" w:cs="Times New Roman"/>
          <w:sz w:val="24"/>
          <w:szCs w:val="24"/>
        </w:rPr>
        <w:t xml:space="preserve">Compare Nassau and Suffolk at the county level. Note that Nassau has a higher mean access index, while Suffolk has slightly higher mean need and poverty. Clarify that county-level results provide background, but the main analysis is tract-level mismatch. Suggested evidence: Table 10.</w:t>
      </w:r>
    </w:p>
    <w:p>
      <w:pPr>
        <w:spacing w:before="120" w:after="0" w:line="480" w:lineRule="auto"/>
      </w:pPr>
      <w:r>
        <w:rPr>
          <w:rFonts w:ascii="Times New Roman" w:hAnsi="Times New Roman" w:cs="Times New Roman"/>
          <w:sz w:val="24"/>
          <w:szCs w:val="24"/>
          <w:b/>
          <w:i/>
        </w:rPr>
        <w:t xml:space="preserve">Paragraph 6: K-12 Student Homelessness</w:t>
      </w:r>
    </w:p>
    <w:p>
      <w:pPr>
        <w:spacing w:line="480" w:lineRule="auto"/>
      </w:pPr>
      <w:r>
        <w:rPr>
          <w:rFonts w:ascii="Times New Roman" w:hAnsi="Times New Roman" w:cs="Times New Roman"/>
          <w:sz w:val="24"/>
          <w:szCs w:val="24"/>
        </w:rPr>
        <w:t xml:space="preserve">Report that Long Island school districts include approximately 7,657 K-12 students experiencing homelessness. Mention high-value districts such as Hempstead, William Floyd, Brentwood, Longwood, and Riverhead. Suggested evidence: Figure 5 and Table 8.</w:t>
      </w:r>
    </w:p>
    <w:p>
      <w:pPr>
        <w:spacing w:before="120" w:after="0" w:line="480" w:lineRule="auto"/>
      </w:pPr>
      <w:r>
        <w:rPr>
          <w:rFonts w:ascii="Times New Roman" w:hAnsi="Times New Roman" w:cs="Times New Roman"/>
          <w:sz w:val="24"/>
          <w:szCs w:val="24"/>
          <w:b/>
          <w:i/>
        </w:rPr>
        <w:t xml:space="preserve">Paragraph 7: Mismatch Distribution</w:t>
      </w:r>
    </w:p>
    <w:p>
      <w:pPr>
        <w:spacing w:line="480" w:lineRule="auto"/>
      </w:pPr>
      <w:r>
        <w:rPr>
          <w:rFonts w:ascii="Times New Roman" w:hAnsi="Times New Roman" w:cs="Times New Roman"/>
          <w:sz w:val="24"/>
          <w:szCs w:val="24"/>
        </w:rPr>
        <w:t xml:space="preserve">Compare the drive and walk mismatch distributions. Explain that resource adequacy cannot be evaluated only through driving access or resource presence. Suggested evidence: Figure 7.</w:t>
      </w:r>
    </w:p>
    <w:p>
      <w:pPr>
        <w:spacing w:before="240" w:after="0" w:line="480" w:lineRule="auto"/>
      </w:pPr>
      <w:r>
        <w:rPr>
          <w:rFonts w:ascii="Times New Roman" w:hAnsi="Times New Roman" w:cs="Times New Roman"/>
          <w:sz w:val="24"/>
          <w:szCs w:val="24"/>
          <w:b/>
        </w:rPr>
        <w:t xml:space="preserve">5. Discussion</w:t>
      </w:r>
    </w:p>
    <w:p>
      <w:pPr>
        <w:spacing w:before="120" w:after="0" w:line="480" w:lineRule="auto"/>
      </w:pPr>
      <w:r>
        <w:rPr>
          <w:rFonts w:ascii="Times New Roman" w:hAnsi="Times New Roman" w:cs="Times New Roman"/>
          <w:sz w:val="24"/>
          <w:szCs w:val="24"/>
          <w:b/>
          <w:i/>
        </w:rPr>
        <w:t xml:space="preserve">Paragraph 1: Interpretation of Main Result</w:t>
      </w:r>
    </w:p>
    <w:p>
      <w:pPr>
        <w:spacing w:line="480" w:lineRule="auto"/>
      </w:pPr>
      <w:r>
        <w:rPr>
          <w:rFonts w:ascii="Times New Roman" w:hAnsi="Times New Roman" w:cs="Times New Roman"/>
          <w:sz w:val="24"/>
          <w:szCs w:val="24"/>
        </w:rPr>
        <w:t xml:space="preserve">Explain that Long Island has visible resources, but those resources are only weakly aligned with measured social need. Therefore, resource presence cannot be treated as equivalent to social responsibility.</w:t>
      </w:r>
    </w:p>
    <w:p>
      <w:pPr>
        <w:spacing w:before="120" w:after="0" w:line="480" w:lineRule="auto"/>
      </w:pPr>
      <w:r>
        <w:rPr>
          <w:rFonts w:ascii="Times New Roman" w:hAnsi="Times New Roman" w:cs="Times New Roman"/>
          <w:sz w:val="24"/>
          <w:szCs w:val="24"/>
          <w:b/>
          <w:i/>
        </w:rPr>
        <w:t xml:space="preserve">Paragraph 2: Meaning of Weak Correlation</w:t>
      </w:r>
    </w:p>
    <w:p>
      <w:pPr>
        <w:spacing w:line="480" w:lineRule="auto"/>
      </w:pPr>
      <w:r>
        <w:rPr>
          <w:rFonts w:ascii="Times New Roman" w:hAnsi="Times New Roman" w:cs="Times New Roman"/>
          <w:sz w:val="24"/>
          <w:szCs w:val="24"/>
        </w:rPr>
        <w:t xml:space="preserve">Explain that weak correlations suggest resource distribution may be shaped by historical locations, organizational capacity, land cost, nonprofit networks, transportation conditions, and other factors rather than need-based planning alone.</w:t>
      </w:r>
    </w:p>
    <w:p>
      <w:pPr>
        <w:spacing w:before="120" w:after="0" w:line="480" w:lineRule="auto"/>
      </w:pPr>
      <w:r>
        <w:rPr>
          <w:rFonts w:ascii="Times New Roman" w:hAnsi="Times New Roman" w:cs="Times New Roman"/>
          <w:sz w:val="24"/>
          <w:szCs w:val="24"/>
          <w:b/>
          <w:i/>
        </w:rPr>
        <w:t xml:space="preserve">Paragraph 3: Drive Versus Walk</w:t>
      </w:r>
    </w:p>
    <w:p>
      <w:pPr>
        <w:spacing w:line="480" w:lineRule="auto"/>
      </w:pPr>
      <w:r>
        <w:rPr>
          <w:rFonts w:ascii="Times New Roman" w:hAnsi="Times New Roman" w:cs="Times New Roman"/>
          <w:sz w:val="24"/>
          <w:szCs w:val="24"/>
        </w:rPr>
        <w:t xml:space="preserve">Discuss how drive access shows a weak relationship, while walk access is not significant. Explain that car dependency changes the meaning of resource accessibility in suburban contexts.</w:t>
      </w:r>
    </w:p>
    <w:p>
      <w:pPr>
        <w:spacing w:before="120" w:after="0" w:line="480" w:lineRule="auto"/>
      </w:pPr>
      <w:r>
        <w:rPr>
          <w:rFonts w:ascii="Times New Roman" w:hAnsi="Times New Roman" w:cs="Times New Roman"/>
          <w:sz w:val="24"/>
          <w:szCs w:val="24"/>
          <w:b/>
          <w:i/>
        </w:rPr>
        <w:t xml:space="preserve">Paragraph 4: K-12 Homelessness</w:t>
      </w:r>
    </w:p>
    <w:p>
      <w:pPr>
        <w:spacing w:line="480" w:lineRule="auto"/>
      </w:pPr>
      <w:r>
        <w:rPr>
          <w:rFonts w:ascii="Times New Roman" w:hAnsi="Times New Roman" w:cs="Times New Roman"/>
          <w:sz w:val="24"/>
          <w:szCs w:val="24"/>
        </w:rPr>
        <w:t xml:space="preserve">Discuss how student homelessness shows that Long Island homelessness may be less visible than street homelessness, but still exists within family and school systems.</w:t>
      </w:r>
    </w:p>
    <w:p>
      <w:pPr>
        <w:spacing w:before="120" w:after="0" w:line="480" w:lineRule="auto"/>
      </w:pPr>
      <w:r>
        <w:rPr>
          <w:rFonts w:ascii="Times New Roman" w:hAnsi="Times New Roman" w:cs="Times New Roman"/>
          <w:sz w:val="24"/>
          <w:szCs w:val="24"/>
          <w:b/>
          <w:i/>
        </w:rPr>
        <w:t xml:space="preserve">Paragraph 5: Policy Implications</w:t>
      </w:r>
    </w:p>
    <w:p>
      <w:pPr>
        <w:spacing w:line="480" w:lineRule="auto"/>
      </w:pPr>
      <w:r>
        <w:rPr>
          <w:rFonts w:ascii="Times New Roman" w:hAnsi="Times New Roman" w:cs="Times New Roman"/>
          <w:sz w:val="24"/>
          <w:szCs w:val="24"/>
        </w:rPr>
        <w:t xml:space="preserve">Explain that the results can help identify high-need / low-access tracts and support outreach, mobile services, funding priorities, transportation support, and resource planning.</w:t>
      </w:r>
    </w:p>
    <w:p>
      <w:pPr>
        <w:spacing w:before="120" w:after="0" w:line="480" w:lineRule="auto"/>
      </w:pPr>
      <w:r>
        <w:rPr>
          <w:rFonts w:ascii="Times New Roman" w:hAnsi="Times New Roman" w:cs="Times New Roman"/>
          <w:sz w:val="24"/>
          <w:szCs w:val="24"/>
          <w:b/>
          <w:i/>
        </w:rPr>
        <w:t xml:space="preserve">Paragraph 6: Limitations</w:t>
      </w:r>
    </w:p>
    <w:p>
      <w:pPr>
        <w:spacing w:line="480" w:lineRule="auto"/>
      </w:pPr>
      <w:r>
        <w:rPr>
          <w:rFonts w:ascii="Times New Roman" w:hAnsi="Times New Roman" w:cs="Times New Roman"/>
          <w:sz w:val="24"/>
          <w:szCs w:val="24"/>
        </w:rPr>
        <w:t xml:space="preserve">Discuss limitations: haversine travel time, eviction placeholder, missing resource capacity/hours/eligibility data, district-level K-12 data, and descriptive rather than causal statistics.</w:t>
      </w:r>
    </w:p>
    <w:p>
      <w:pPr>
        <w:spacing w:before="240" w:after="0" w:line="480" w:lineRule="auto"/>
      </w:pPr>
      <w:r>
        <w:rPr>
          <w:rFonts w:ascii="Times New Roman" w:hAnsi="Times New Roman" w:cs="Times New Roman"/>
          <w:sz w:val="24"/>
          <w:szCs w:val="24"/>
          <w:b/>
        </w:rPr>
        <w:t xml:space="preserve">6. Conclusion</w:t>
      </w:r>
    </w:p>
    <w:p>
      <w:pPr>
        <w:spacing w:before="120" w:after="0" w:line="480" w:lineRule="auto"/>
      </w:pPr>
      <w:r>
        <w:rPr>
          <w:rFonts w:ascii="Times New Roman" w:hAnsi="Times New Roman" w:cs="Times New Roman"/>
          <w:sz w:val="24"/>
          <w:szCs w:val="24"/>
          <w:b/>
          <w:i/>
        </w:rPr>
        <w:t xml:space="preserve">Paragraph 1: Summary of Findings</w:t>
      </w:r>
    </w:p>
    <w:p>
      <w:pPr>
        <w:spacing w:line="480" w:lineRule="auto"/>
      </w:pPr>
      <w:r>
        <w:rPr>
          <w:rFonts w:ascii="Times New Roman" w:hAnsi="Times New Roman" w:cs="Times New Roman"/>
          <w:sz w:val="24"/>
          <w:szCs w:val="24"/>
        </w:rPr>
        <w:t xml:space="preserve">State that Long Island has resources, but access and need factors are only weakly aligned. The drive relationship is significant but weak, while the walk relationship is not significant.</w:t>
      </w:r>
    </w:p>
    <w:p>
      <w:pPr>
        <w:spacing w:before="120" w:after="0" w:line="480" w:lineRule="auto"/>
      </w:pPr>
      <w:r>
        <w:rPr>
          <w:rFonts w:ascii="Times New Roman" w:hAnsi="Times New Roman" w:cs="Times New Roman"/>
          <w:sz w:val="24"/>
          <w:szCs w:val="24"/>
          <w:b/>
          <w:i/>
        </w:rPr>
        <w:t xml:space="preserve">Paragraph 2: Contribution</w:t>
      </w:r>
    </w:p>
    <w:p>
      <w:pPr>
        <w:spacing w:line="480" w:lineRule="auto"/>
      </w:pPr>
      <w:r>
        <w:rPr>
          <w:rFonts w:ascii="Times New Roman" w:hAnsi="Times New Roman" w:cs="Times New Roman"/>
          <w:sz w:val="24"/>
          <w:szCs w:val="24"/>
        </w:rPr>
        <w:t xml:space="preserve">Explain that the paper shifts the evaluation from resource presence to resource effectiveness, using GIS accessibility and mismatch analysis to evaluate suburban homelessness response.</w:t>
      </w:r>
    </w:p>
    <w:p>
      <w:pPr>
        <w:spacing w:before="120" w:after="0" w:line="480" w:lineRule="auto"/>
      </w:pPr>
      <w:r>
        <w:rPr>
          <w:rFonts w:ascii="Times New Roman" w:hAnsi="Times New Roman" w:cs="Times New Roman"/>
          <w:sz w:val="24"/>
          <w:szCs w:val="24"/>
          <w:b/>
          <w:i/>
        </w:rPr>
        <w:t xml:space="preserve">Paragraph 3: Practical Significance</w:t>
      </w:r>
    </w:p>
    <w:p>
      <w:pPr>
        <w:spacing w:line="480" w:lineRule="auto"/>
      </w:pPr>
      <w:r>
        <w:rPr>
          <w:rFonts w:ascii="Times New Roman" w:hAnsi="Times New Roman" w:cs="Times New Roman"/>
          <w:sz w:val="24"/>
          <w:szCs w:val="24"/>
        </w:rPr>
        <w:t xml:space="preserve">Explain that public agencies, nonprofits, schools, and community organizations can use the results to identify local mismatch and guide resource supplementation.</w:t>
      </w:r>
    </w:p>
    <w:p>
      <w:pPr>
        <w:spacing w:before="120" w:after="0" w:line="480" w:lineRule="auto"/>
      </w:pPr>
      <w:r>
        <w:rPr>
          <w:rFonts w:ascii="Times New Roman" w:hAnsi="Times New Roman" w:cs="Times New Roman"/>
          <w:sz w:val="24"/>
          <w:szCs w:val="24"/>
          <w:b/>
          <w:i/>
        </w:rPr>
        <w:t xml:space="preserve">Paragraph 4: Future Research</w:t>
      </w:r>
    </w:p>
    <w:p>
      <w:pPr>
        <w:spacing w:line="480" w:lineRule="auto"/>
      </w:pPr>
      <w:r>
        <w:rPr>
          <w:rFonts w:ascii="Times New Roman" w:hAnsi="Times New Roman" w:cs="Times New Roman"/>
          <w:sz w:val="24"/>
          <w:szCs w:val="24"/>
        </w:rPr>
        <w:t xml:space="preserve">State that future work should add real routing, eviction filings, resource capacity, service hours, eligibility restrictions, language access, and finer-grained outcome data.</w:t>
      </w:r>
    </w:p>
    <w:p>
      <w:pPr>
        <w:spacing w:before="240" w:after="0" w:line="480" w:lineRule="auto"/>
      </w:pPr>
      <w:r>
        <w:rPr>
          <w:rFonts w:ascii="Times New Roman" w:hAnsi="Times New Roman" w:cs="Times New Roman"/>
          <w:sz w:val="24"/>
          <w:szCs w:val="24"/>
          <w:b/>
        </w:rPr>
        <w:t xml:space="preserve">Recommended Figures and Tables for the Paper</w:t>
      </w:r>
    </w:p>
    <w:p>
      <w:pPr>
        <w:spacing w:line="480" w:lineRule="auto"/>
      </w:pPr>
      <w:r>
        <w:rPr>
          <w:rFonts w:ascii="Times New Roman" w:hAnsi="Times New Roman" w:cs="Times New Roman"/>
          <w:sz w:val="24"/>
          <w:szCs w:val="24"/>
        </w:rPr>
        <w:t xml:space="preserve">Recommended figures:</w:t>
      </w:r>
    </w:p>
    <w:p>
      <w:pPr>
        <w:ind w:left="720" w:hanging="360"/>
        <w:spacing w:line="480" w:lineRule="auto"/>
      </w:pPr>
      <w:r>
        <w:rPr>
          <w:rFonts w:ascii="Times New Roman" w:hAnsi="Times New Roman" w:cs="Times New Roman"/>
          <w:sz w:val="24"/>
          <w:szCs w:val="24"/>
        </w:rPr>
        <w:t xml:space="preserve">1. </w:t>
      </w:r>
      <w:r>
        <w:rPr>
          <w:rFonts w:ascii="Courier New" w:hAnsi="Courier New" w:cs="Courier New"/>
          <w:sz w:val="24"/>
          <w:szCs w:val="24"/>
        </w:rPr>
        <w:t xml:space="preserve">figures/fig03_access_need_scatter.png</w:t>
      </w:r>
    </w:p>
    <w:p>
      <w:pPr>
        <w:ind w:left="720" w:hanging="360"/>
        <w:spacing w:line="480" w:lineRule="auto"/>
      </w:pPr>
      <w:r>
        <w:rPr>
          <w:rFonts w:ascii="Times New Roman" w:hAnsi="Times New Roman" w:cs="Times New Roman"/>
          <w:sz w:val="24"/>
          <w:szCs w:val="24"/>
        </w:rPr>
        <w:t xml:space="preserve">2. </w:t>
      </w:r>
      <w:r>
        <w:rPr>
          <w:rFonts w:ascii="Courier New" w:hAnsi="Courier New" w:cs="Courier New"/>
          <w:sz w:val="24"/>
          <w:szCs w:val="24"/>
        </w:rPr>
        <w:t xml:space="preserve">figures/fig02_lisa_counts.png</w:t>
      </w:r>
    </w:p>
    <w:p>
      <w:pPr>
        <w:ind w:left="720" w:hanging="360"/>
        <w:spacing w:line="480" w:lineRule="auto"/>
      </w:pPr>
      <w:r>
        <w:rPr>
          <w:rFonts w:ascii="Times New Roman" w:hAnsi="Times New Roman" w:cs="Times New Roman"/>
          <w:sz w:val="24"/>
          <w:szCs w:val="24"/>
        </w:rPr>
        <w:t xml:space="preserve">3. </w:t>
      </w:r>
      <w:r>
        <w:rPr>
          <w:rFonts w:ascii="Courier New" w:hAnsi="Courier New" w:cs="Courier New"/>
          <w:sz w:val="24"/>
          <w:szCs w:val="24"/>
        </w:rPr>
        <w:t xml:space="preserve">figures/fig06_drive_lisa_map.png</w:t>
      </w:r>
    </w:p>
    <w:p>
      <w:pPr>
        <w:ind w:left="720" w:hanging="360"/>
        <w:spacing w:line="480" w:lineRule="auto"/>
      </w:pPr>
      <w:r>
        <w:rPr>
          <w:rFonts w:ascii="Times New Roman" w:hAnsi="Times New Roman" w:cs="Times New Roman"/>
          <w:sz w:val="24"/>
          <w:szCs w:val="24"/>
        </w:rPr>
        <w:t xml:space="preserve">4. </w:t>
      </w:r>
      <w:r>
        <w:rPr>
          <w:rFonts w:ascii="Courier New" w:hAnsi="Courier New" w:cs="Courier New"/>
          <w:sz w:val="24"/>
          <w:szCs w:val="24"/>
        </w:rPr>
        <w:t xml:space="preserve">figures/fig05_top_k12_homeless_districts.png</w:t>
      </w:r>
    </w:p>
    <w:p>
      <w:pPr>
        <w:spacing w:line="480" w:lineRule="auto"/>
      </w:pPr>
      <w:r>
        <w:rPr>
          <w:rFonts w:ascii="Times New Roman" w:hAnsi="Times New Roman" w:cs="Times New Roman"/>
          <w:sz w:val="24"/>
          <w:szCs w:val="24"/>
        </w:rPr>
        <w:t xml:space="preserve">Recommended tables:</w:t>
      </w:r>
    </w:p>
    <w:p>
      <w:pPr>
        <w:ind w:left="720" w:hanging="360"/>
        <w:spacing w:line="480" w:lineRule="auto"/>
      </w:pPr>
      <w:r>
        <w:rPr>
          <w:rFonts w:ascii="Times New Roman" w:hAnsi="Times New Roman" w:cs="Times New Roman"/>
          <w:sz w:val="24"/>
          <w:szCs w:val="24"/>
        </w:rPr>
        <w:t xml:space="preserve">1. </w:t>
      </w:r>
      <w:r>
        <w:rPr>
          <w:rFonts w:ascii="Courier New" w:hAnsi="Courier New" w:cs="Courier New"/>
          <w:sz w:val="24"/>
          <w:szCs w:val="24"/>
        </w:rPr>
        <w:t xml:space="preserve">tables/table02_validation_gate.csv</w:t>
      </w:r>
    </w:p>
    <w:p>
      <w:pPr>
        <w:ind w:left="720" w:hanging="360"/>
        <w:spacing w:line="480" w:lineRule="auto"/>
      </w:pPr>
      <w:r>
        <w:rPr>
          <w:rFonts w:ascii="Times New Roman" w:hAnsi="Times New Roman" w:cs="Times New Roman"/>
          <w:sz w:val="24"/>
          <w:szCs w:val="24"/>
        </w:rPr>
        <w:t xml:space="preserve">2. </w:t>
      </w:r>
      <w:r>
        <w:rPr>
          <w:rFonts w:ascii="Courier New" w:hAnsi="Courier New" w:cs="Courier New"/>
          <w:sz w:val="24"/>
          <w:szCs w:val="24"/>
        </w:rPr>
        <w:t xml:space="preserve">tables/table03_lisa_counts.csv</w:t>
      </w:r>
    </w:p>
    <w:p>
      <w:pPr>
        <w:ind w:left="720" w:hanging="360"/>
        <w:spacing w:line="480" w:lineRule="auto"/>
      </w:pPr>
      <w:r>
        <w:rPr>
          <w:rFonts w:ascii="Times New Roman" w:hAnsi="Times New Roman" w:cs="Times New Roman"/>
          <w:sz w:val="24"/>
          <w:szCs w:val="24"/>
        </w:rPr>
        <w:t xml:space="preserve">3. </w:t>
      </w:r>
      <w:r>
        <w:rPr>
          <w:rFonts w:ascii="Courier New" w:hAnsi="Courier New" w:cs="Courier New"/>
          <w:sz w:val="24"/>
          <w:szCs w:val="24"/>
        </w:rPr>
        <w:t xml:space="preserve">tables/table05_access_correlations.csv</w:t>
      </w:r>
    </w:p>
    <w:p>
      <w:pPr>
        <w:ind w:left="720" w:hanging="360"/>
        <w:spacing w:line="480" w:lineRule="auto"/>
      </w:pPr>
      <w:r>
        <w:rPr>
          <w:rFonts w:ascii="Times New Roman" w:hAnsi="Times New Roman" w:cs="Times New Roman"/>
          <w:sz w:val="24"/>
          <w:szCs w:val="24"/>
        </w:rPr>
        <w:t xml:space="preserve">4. </w:t>
      </w:r>
      <w:r>
        <w:rPr>
          <w:rFonts w:ascii="Courier New" w:hAnsi="Courier New" w:cs="Courier New"/>
          <w:sz w:val="24"/>
          <w:szCs w:val="24"/>
        </w:rPr>
        <w:t xml:space="preserve">tables/table08_top_k12_homeless_districts.csv</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Resource Presence</dc:title>
  <dc:creator>Codex</dc:creator>
  <cp:lastModifiedBy>Codex</cp:lastModifiedBy>
</cp:coreProperties>
</file>