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444C"/>
          <w:sz w:val="32"/>
          <w:szCs w:val="32"/>
        </w:rPr>
        <w:t xml:space="preserve">Partners Worldwide</w:t>
      </w:r>
    </w:p>
    <w:p>
      <w:pPr>
        <w:spacing w:after="200"/>
      </w:pPr>
      <w:r>
        <w:rPr>
          <w:rFonts w:ascii="Calibri" w:cs="Calibri" w:eastAsia="Calibri" w:hAnsi="Calibri"/>
          <w:b/>
          <w:bCs/>
          <w:color w:val="000000"/>
          <w:sz w:val="26"/>
          <w:szCs w:val="26"/>
        </w:rPr>
        <w:t xml:space="preserve">Access To Capital Summary of Loan Application</w:t>
      </w:r>
    </w:p>
    <w:p>
      <w:pPr>
        <w:spacing w:after="80" w:before="0"/>
      </w:pPr>
      <w:r>
        <w:rPr>
          <w:rFonts w:ascii="Calibri" w:cs="Calibri" w:eastAsia="Calibri" w:hAnsi="Calibri"/>
          <w:b/>
          <w:bCs/>
          <w:i w:val="false"/>
          <w:iCs w:val="false"/>
          <w:color w:val="000000"/>
          <w:sz w:val="22"/>
          <w:szCs w:val="22"/>
        </w:rPr>
        <w:t xml:space="preserve">Applicant (the “LCI”): </w:t>
      </w:r>
      <w:r>
        <w:rPr>
          <w:rFonts w:ascii="Calibri" w:cs="Calibri" w:eastAsia="Calibri" w:hAnsi="Calibri"/>
          <w:b w:val="false"/>
          <w:bCs w:val="false"/>
          <w:i w:val="false"/>
          <w:iCs w:val="false"/>
          <w:color w:val="000000"/>
          <w:sz w:val="22"/>
          <w:szCs w:val="22"/>
        </w:rPr>
        <w:t xml:space="preserve">PEAK Empowerment &amp; Development Foundation</w:t>
      </w:r>
    </w:p>
    <w:p>
      <w:pPr>
        <w:spacing w:after="300" w:before="0"/>
      </w:pPr>
      <w:r>
        <w:rPr>
          <w:rFonts w:ascii="Calibri" w:cs="Calibri" w:eastAsia="Calibri" w:hAnsi="Calibri"/>
          <w:b/>
          <w:bCs/>
          <w:i w:val="false"/>
          <w:iCs w:val="false"/>
          <w:color w:val="000000"/>
          <w:sz w:val="22"/>
          <w:szCs w:val="22"/>
        </w:rPr>
        <w:t xml:space="preserve">Type of funding requested: </w:t>
      </w:r>
      <w:r>
        <w:rPr>
          <w:rFonts w:ascii="Calibri" w:cs="Calibri" w:eastAsia="Calibri" w:hAnsi="Calibri"/>
          <w:b w:val="false"/>
          <w:bCs w:val="false"/>
          <w:i w:val="false"/>
          <w:iCs w:val="false"/>
          <w:color w:val="000000"/>
          <w:sz w:val="22"/>
          <w:szCs w:val="22"/>
        </w:rPr>
        <w:t xml:space="preserve">On-lending / working-capital microfinance facility (SME and smallholder-linked agricultural microloans)</w:t>
      </w:r>
    </w:p>
    <w:p>
      <w:pPr>
        <w:spacing w:after="120"/>
      </w:pPr>
      <w:r>
        <w:rPr>
          <w:rFonts w:ascii="Calibri" w:cs="Calibri" w:eastAsia="Calibri" w:hAnsi="Calibri"/>
          <w:b/>
          <w:bCs/>
          <w:color w:val="00444C"/>
          <w:sz w:val="24"/>
          <w:szCs w:val="24"/>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0" w:before="120"/>
      </w:pPr>
      <w:r>
        <w:rPr>
          <w:rFonts w:ascii="Calibri" w:cs="Calibri" w:eastAsia="Calibri" w:hAnsi="Calibri"/>
          <w:b w:val="false"/>
          <w:bCs w:val="false"/>
          <w:i/>
          <w:iCs/>
          <w:color w:val="FF0000"/>
          <w:sz w:val="22"/>
          <w:szCs w:val="22"/>
        </w:rPr>
        <w:t xml:space="preserve">Note: right-click the table above and choose “Update Field” in Word to populate page numbers.</w:t>
      </w:r>
    </w:p>
    <w:p>
      <w:r>
        <w:br w:type="page"/>
      </w:r>
    </w:p>
    <w:p>
      <w:pPr>
        <w:pStyle w:val="Heading1"/>
        <w:spacing w:after="160" w:before="320"/>
      </w:pPr>
      <w:r>
        <w:rPr>
          <w:rFonts w:ascii="Calibri" w:cs="Calibri" w:eastAsia="Calibri" w:hAnsi="Calibri"/>
          <w:b/>
          <w:bCs/>
          <w:color w:val="00444C"/>
          <w:sz w:val="26"/>
          <w:szCs w:val="26"/>
        </w:rPr>
        <w:t xml:space="preserve">Summary of the Application</w:t>
      </w:r>
    </w:p>
    <w:p>
      <w:pPr>
        <w:spacing w:after="160" w:before="0"/>
      </w:pPr>
      <w:r>
        <w:rPr>
          <w:rFonts w:ascii="Calibri" w:cs="Calibri" w:eastAsia="Calibri" w:hAnsi="Calibri"/>
          <w:b w:val="false"/>
          <w:bCs w:val="false"/>
          <w:i w:val="false"/>
          <w:iCs w:val="false"/>
          <w:color w:val="000000"/>
          <w:sz w:val="22"/>
          <w:szCs w:val="22"/>
        </w:rPr>
        <w:t xml:space="preserve">This application recommends a </w:t>
      </w:r>
      <w:r>
        <w:rPr>
          <w:rFonts w:ascii="Calibri" w:cs="Calibri" w:eastAsia="Calibri" w:hAnsi="Calibri"/>
          <w:b/>
          <w:bCs/>
          <w:i w:val="false"/>
          <w:iCs w:val="false"/>
          <w:color w:val="000000"/>
          <w:sz w:val="22"/>
          <w:szCs w:val="22"/>
        </w:rPr>
        <w:t xml:space="preserve">US$280,000</w:t>
      </w:r>
      <w:r>
        <w:rPr>
          <w:rFonts w:ascii="Calibri" w:cs="Calibri" w:eastAsia="Calibri" w:hAnsi="Calibri"/>
          <w:b w:val="false"/>
          <w:bCs w:val="false"/>
          <w:i w:val="false"/>
          <w:iCs w:val="false"/>
          <w:color w:val="000000"/>
          <w:sz w:val="22"/>
          <w:szCs w:val="22"/>
        </w:rPr>
        <w:t xml:space="preserve"> loan facility to PEAK Empowerment &amp; Development Foundation (“PEAK”), a Nigerian NGO-MFI delivering microfinance, agency banking and business-development support to underserved entrepreneurs across the FCT, Niger, Nasarawa and Benue states. PEAK was founded in 2021 and has been a PW-supported LCI since 2023. It is led by COO Mr. Abiodun Yusuph and a staff of 75; </w:t>
      </w:r>
      <w:r>
        <w:rPr>
          <w:rFonts w:ascii="Calibri" w:cs="Calibri" w:eastAsia="Calibri" w:hAnsi="Calibri"/>
          <w:b w:val="false"/>
          <w:bCs w:val="false"/>
          <w:i w:val="false"/>
          <w:iCs w:val="false"/>
          <w:color w:val="FF0000"/>
          <w:sz w:val="22"/>
          <w:szCs w:val="22"/>
        </w:rPr>
        <w:t xml:space="preserve">PEAK’s Board of Directors composition has not yet been confirmed for this application</w:t>
      </w:r>
      <w:r>
        <w:rPr>
          <w:rFonts w:ascii="Calibri" w:cs="Calibri" w:eastAsia="Calibri" w:hAnsi="Calibri"/>
          <w:b w:val="false"/>
          <w:bCs w:val="false"/>
          <w:i w:val="false"/>
          <w:iCs w:val="false"/>
          <w:color w:val="000000"/>
          <w:sz w:val="22"/>
          <w:szCs w:val="22"/>
        </w:rPr>
        <w:t xml:space="preserve">.</w:t>
      </w:r>
    </w:p>
    <w:p>
      <w:pPr>
        <w:spacing w:after="160" w:before="0"/>
      </w:pPr>
      <w:r>
        <w:rPr>
          <w:rFonts w:ascii="Calibri" w:cs="Calibri" w:eastAsia="Calibri" w:hAnsi="Calibri"/>
          <w:b w:val="false"/>
          <w:bCs w:val="false"/>
          <w:i w:val="false"/>
          <w:iCs w:val="false"/>
          <w:color w:val="000000"/>
          <w:sz w:val="22"/>
          <w:szCs w:val="22"/>
        </w:rPr>
        <w:t xml:space="preserve">Partners Worldwide previously extended PEAK a US$100,000 facility, which PEAK fully deployed into a US$1.4 million loan book at a 97% repayment rate, remaining in good standing throughout. That facility is credited with 25,971 businesses created, 25,820 jobs created and 38,305 clients reached, over 80% of them women.</w:t>
      </w:r>
    </w:p>
    <w:p>
      <w:pPr>
        <w:spacing w:after="160" w:before="0"/>
      </w:pPr>
      <w:r>
        <w:rPr>
          <w:rFonts w:ascii="Calibri" w:cs="Calibri" w:eastAsia="Calibri" w:hAnsi="Calibri"/>
          <w:b w:val="false"/>
          <w:bCs w:val="false"/>
          <w:i w:val="false"/>
          <w:iCs w:val="false"/>
          <w:color w:val="000000"/>
          <w:sz w:val="22"/>
          <w:szCs w:val="22"/>
        </w:rPr>
        <w:t xml:space="preserve">Building on this track record, the proposed follow-on facility would expand PEAK’s on-lending capacity for micro and small businesses, women-owned enterprises, youth entrepreneurs and rural traders.</w:t>
      </w:r>
    </w:p>
    <w:p>
      <w:pPr>
        <w:spacing w:after="160" w:before="0"/>
      </w:pPr>
      <w:r>
        <w:rPr>
          <w:rFonts w:ascii="Calibri" w:cs="Calibri" w:eastAsia="Calibri" w:hAnsi="Calibri"/>
          <w:b w:val="false"/>
          <w:bCs w:val="false"/>
          <w:i/>
          <w:iCs/>
          <w:color w:val="FF0000"/>
          <w:sz w:val="22"/>
          <w:szCs w:val="22"/>
        </w:rPr>
        <w:t xml:space="preserve">Note: PEAK’s 2026 concept note states US$300,000 in its header but US$280,000 in both its “Proposed New Facility” and “Conclusion” sections — confirm the authoritative figure before this application proceeds.</w:t>
      </w:r>
    </w:p>
    <w:p>
      <w:pPr>
        <w:pStyle w:val="Heading1"/>
        <w:spacing w:after="160" w:before="320"/>
      </w:pPr>
      <w:r>
        <w:rPr>
          <w:rFonts w:ascii="Calibri" w:cs="Calibri" w:eastAsia="Calibri" w:hAnsi="Calibri"/>
          <w:b/>
          <w:bCs/>
          <w:color w:val="00444C"/>
          <w:sz w:val="26"/>
          <w:szCs w:val="26"/>
        </w:rPr>
        <w:t xml:space="preserve">Recommendation from the PM</w:t>
      </w:r>
    </w:p>
    <w:p>
      <w:pPr>
        <w:spacing w:after="160" w:before="0"/>
      </w:pPr>
      <w:r>
        <w:rPr>
          <w:rFonts w:ascii="Calibri" w:cs="Calibri" w:eastAsia="Calibri" w:hAnsi="Calibri"/>
          <w:b/>
          <w:bCs/>
          <w:i w:val="false"/>
          <w:iCs w:val="false"/>
          <w:color w:val="FF0000"/>
          <w:sz w:val="22"/>
          <w:szCs w:val="22"/>
        </w:rPr>
        <w:t xml:space="preserve">[PM NAME]</w:t>
      </w:r>
      <w:r>
        <w:rPr>
          <w:rFonts w:ascii="Calibri" w:cs="Calibri" w:eastAsia="Calibri" w:hAnsi="Calibri"/>
          <w:b w:val="false"/>
          <w:bCs w:val="false"/>
          <w:i w:val="false"/>
          <w:iCs w:val="false"/>
          <w:color w:val="000000"/>
          <w:sz w:val="22"/>
          <w:szCs w:val="22"/>
        </w:rPr>
        <w:t xml:space="preserve"> has been a Partnership Manager with Partners Worldwide since </w:t>
      </w:r>
      <w:r>
        <w:rPr>
          <w:rFonts w:ascii="Calibri" w:cs="Calibri" w:eastAsia="Calibri" w:hAnsi="Calibri"/>
          <w:b/>
          <w:bCs/>
          <w:i w:val="false"/>
          <w:iCs w:val="false"/>
          <w:color w:val="FF0000"/>
          <w:sz w:val="22"/>
          <w:szCs w:val="22"/>
        </w:rPr>
        <w:t xml:space="preserve">[DATE]</w:t>
      </w:r>
      <w:r>
        <w:rPr>
          <w:rFonts w:ascii="Calibri" w:cs="Calibri" w:eastAsia="Calibri" w:hAnsi="Calibri"/>
          <w:b w:val="false"/>
          <w:bCs w:val="false"/>
          <w:i w:val="false"/>
          <w:iCs w:val="false"/>
          <w:color w:val="000000"/>
          <w:sz w:val="22"/>
          <w:szCs w:val="22"/>
        </w:rPr>
        <w:t xml:space="preserve"> and is based in </w:t>
      </w:r>
      <w:r>
        <w:rPr>
          <w:rFonts w:ascii="Calibri" w:cs="Calibri" w:eastAsia="Calibri" w:hAnsi="Calibri"/>
          <w:b/>
          <w:bCs/>
          <w:i w:val="false"/>
          <w:iCs w:val="false"/>
          <w:color w:val="FF0000"/>
          <w:sz w:val="22"/>
          <w:szCs w:val="22"/>
        </w:rPr>
        <w:t xml:space="preserve">[CITY]</w:t>
      </w:r>
      <w:r>
        <w:rPr>
          <w:rFonts w:ascii="Calibri" w:cs="Calibri" w:eastAsia="Calibri" w:hAnsi="Calibri"/>
          <w:b w:val="false"/>
          <w:bCs w:val="false"/>
          <w:i w:val="false"/>
          <w:iCs w:val="false"/>
          <w:color w:val="000000"/>
          <w:sz w:val="22"/>
          <w:szCs w:val="22"/>
        </w:rPr>
        <w:t xml:space="preserve">, Nigeria. [PM NAME] works closely with COO Mr. Abiodun Yusuph and PEAK’s management team. </w:t>
      </w:r>
      <w:r>
        <w:rPr>
          <w:rFonts w:ascii="Calibri" w:cs="Calibri" w:eastAsia="Calibri" w:hAnsi="Calibri"/>
          <w:b w:val="false"/>
          <w:bCs w:val="false"/>
          <w:i w:val="false"/>
          <w:iCs w:val="false"/>
          <w:color w:val="FF0000"/>
          <w:sz w:val="22"/>
          <w:szCs w:val="22"/>
        </w:rPr>
        <w:t xml:space="preserve">BOD composition to be confirmed — PEAK’s intake form did not specify its Board of Directors.</w:t>
      </w:r>
    </w:p>
    <w:p>
      <w:pPr>
        <w:spacing w:after="160" w:before="0"/>
      </w:pPr>
      <w:r>
        <w:rPr>
          <w:rFonts w:ascii="Calibri" w:cs="Calibri" w:eastAsia="Calibri" w:hAnsi="Calibri"/>
          <w:b/>
          <w:bCs/>
          <w:i w:val="false"/>
          <w:iCs w:val="false"/>
          <w:color w:val="FF0000"/>
          <w:sz w:val="22"/>
          <w:szCs w:val="22"/>
        </w:rPr>
        <w:t xml:space="preserve">[REGIONAL REPRESENTATIVE NAME]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color w:val="FF0000"/>
          <w:sz w:val="22"/>
          <w:szCs w:val="22"/>
        </w:rPr>
        <w:t xml:space="preserve">[Region]</w:t>
      </w:r>
      <w:r>
        <w:rPr>
          <w:rFonts w:ascii="Calibri" w:cs="Calibri" w:eastAsia="Calibri" w:hAnsi="Calibri"/>
          <w:b w:val="false"/>
          <w:bCs w:val="false"/>
          <w:i w:val="false"/>
          <w:iCs w:val="false"/>
          <w:color w:val="000000"/>
          <w:sz w:val="22"/>
          <w:szCs w:val="22"/>
        </w:rPr>
        <w:t xml:space="preserve"> Regional Director, is </w:t>
      </w:r>
      <w:r>
        <w:rPr>
          <w:rFonts w:ascii="Calibri" w:cs="Calibri" w:eastAsia="Calibri" w:hAnsi="Calibri"/>
          <w:b/>
          <w:bCs/>
          <w:i w:val="false"/>
          <w:iCs w:val="false"/>
          <w:color w:val="FF0000"/>
          <w:sz w:val="22"/>
          <w:szCs w:val="22"/>
        </w:rPr>
        <w:t xml:space="preserve">[supportive / not yet confirmed]</w:t>
      </w:r>
      <w:r>
        <w:rPr>
          <w:rFonts w:ascii="Calibri" w:cs="Calibri" w:eastAsia="Calibri" w:hAnsi="Calibri"/>
          <w:b w:val="false"/>
          <w:bCs w:val="false"/>
          <w:i w:val="false"/>
          <w:iCs w:val="false"/>
          <w:color w:val="000000"/>
          <w:sz w:val="22"/>
          <w:szCs w:val="22"/>
        </w:rPr>
        <w:t xml:space="preserve"> of this request.</w:t>
      </w:r>
    </w:p>
    <w:p>
      <w:pPr>
        <w:spacing w:after="160" w:before="0"/>
      </w:pPr>
      <w:r>
        <w:rPr>
          <w:rFonts w:ascii="Calibri" w:cs="Calibri" w:eastAsia="Calibri" w:hAnsi="Calibri"/>
          <w:b w:val="false"/>
          <w:bCs w:val="false"/>
          <w:i w:val="false"/>
          <w:iCs w:val="false"/>
          <w:color w:val="000000"/>
          <w:sz w:val="22"/>
          <w:szCs w:val="22"/>
        </w:rPr>
        <w:t xml:space="preserve">[PM NAME] wrote the following statement on behalf of the PEAK application:</w:t>
      </w:r>
    </w:p>
    <w:p>
      <w:pPr>
        <w:spacing w:after="80" w:before="0"/>
      </w:pPr>
      <w:r>
        <w:rPr>
          <w:rFonts w:ascii="Calibri" w:cs="Calibri" w:eastAsia="Calibri" w:hAnsi="Calibri"/>
          <w:b w:val="false"/>
          <w:bCs w:val="false"/>
          <w:i/>
          <w:iCs/>
          <w:color w:val="FF0000"/>
          <w:sz w:val="22"/>
          <w:szCs w:val="22"/>
        </w:rPr>
        <w:t xml:space="preserve">[PM TO DRAFT — this section requires the Partnership Manager’s own first-person endorsement and cannot be completed from the concept note and one-pager alone. The factual basis below, drawn from PEAK’s own materials, may help in drafting it:</w:t>
      </w:r>
    </w:p>
    <w:p>
      <w:pPr>
        <w:pStyle w:val="ListParagraph"/>
        <w:numPr>
          <w:ilvl w:val="0"/>
          <w:numId w:val="1"/>
        </w:numPr>
        <w:spacing w:after="80"/>
      </w:pPr>
      <w:r>
        <w:rPr>
          <w:rFonts w:ascii="Calibri" w:cs="Calibri" w:eastAsia="Calibri" w:hAnsi="Calibri"/>
          <w:b w:val="false"/>
          <w:bCs w:val="false"/>
          <w:i/>
          <w:iCs/>
          <w:color w:val="FF0000"/>
          <w:sz w:val="20"/>
          <w:szCs w:val="20"/>
        </w:rPr>
        <w:t xml:space="preserve">PEAK’s track record on the previous US$100,000 facility: 97% repayment, US$1.4 million disbursed, 25,971 businesses created, 25,820 jobs created, 38,305 clients reached, 80%+ women.</w:t>
      </w:r>
    </w:p>
    <w:p>
      <w:pPr>
        <w:pStyle w:val="ListParagraph"/>
        <w:numPr>
          <w:ilvl w:val="0"/>
          <w:numId w:val="1"/>
        </w:numPr>
        <w:spacing w:after="80"/>
      </w:pPr>
      <w:r>
        <w:rPr>
          <w:rFonts w:ascii="Calibri" w:cs="Calibri" w:eastAsia="Calibri" w:hAnsi="Calibri"/>
          <w:b w:val="false"/>
          <w:bCs w:val="false"/>
          <w:i/>
          <w:iCs/>
          <w:color w:val="FF0000"/>
          <w:sz w:val="20"/>
          <w:szCs w:val="20"/>
        </w:rPr>
        <w:t xml:space="preserve">PEAK’s three-pillar model (access to finance, technology and markets) and its RDFS digital-inclusion strategy, targeting 20,000 rural women and artisans.</w:t>
      </w:r>
    </w:p>
    <w:p>
      <w:pPr>
        <w:pStyle w:val="ListParagraph"/>
        <w:numPr>
          <w:ilvl w:val="0"/>
          <w:numId w:val="1"/>
        </w:numPr>
        <w:spacing w:after="80"/>
      </w:pPr>
      <w:r>
        <w:rPr>
          <w:rFonts w:ascii="Calibri" w:cs="Calibri" w:eastAsia="Calibri" w:hAnsi="Calibri"/>
          <w:b w:val="false"/>
          <w:bCs w:val="false"/>
          <w:i/>
          <w:iCs/>
          <w:color w:val="FF0000"/>
          <w:sz w:val="20"/>
          <w:szCs w:val="20"/>
        </w:rPr>
        <w:t xml:space="preserve">The BA team’s current assignment and level of involvement with PEAK has not been confirmed internally.</w:t>
      </w:r>
    </w:p>
    <w:p>
      <w:pPr>
        <w:pStyle w:val="Heading1"/>
        <w:spacing w:after="160" w:before="320"/>
      </w:pPr>
      <w:r>
        <w:rPr>
          <w:rFonts w:ascii="Calibri" w:cs="Calibri" w:eastAsia="Calibri" w:hAnsi="Calibri"/>
          <w:b/>
          <w:bCs/>
          <w:color w:val="00444C"/>
          <w:sz w:val="26"/>
          <w:szCs w:val="26"/>
        </w:rPr>
        <w:t xml:space="preserve">BA Team Recommendations and Comments</w:t>
      </w:r>
    </w:p>
    <w:p>
      <w:pPr>
        <w:spacing w:after="160" w:before="0"/>
      </w:pPr>
      <w:r>
        <w:rPr>
          <w:rFonts w:ascii="Calibri" w:cs="Calibri" w:eastAsia="Calibri" w:hAnsi="Calibri"/>
          <w:b w:val="false"/>
          <w:bCs w:val="false"/>
          <w:i w:val="false"/>
          <w:iCs w:val="false"/>
          <w:color w:val="FF0000"/>
          <w:sz w:val="22"/>
          <w:szCs w:val="22"/>
        </w:rPr>
        <w:t xml:space="preserve">Has the BA Team completed PEAK’s Letter of Recommendation? [TO CONFIRM — this is a mandatory requirement before this application can be considered by the Staff Capital Committee.]</w:t>
      </w:r>
    </w:p>
    <w:p>
      <w:pPr>
        <w:spacing w:after="160" w:before="0"/>
      </w:pPr>
      <w:r>
        <w:rPr>
          <w:rFonts w:ascii="Calibri" w:cs="Calibri" w:eastAsia="Calibri" w:hAnsi="Calibri"/>
          <w:b w:val="false"/>
          <w:bCs w:val="false"/>
          <w:i w:val="false"/>
          <w:iCs w:val="false"/>
          <w:color w:val="000000"/>
          <w:sz w:val="22"/>
          <w:szCs w:val="22"/>
        </w:rPr>
        <w:t xml:space="preserve">Comments supplied by the BA Team:</w:t>
      </w:r>
    </w:p>
    <w:p>
      <w:pPr>
        <w:spacing w:after="160" w:before="0"/>
      </w:pPr>
      <w:r>
        <w:rPr>
          <w:rFonts w:ascii="Calibri" w:cs="Calibri" w:eastAsia="Calibri" w:hAnsi="Calibri"/>
          <w:b w:val="false"/>
          <w:bCs w:val="false"/>
          <w:i/>
          <w:iCs/>
          <w:color w:val="FF0000"/>
          <w:sz w:val="22"/>
          <w:szCs w:val="22"/>
        </w:rPr>
        <w:t xml:space="preserve">None available in the source materials reviewed for this application. Per PEAK’s loan concept note, the BA team’s current assignment and level of involvement has not yet been confirmed internally — note here how PM–BA discussions on this proposed facility have gone, or attach the BA Team’s written comments once received.</w:t>
      </w:r>
    </w:p>
    <w:p>
      <w:pPr>
        <w:pStyle w:val="Heading1"/>
        <w:spacing w:after="160" w:before="320"/>
      </w:pPr>
      <w:r>
        <w:rPr>
          <w:rFonts w:ascii="Calibri" w:cs="Calibri" w:eastAsia="Calibri" w:hAnsi="Calibri"/>
          <w:b/>
          <w:bCs/>
          <w:color w:val="00444C"/>
          <w:sz w:val="26"/>
          <w:szCs w:val="26"/>
        </w:rPr>
        <w:t xml:space="preserve">Proposed Funding Terms</w:t>
      </w:r>
    </w:p>
    <w:p>
      <w:pPr>
        <w:spacing w:after="80" w:before="0"/>
      </w:pPr>
      <w:r>
        <w:rPr>
          <w:rFonts w:ascii="Calibri" w:cs="Calibri" w:eastAsia="Calibri" w:hAnsi="Calibri"/>
          <w:b/>
          <w:bCs/>
          <w:i w:val="false"/>
          <w:iCs w:val="false"/>
          <w:color w:val="000000"/>
          <w:sz w:val="22"/>
          <w:szCs w:val="22"/>
        </w:rPr>
        <w:t xml:space="preserve">Borrower: </w:t>
      </w:r>
      <w:r>
        <w:rPr>
          <w:rFonts w:ascii="Calibri" w:cs="Calibri" w:eastAsia="Calibri" w:hAnsi="Calibri"/>
          <w:b w:val="false"/>
          <w:bCs w:val="false"/>
          <w:i w:val="false"/>
          <w:iCs w:val="false"/>
          <w:color w:val="000000"/>
          <w:sz w:val="22"/>
          <w:szCs w:val="22"/>
        </w:rPr>
        <w:t xml:space="preserve">PEAK Empowerment &amp; Development Foundation</w:t>
      </w:r>
    </w:p>
    <w:p>
      <w:pPr>
        <w:spacing w:after="80" w:before="0"/>
      </w:pPr>
      <w:r>
        <w:rPr>
          <w:rFonts w:ascii="Calibri" w:cs="Calibri" w:eastAsia="Calibri" w:hAnsi="Calibri"/>
          <w:b/>
          <w:bCs/>
          <w:i w:val="false"/>
          <w:iCs w:val="false"/>
          <w:color w:val="000000"/>
          <w:sz w:val="22"/>
          <w:szCs w:val="22"/>
        </w:rPr>
        <w:t xml:space="preserve">Amount: </w:t>
      </w:r>
      <w:r>
        <w:rPr>
          <w:rFonts w:ascii="Calibri" w:cs="Calibri" w:eastAsia="Calibri" w:hAnsi="Calibri"/>
          <w:b w:val="false"/>
          <w:bCs w:val="false"/>
          <w:i w:val="false"/>
          <w:iCs w:val="false"/>
          <w:color w:val="000000"/>
          <w:sz w:val="22"/>
          <w:szCs w:val="22"/>
        </w:rPr>
        <w:t xml:space="preserve">US$280,000</w:t>
      </w:r>
      <w:r>
        <w:rPr>
          <w:rFonts w:ascii="Calibri" w:cs="Calibri" w:eastAsia="Calibri" w:hAnsi="Calibri"/>
          <w:b w:val="false"/>
          <w:bCs w:val="false"/>
          <w:i w:val="false"/>
          <w:iCs w:val="false"/>
          <w:color w:val="FF0000"/>
          <w:sz w:val="22"/>
          <w:szCs w:val="22"/>
        </w:rPr>
        <w:t xml:space="preserve">  [PEAK’s concept note header states US$300,000 — confirm authoritative figure]</w:t>
      </w:r>
    </w:p>
    <w:p>
      <w:pPr>
        <w:spacing w:after="80" w:before="0"/>
      </w:pPr>
      <w:r>
        <w:rPr>
          <w:rFonts w:ascii="Calibri" w:cs="Calibri" w:eastAsia="Calibri" w:hAnsi="Calibri"/>
          <w:b/>
          <w:bCs/>
          <w:i w:val="false"/>
          <w:iCs w:val="false"/>
          <w:color w:val="000000"/>
          <w:sz w:val="22"/>
          <w:szCs w:val="22"/>
        </w:rPr>
        <w:t xml:space="preserve">Distributions: </w:t>
      </w:r>
      <w:r>
        <w:rPr>
          <w:rFonts w:ascii="Calibri" w:cs="Calibri" w:eastAsia="Calibri" w:hAnsi="Calibri"/>
          <w:b w:val="false"/>
          <w:bCs w:val="false"/>
          <w:i w:val="false"/>
          <w:iCs w:val="false"/>
          <w:color w:val="FF0000"/>
          <w:sz w:val="22"/>
          <w:szCs w:val="22"/>
        </w:rPr>
        <w:t xml:space="preserve">[TO CONFIRM — tranche / disbursement schedule not specified in source materials]</w:t>
      </w:r>
    </w:p>
    <w:p>
      <w:pPr>
        <w:spacing w:after="80" w:before="0"/>
      </w:pPr>
      <w:r>
        <w:rPr>
          <w:rFonts w:ascii="Calibri" w:cs="Calibri" w:eastAsia="Calibri" w:hAnsi="Calibri"/>
          <w:b/>
          <w:bCs/>
          <w:i w:val="false"/>
          <w:iCs w:val="false"/>
          <w:color w:val="000000"/>
          <w:sz w:val="22"/>
          <w:szCs w:val="22"/>
        </w:rPr>
        <w:t xml:space="preserve">Proposed PW Interest Rate: </w:t>
      </w:r>
      <w:r>
        <w:rPr>
          <w:rFonts w:ascii="Calibri" w:cs="Calibri" w:eastAsia="Calibri" w:hAnsi="Calibri"/>
          <w:b w:val="false"/>
          <w:bCs w:val="false"/>
          <w:i w:val="false"/>
          <w:iCs w:val="false"/>
          <w:color w:val="FF0000"/>
          <w:sz w:val="22"/>
          <w:szCs w:val="22"/>
        </w:rPr>
        <w:t xml:space="preserve">[TO CONFIRM]</w:t>
      </w:r>
    </w:p>
    <w:p>
      <w:pPr>
        <w:spacing w:after="80" w:before="0"/>
      </w:pPr>
      <w:r>
        <w:rPr>
          <w:rFonts w:ascii="Calibri" w:cs="Calibri" w:eastAsia="Calibri" w:hAnsi="Calibri"/>
          <w:b/>
          <w:bCs/>
          <w:i w:val="false"/>
          <w:iCs w:val="false"/>
          <w:color w:val="000000"/>
          <w:sz w:val="22"/>
          <w:szCs w:val="22"/>
        </w:rPr>
        <w:t xml:space="preserve">Repayment: </w:t>
      </w:r>
      <w:r>
        <w:rPr>
          <w:rFonts w:ascii="Calibri" w:cs="Calibri" w:eastAsia="Calibri" w:hAnsi="Calibri"/>
          <w:b w:val="false"/>
          <w:bCs w:val="false"/>
          <w:i w:val="false"/>
          <w:iCs w:val="false"/>
          <w:color w:val="000000"/>
          <w:sz w:val="22"/>
          <w:szCs w:val="22"/>
        </w:rPr>
        <w:t xml:space="preserve">3-year tenor with a 6-month moratorium, quarterly repayments thereafter.</w:t>
      </w:r>
    </w:p>
    <w:p>
      <w:pPr>
        <w:spacing w:after="80" w:before="0"/>
      </w:pPr>
      <w:r>
        <w:rPr>
          <w:rFonts w:ascii="Calibri" w:cs="Calibri" w:eastAsia="Calibri" w:hAnsi="Calibri"/>
          <w:b/>
          <w:bCs/>
          <w:i w:val="false"/>
          <w:iCs w:val="false"/>
          <w:color w:val="000000"/>
          <w:sz w:val="22"/>
          <w:szCs w:val="22"/>
        </w:rPr>
        <w:t xml:space="preserve">Collateral: </w:t>
      </w:r>
      <w:r>
        <w:rPr>
          <w:rFonts w:ascii="Calibri" w:cs="Calibri" w:eastAsia="Calibri" w:hAnsi="Calibri"/>
          <w:b w:val="false"/>
          <w:bCs w:val="false"/>
          <w:i w:val="false"/>
          <w:iCs w:val="false"/>
          <w:color w:val="FF0000"/>
          <w:sz w:val="22"/>
          <w:szCs w:val="22"/>
        </w:rPr>
        <w:t xml:space="preserve">[TO CONFIRM]</w:t>
      </w:r>
    </w:p>
    <w:p>
      <w:pPr>
        <w:spacing w:after="80" w:before="0"/>
      </w:pPr>
      <w:r>
        <w:rPr>
          <w:rFonts w:ascii="Calibri" w:cs="Calibri" w:eastAsia="Calibri" w:hAnsi="Calibri"/>
          <w:b/>
          <w:bCs/>
          <w:i w:val="false"/>
          <w:iCs w:val="false"/>
          <w:color w:val="000000"/>
          <w:sz w:val="22"/>
          <w:szCs w:val="22"/>
        </w:rPr>
        <w:t xml:space="preserve">Guarantors: </w:t>
      </w:r>
      <w:r>
        <w:rPr>
          <w:rFonts w:ascii="Calibri" w:cs="Calibri" w:eastAsia="Calibri" w:hAnsi="Calibri"/>
          <w:b w:val="false"/>
          <w:bCs w:val="false"/>
          <w:i w:val="false"/>
          <w:iCs w:val="false"/>
          <w:color w:val="FF0000"/>
          <w:sz w:val="22"/>
          <w:szCs w:val="22"/>
        </w:rPr>
        <w:t xml:space="preserve">[TO CONFIRM]</w:t>
      </w:r>
    </w:p>
    <w:p>
      <w:pPr>
        <w:spacing w:after="80" w:before="0"/>
      </w:pPr>
      <w:r>
        <w:rPr>
          <w:rFonts w:ascii="Calibri" w:cs="Calibri" w:eastAsia="Calibri" w:hAnsi="Calibri"/>
          <w:b/>
          <w:bCs/>
          <w:i w:val="false"/>
          <w:iCs w:val="false"/>
          <w:color w:val="000000"/>
          <w:sz w:val="22"/>
          <w:szCs w:val="22"/>
        </w:rPr>
        <w:t xml:space="preserve">Other Loan Conditions: </w:t>
      </w:r>
      <w:r>
        <w:rPr>
          <w:rFonts w:ascii="Calibri" w:cs="Calibri" w:eastAsia="Calibri" w:hAnsi="Calibri"/>
          <w:b w:val="false"/>
          <w:bCs w:val="false"/>
          <w:i w:val="false"/>
          <w:iCs w:val="false"/>
          <w:color w:val="FF0000"/>
          <w:sz w:val="22"/>
          <w:szCs w:val="22"/>
        </w:rPr>
        <w:t xml:space="preserve">[TO CONFIRM — e.g. loan-loss reserve requirements, reporting covenants tied to the repayment schedule]</w:t>
      </w:r>
    </w:p>
    <w:p>
      <w:pPr>
        <w:pStyle w:val="Heading1"/>
        <w:spacing w:after="160" w:before="320"/>
      </w:pPr>
      <w:r>
        <w:rPr>
          <w:rFonts w:ascii="Calibri" w:cs="Calibri" w:eastAsia="Calibri" w:hAnsi="Calibri"/>
          <w:b/>
          <w:bCs/>
          <w:color w:val="00444C"/>
          <w:sz w:val="26"/>
          <w:szCs w:val="26"/>
        </w:rPr>
        <w:t xml:space="preserve">Use of the Funds &amp; Social Impact</w:t>
      </w:r>
    </w:p>
    <w:p>
      <w:pPr>
        <w:spacing w:after="160" w:before="0"/>
      </w:pPr>
      <w:r>
        <w:rPr>
          <w:rFonts w:ascii="Calibri" w:cs="Calibri" w:eastAsia="Calibri" w:hAnsi="Calibri"/>
          <w:b w:val="false"/>
          <w:bCs w:val="false"/>
          <w:i w:val="false"/>
          <w:iCs w:val="false"/>
          <w:color w:val="000000"/>
          <w:sz w:val="22"/>
          <w:szCs w:val="22"/>
        </w:rPr>
        <w:t xml:space="preserve">PEAK Empowerment &amp; Development Foundation is a Nigerian NGO-MFI founded in 2021 to expand economic opportunity for underserved and financially excluded populations — women, youth, rural communities, smallholder farmers, and micro and small businesses — across the FCT, Niger, Nasarawa and Benue states. PEAK has been a PW-supported LCI since 2023 and is led by COO Mr. Abiodun Yusuph and a team of 75 staff.</w:t>
      </w:r>
    </w:p>
    <w:p>
      <w:pPr>
        <w:spacing w:after="160" w:before="0"/>
      </w:pPr>
      <w:r>
        <w:rPr>
          <w:rFonts w:ascii="Calibri" w:cs="Calibri" w:eastAsia="Calibri" w:hAnsi="Calibri"/>
          <w:b w:val="false"/>
          <w:bCs w:val="false"/>
          <w:i w:val="false"/>
          <w:iCs w:val="false"/>
          <w:color w:val="000000"/>
          <w:sz w:val="22"/>
          <w:szCs w:val="22"/>
        </w:rPr>
        <w:t xml:space="preserve">PEAK’s model is organized around three interconnected pillars: Access to Finance (connecting underserved entrepreneurs, farmers and community groups to appropriate financial services for enterprise development, income generation and asset building); Access to Technology (digital financial inclusion through USSD, e-wallets, SMS, card and voice-enabled channels, particularly for communities with limited access to conventional banking); and Access to Markets (linkages and information that help micro and small businesses strengthen their enterprises and participate more effectively in local economies). Entrepreneurs complete practical, pre-disbursement business training before receiving financing.</w:t>
      </w:r>
    </w:p>
    <w:p>
      <w:pPr>
        <w:spacing w:after="160" w:before="0"/>
      </w:pPr>
      <w:r>
        <w:rPr>
          <w:rFonts w:ascii="Calibri" w:cs="Calibri" w:eastAsia="Calibri" w:hAnsi="Calibri"/>
          <w:b w:val="false"/>
          <w:bCs w:val="false"/>
          <w:i w:val="false"/>
          <w:iCs w:val="false"/>
          <w:color w:val="000000"/>
          <w:sz w:val="22"/>
          <w:szCs w:val="22"/>
        </w:rPr>
        <w:t xml:space="preserve">PEAK has a demonstrated track record at scale: in 2021 it supported over 2,000 women to access group lending, helping previously financially excluded women overcome barriers of collateral, credit history and financial literacy; in 2022 it created opportunities for more than 5,000 women, youth, families, cooperatives and communities, while expanding its agricultural finance activities through PEAK AGRO. Its RENDIF initiative has connected beneficiaries to financial services, business support and practical capacity building, and PEAK has rolled out agency banking, onboarding its first merchant agents. Through its Rural Digital Financial Solution (RDFS) model, PEAK is targeting at least 20,000 rural women and artisans within one year with e-wallets, USSD, card payments, SMS and voice banking, alongside continued financial-literacy and savings support.</w:t>
      </w:r>
    </w:p>
    <w:p>
      <w:pPr>
        <w:spacing w:after="160" w:before="0"/>
      </w:pPr>
      <w:r>
        <w:rPr>
          <w:rFonts w:ascii="Calibri" w:cs="Calibri" w:eastAsia="Calibri" w:hAnsi="Calibri"/>
          <w:b w:val="false"/>
          <w:bCs w:val="false"/>
          <w:i w:val="false"/>
          <w:iCs w:val="false"/>
          <w:color w:val="000000"/>
          <w:sz w:val="22"/>
          <w:szCs w:val="22"/>
        </w:rPr>
        <w:t xml:space="preserve">Partners Worldwide’s previous US$100,000 facility to PEAK is the clearest evidence of PEAK’s capacity to deploy capital responsibly and at scale: the facility was fully deployed into a US$1.4 million loan book, generating US$441,213 in revenue, at a 97% repayment rate, with PEAK remaining in good standing throughout. It is credited with 25,971 businesses created, 25,820 jobs created, and 38,305 clients reached, over 80% of them women.</w:t>
      </w:r>
    </w:p>
    <w:p>
      <w:pPr>
        <w:spacing w:after="160" w:before="0"/>
      </w:pPr>
      <w:r>
        <w:rPr>
          <w:rFonts w:ascii="Calibri" w:cs="Calibri" w:eastAsia="Calibri" w:hAnsi="Calibri"/>
          <w:b w:val="false"/>
          <w:bCs w:val="false"/>
          <w:i w:val="false"/>
          <w:iCs w:val="false"/>
          <w:color w:val="000000"/>
          <w:sz w:val="22"/>
          <w:szCs w:val="22"/>
        </w:rPr>
        <w:t xml:space="preserve">Building on this foundation, the proposed US$280,000 </w:t>
      </w:r>
      <w:r>
        <w:rPr>
          <w:rFonts w:ascii="Calibri" w:cs="Calibri" w:eastAsia="Calibri" w:hAnsi="Calibri"/>
          <w:b w:val="false"/>
          <w:bCs w:val="false"/>
          <w:i w:val="false"/>
          <w:iCs w:val="false"/>
          <w:color w:val="FF0000"/>
          <w:sz w:val="22"/>
          <w:szCs w:val="22"/>
        </w:rPr>
        <w:t xml:space="preserve">[confirm vs. US$300,000 stated in the concept note’s header]</w:t>
      </w:r>
      <w:r>
        <w:rPr>
          <w:rFonts w:ascii="Calibri" w:cs="Calibri" w:eastAsia="Calibri" w:hAnsi="Calibri"/>
          <w:b w:val="false"/>
          <w:bCs w:val="false"/>
          <w:i w:val="false"/>
          <w:iCs w:val="false"/>
          <w:color w:val="000000"/>
          <w:sz w:val="22"/>
          <w:szCs w:val="22"/>
        </w:rPr>
        <w:t xml:space="preserve"> follow-on facility would be used to: expand lending to micro and small businesses; provide working capital to existing and new enterprises; increase financing for women-owned businesses and youth entrepreneurs; support rural traders and productive enterprises; and extend financial services to additional underserved communities and MSMEs.</w:t>
      </w:r>
    </w:p>
    <w:p>
      <w:pPr>
        <w:spacing w:after="160" w:before="0"/>
      </w:pPr>
      <w:r>
        <w:rPr>
          <w:rFonts w:ascii="Calibri" w:cs="Calibri" w:eastAsia="Calibri" w:hAnsi="Calibri"/>
          <w:b w:val="false"/>
          <w:bCs w:val="false"/>
          <w:i w:val="false"/>
          <w:iCs w:val="false"/>
          <w:color w:val="000000"/>
          <w:sz w:val="22"/>
          <w:szCs w:val="22"/>
        </w:rPr>
        <w:t xml:space="preserve">PEAK projects that the facility will enable it to finance approximately 30,000 businesses and reach approximately 30,000 individuals, expanding access to affordable finance, supporting business growth and job creation, improving household income and livelihood opportunities, and strengthening PEAK’s capacity to sustainably meet the financing needs of low-income entrepreneurs.</w:t>
      </w:r>
    </w:p>
    <w:p>
      <w:pPr>
        <w:spacing w:after="160" w:before="0"/>
      </w:pPr>
      <w:r>
        <w:rPr>
          <w:rFonts w:ascii="Calibri" w:cs="Calibri" w:eastAsia="Calibri" w:hAnsi="Calibri"/>
          <w:b w:val="false"/>
          <w:bCs w:val="false"/>
          <w:i/>
          <w:iCs/>
          <w:color w:val="FF0000"/>
          <w:sz w:val="22"/>
          <w:szCs w:val="22"/>
        </w:rPr>
        <w:t xml:space="preserve">Note for the PM: this projected reach of ~30,000 is lower than the 38,305 clients actually reached under the previous, smaller US$100,000 facility — worth clarifying with PEAK whether this reflects a more conservative methodology, a shift toward larger average loan sizes, or another factor, ahead of the committee meeting.</w:t>
      </w:r>
    </w:p>
    <w:p>
      <w:pPr>
        <w:pStyle w:val="Heading1"/>
        <w:spacing w:after="160" w:before="320"/>
      </w:pPr>
      <w:r>
        <w:rPr>
          <w:rFonts w:ascii="Calibri" w:cs="Calibri" w:eastAsia="Calibri" w:hAnsi="Calibri"/>
          <w:b/>
          <w:bCs/>
          <w:color w:val="00444C"/>
          <w:sz w:val="26"/>
          <w:szCs w:val="26"/>
        </w:rPr>
        <w:t xml:space="preserve">Detailed Applicant Review</w:t>
      </w:r>
    </w:p>
    <w:p>
      <w:pPr>
        <w:spacing w:after="160" w:before="0"/>
      </w:pPr>
      <w:r>
        <w:rPr>
          <w:rFonts w:ascii="Calibri" w:cs="Calibri" w:eastAsia="Calibri" w:hAnsi="Calibri"/>
          <w:b w:val="false"/>
          <w:bCs w:val="false"/>
          <w:i w:val="false"/>
          <w:iCs w:val="false"/>
          <w:color w:val="000000"/>
          <w:sz w:val="22"/>
          <w:szCs w:val="22"/>
        </w:rPr>
        <w:t xml:space="preserve">As an NGO-MFI, PEAK’s credit plan and underlying business model are the same activity: PEAK on-lends capital directly to micro and small entrepreneurs, smallholder farmers and informal traders across the FCT, Niger, Nasarawa and Benue states, structured around three pillars — access to finance, access to technology and access to markets.</w:t>
      </w:r>
    </w:p>
    <w:p>
      <w:pPr>
        <w:spacing w:after="80" w:before="120"/>
      </w:pPr>
      <w:r>
        <w:rPr>
          <w:rFonts w:ascii="Calibri" w:cs="Calibri" w:eastAsia="Calibri" w:hAnsi="Calibri"/>
          <w:b/>
          <w:bCs/>
          <w:color w:val="000000"/>
          <w:sz w:val="22"/>
          <w:szCs w:val="22"/>
        </w:rPr>
        <w:t xml:space="preserve">Operating conditions and policy</w:t>
      </w:r>
    </w:p>
    <w:p>
      <w:pPr>
        <w:spacing w:after="160" w:before="0"/>
      </w:pPr>
      <w:r>
        <w:rPr>
          <w:rFonts w:ascii="Calibri" w:cs="Calibri" w:eastAsia="Calibri" w:hAnsi="Calibri"/>
          <w:b w:val="false"/>
          <w:bCs w:val="false"/>
          <w:i w:val="false"/>
          <w:iCs w:val="false"/>
          <w:color w:val="000000"/>
          <w:sz w:val="22"/>
          <w:szCs w:val="22"/>
        </w:rPr>
        <w:t xml:space="preserve">PEAK operates as a Nigerian non-governmental organization delivering microfinance-type lending rather than as a CBN-licensed microfinance bank. </w:t>
      </w:r>
      <w:r>
        <w:rPr>
          <w:rFonts w:ascii="Calibri" w:cs="Calibri" w:eastAsia="Calibri" w:hAnsi="Calibri"/>
          <w:b w:val="false"/>
          <w:bCs w:val="false"/>
          <w:i w:val="false"/>
          <w:iCs w:val="false"/>
          <w:color w:val="FF0000"/>
          <w:sz w:val="22"/>
          <w:szCs w:val="22"/>
        </w:rPr>
        <w:t xml:space="preserve">The specific regulatory and registration basis PEAK operates under, and a summary of PEAK’s organizational policy governing its lending activity, were not included in the source materials available for this application — confirm with PEAK / BA team, and place copies of PEAK’s lending and collection policies in the A2C application file.</w:t>
      </w:r>
    </w:p>
    <w:p>
      <w:pPr>
        <w:spacing w:after="80" w:before="120"/>
      </w:pPr>
      <w:r>
        <w:rPr>
          <w:rFonts w:ascii="Calibri" w:cs="Calibri" w:eastAsia="Calibri" w:hAnsi="Calibri"/>
          <w:b/>
          <w:bCs/>
          <w:color w:val="000000"/>
          <w:sz w:val="22"/>
          <w:szCs w:val="22"/>
        </w:rPr>
        <w:t xml:space="preserve">Products and services</w:t>
      </w:r>
    </w:p>
    <w:p>
      <w:pPr>
        <w:spacing w:after="160" w:before="0"/>
      </w:pPr>
      <w:r>
        <w:rPr>
          <w:rFonts w:ascii="Calibri" w:cs="Calibri" w:eastAsia="Calibri" w:hAnsi="Calibri"/>
          <w:b w:val="false"/>
          <w:bCs w:val="false"/>
          <w:i w:val="false"/>
          <w:iCs w:val="false"/>
          <w:color w:val="000000"/>
          <w:sz w:val="22"/>
          <w:szCs w:val="22"/>
        </w:rPr>
        <w:t xml:space="preserve">PEAK’s documented product set includes: microloans disbursed on a working-capital basis to micro and small businesses; agency banking services, through which PEAK has onboarded its first merchant agents; and a mandatory pre-disbursement business-training requirement, delivered through weekly sessions, that all borrowers complete before receiving financing. PEAK’s RENDIF initiative connects beneficiaries to financial services, business support and practical capacity-building alongside lending.</w:t>
      </w:r>
    </w:p>
    <w:p>
      <w:pPr>
        <w:spacing w:after="160" w:before="0"/>
      </w:pPr>
      <w:r>
        <w:rPr>
          <w:rFonts w:ascii="Calibri" w:cs="Calibri" w:eastAsia="Calibri" w:hAnsi="Calibri"/>
          <w:b w:val="false"/>
          <w:bCs w:val="false"/>
          <w:i w:val="false"/>
          <w:iCs w:val="false"/>
          <w:color w:val="FF0000"/>
          <w:sz w:val="22"/>
          <w:szCs w:val="22"/>
        </w:rPr>
        <w:t xml:space="preserve">The specific loan products on offer — loan-size tiers, interest rates, processing fees and repayment tenors for each product — were not detailed in the source materials and should be obtained from PEAK’s loan policy manual before this application proceeds to committee.</w:t>
      </w:r>
    </w:p>
    <w:p>
      <w:pPr>
        <w:spacing w:after="80" w:before="120"/>
      </w:pPr>
      <w:r>
        <w:rPr>
          <w:rFonts w:ascii="Calibri" w:cs="Calibri" w:eastAsia="Calibri" w:hAnsi="Calibri"/>
          <w:b/>
          <w:bCs/>
          <w:color w:val="000000"/>
          <w:sz w:val="22"/>
          <w:szCs w:val="22"/>
        </w:rPr>
        <w:t xml:space="preserve">Credit performance</w:t>
      </w:r>
    </w:p>
    <w:p>
      <w:pPr>
        <w:spacing w:after="160" w:before="0"/>
      </w:pPr>
      <w:r>
        <w:rPr>
          <w:rFonts w:ascii="Calibri" w:cs="Calibri" w:eastAsia="Calibri" w:hAnsi="Calibri"/>
          <w:b w:val="false"/>
          <w:bCs w:val="false"/>
          <w:i w:val="false"/>
          <w:iCs w:val="false"/>
          <w:color w:val="000000"/>
          <w:sz w:val="22"/>
          <w:szCs w:val="22"/>
        </w:rPr>
        <w:t xml:space="preserve">Under its previous US$100,000 PW facility, PEAK fully deployed the capital into a US$1.4 million loan book at a 97% repayment rate, generating US$441,213 in revenue, and remained in good standing throughout the facility. This is the strongest available evidence of PEAK’s credit discipline.</w:t>
      </w:r>
    </w:p>
    <w:p>
      <w:pPr>
        <w:spacing w:after="160" w:before="0"/>
      </w:pPr>
      <w:r>
        <w:rPr>
          <w:rFonts w:ascii="Calibri" w:cs="Calibri" w:eastAsia="Calibri" w:hAnsi="Calibri"/>
          <w:b w:val="false"/>
          <w:bCs w:val="false"/>
          <w:i w:val="false"/>
          <w:iCs w:val="false"/>
          <w:color w:val="FF0000"/>
          <w:sz w:val="22"/>
          <w:szCs w:val="22"/>
        </w:rPr>
        <w:t xml:space="preserve">No bad-debt, write-off, or aging-receivables data was included in the source materials for this application. A summary of PEAK’s bad-debt and write-off policy, any existing bad debts, and a portfolio-aging summary (current / 1–30 / 31–60 / 61–90 / 90+ days past due) should be requested from PEAK and added here before this application proceeds to committee.</w:t>
      </w:r>
    </w:p>
    <w:p>
      <w:pPr>
        <w:spacing w:after="80" w:before="120"/>
      </w:pPr>
      <w:r>
        <w:rPr>
          <w:rFonts w:ascii="Calibri" w:cs="Calibri" w:eastAsia="Calibri" w:hAnsi="Calibri"/>
          <w:b/>
          <w:bCs/>
          <w:color w:val="000000"/>
          <w:sz w:val="22"/>
          <w:szCs w:val="22"/>
        </w:rPr>
        <w:t xml:space="preserve">Recent changes</w:t>
      </w:r>
    </w:p>
    <w:p>
      <w:pPr>
        <w:spacing w:after="160" w:before="0"/>
      </w:pPr>
      <w:r>
        <w:rPr>
          <w:rFonts w:ascii="Calibri" w:cs="Calibri" w:eastAsia="Calibri" w:hAnsi="Calibri"/>
          <w:b w:val="false"/>
          <w:bCs w:val="false"/>
          <w:i w:val="false"/>
          <w:iCs w:val="false"/>
          <w:color w:val="FF0000"/>
          <w:sz w:val="22"/>
          <w:szCs w:val="22"/>
        </w:rPr>
        <w:t xml:space="preserve">No recent changes to PEAK’s business strategy or organizational/managerial structure made in response to bad debts or aging receivables were noted in the source materials. [TO CONFIRM WITH PEAK / BA TEAM.]</w:t>
      </w:r>
    </w:p>
    <w:p>
      <w:pPr>
        <w:pStyle w:val="Heading1"/>
        <w:spacing w:after="160" w:before="320"/>
      </w:pPr>
      <w:r>
        <w:rPr>
          <w:rFonts w:ascii="Calibri" w:cs="Calibri" w:eastAsia="Calibri" w:hAnsi="Calibri"/>
          <w:b/>
          <w:bCs/>
          <w:color w:val="00444C"/>
          <w:sz w:val="26"/>
          <w:szCs w:val="26"/>
        </w:rPr>
        <w:t xml:space="preserve">Management and Board of Directors</w:t>
      </w:r>
    </w:p>
    <w:p>
      <w:pPr>
        <w:spacing w:after="160" w:before="0"/>
      </w:pPr>
      <w:r>
        <w:rPr>
          <w:rFonts w:ascii="Calibri" w:cs="Calibri" w:eastAsia="Calibri" w:hAnsi="Calibri"/>
          <w:b w:val="false"/>
          <w:bCs w:val="false"/>
          <w:i w:val="false"/>
          <w:iCs w:val="false"/>
          <w:color w:val="000000"/>
          <w:sz w:val="22"/>
          <w:szCs w:val="22"/>
        </w:rPr>
        <w:t xml:space="preserve">PEAK is led by </w:t>
      </w:r>
      <w:r>
        <w:rPr>
          <w:rFonts w:ascii="Calibri" w:cs="Calibri" w:eastAsia="Calibri" w:hAnsi="Calibri"/>
          <w:b/>
          <w:bCs/>
          <w:i w:val="false"/>
          <w:iCs w:val="false"/>
          <w:color w:val="000000"/>
          <w:sz w:val="22"/>
          <w:szCs w:val="22"/>
        </w:rPr>
        <w:t xml:space="preserve">COO Mr. Abiodun Yusuph</w:t>
      </w:r>
      <w:r>
        <w:rPr>
          <w:rFonts w:ascii="Calibri" w:cs="Calibri" w:eastAsia="Calibri" w:hAnsi="Calibri"/>
          <w:b w:val="false"/>
          <w:bCs w:val="false"/>
          <w:i w:val="false"/>
          <w:iCs w:val="false"/>
          <w:color w:val="000000"/>
          <w:sz w:val="22"/>
          <w:szCs w:val="22"/>
        </w:rPr>
        <w:t xml:space="preserve">, who leads day-to-day operations, supported by a staff team of 75. </w:t>
      </w:r>
      <w:r>
        <w:rPr>
          <w:rFonts w:ascii="Calibri" w:cs="Calibri" w:eastAsia="Calibri" w:hAnsi="Calibri"/>
          <w:b w:val="false"/>
          <w:bCs w:val="false"/>
          <w:i w:val="false"/>
          <w:iCs w:val="false"/>
          <w:color w:val="FF0000"/>
          <w:sz w:val="22"/>
          <w:szCs w:val="22"/>
        </w:rPr>
        <w:t xml:space="preserve">Mr. Yusuph’s tenure, educational background and the composition of PEAK’s wider leadership team were not detailed in the source materials for this application.</w:t>
      </w:r>
    </w:p>
    <w:p>
      <w:pPr>
        <w:spacing w:after="160" w:before="0"/>
      </w:pPr>
      <w:r>
        <w:rPr>
          <w:rFonts w:ascii="Calibri" w:cs="Calibri" w:eastAsia="Calibri" w:hAnsi="Calibri"/>
          <w:b/>
          <w:bCs/>
          <w:i w:val="false"/>
          <w:iCs w:val="false"/>
          <w:color w:val="000000"/>
          <w:sz w:val="22"/>
          <w:szCs w:val="22"/>
        </w:rPr>
        <w:t xml:space="preserve">Board of Directors: </w:t>
      </w:r>
      <w:r>
        <w:rPr>
          <w:rFonts w:ascii="Calibri" w:cs="Calibri" w:eastAsia="Calibri" w:hAnsi="Calibri"/>
          <w:b w:val="false"/>
          <w:bCs w:val="false"/>
          <w:i w:val="false"/>
          <w:iCs w:val="false"/>
          <w:color w:val="FF0000"/>
          <w:sz w:val="22"/>
          <w:szCs w:val="22"/>
        </w:rPr>
        <w:t xml:space="preserve">NOT SPECIFIED. PEAK’s intake form did not include its Board of Directors composition — confirm with PEAK before the committee meeting, including each member’s name, position, selection process (e.g. elected at an AGM, appointed), and relevant background.</w:t>
      </w:r>
    </w:p>
    <w:p>
      <w:pPr>
        <w:pStyle w:val="Heading1"/>
        <w:spacing w:after="160" w:before="320"/>
      </w:pPr>
      <w:r>
        <w:rPr>
          <w:rFonts w:ascii="Calibri" w:cs="Calibri" w:eastAsia="Calibri" w:hAnsi="Calibri"/>
          <w:b/>
          <w:bCs/>
          <w:color w:val="00444C"/>
          <w:sz w:val="26"/>
          <w:szCs w:val="26"/>
        </w:rPr>
        <w:t xml:space="preserve">Historic Financial Performance</w:t>
      </w:r>
    </w:p>
    <w:p>
      <w:pPr>
        <w:spacing w:after="160" w:before="0"/>
      </w:pPr>
      <w:r>
        <w:rPr>
          <w:rFonts w:ascii="Calibri" w:cs="Calibri" w:eastAsia="Calibri" w:hAnsi="Calibri"/>
          <w:b w:val="false"/>
          <w:bCs w:val="false"/>
          <w:i w:val="false"/>
          <w:iCs w:val="false"/>
          <w:color w:val="FF0000"/>
          <w:sz w:val="22"/>
          <w:szCs w:val="22"/>
        </w:rPr>
        <w:t xml:space="preserve">Audited financial statements, and the name and designation of the accountant(s) / auditor(s) who prepared them, were not included in the source materials for this application. Obtain PEAK’s most recent audited financial statements and attach as a supporting document, per the Supporting Documents and Links section below.</w:t>
      </w:r>
    </w:p>
    <w:p>
      <w:pPr>
        <w:spacing w:after="160" w:before="0"/>
      </w:pPr>
      <w:r>
        <w:rPr>
          <w:rFonts w:ascii="Calibri" w:cs="Calibri" w:eastAsia="Calibri" w:hAnsi="Calibri"/>
          <w:b w:val="false"/>
          <w:bCs w:val="false"/>
          <w:i w:val="false"/>
          <w:iCs w:val="false"/>
          <w:color w:val="000000"/>
          <w:sz w:val="22"/>
          <w:szCs w:val="22"/>
        </w:rPr>
        <w:t xml:space="preserve">The clearest available record of PEAK’s historic performance is its results under the previous US$100,000 PW facility: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Indicator</w:t>
            </w:r>
          </w:p>
        </w:tc>
        <w:tc>
          <w:tcPr>
            <w:tcW w:type="dxa" w:w="4513"/>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Achievement</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Previous loan facility</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US$100,000</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Businesses created</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25,971</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Jobs created</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25,820</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Total clients reached</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38,305</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Female beneficiaries</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80%+</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Smallholder farmers supported</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2%</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Revenue generated</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US$441,213</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Total value of loans disbursed</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US$1.4 million</w:t>
            </w:r>
          </w:p>
        </w:tc>
      </w:tr>
      <w:tr>
        <w:trPr>
          <w:cantSplit/>
          <w:tblHeader w:val="off"/>
        </w:trPr>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Loan repayment rate</w:t>
            </w:r>
          </w:p>
        </w:tc>
        <w:tc>
          <w:tcPr>
            <w:tcW w:type="dxa" w:w="4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97%</w:t>
            </w:r>
          </w:p>
        </w:tc>
      </w:tr>
    </w:tbl>
    <w:p>
      <w:pPr>
        <w:spacing w:after="160" w:before="160"/>
      </w:pPr>
      <w:r>
        <w:rPr>
          <w:rFonts w:ascii="Calibri" w:cs="Calibri" w:eastAsia="Calibri" w:hAnsi="Calibri"/>
          <w:b w:val="false"/>
          <w:bCs w:val="false"/>
          <w:i/>
          <w:iCs/>
          <w:color w:val="FF0000"/>
          <w:sz w:val="22"/>
          <w:szCs w:val="22"/>
        </w:rPr>
        <w:t xml:space="preserve">Note: “Smallholder farmers supported: 2%” is reproduced exactly as stated in PEAK’s concept note — this is a notably small share given PEAK’s stated rural/agricultural reach; confirm this figure is correct before submission.</w:t>
      </w:r>
    </w:p>
    <w:p>
      <w:pPr>
        <w:pStyle w:val="Heading1"/>
        <w:spacing w:after="160" w:before="320"/>
      </w:pPr>
      <w:r>
        <w:rPr>
          <w:rFonts w:ascii="Calibri" w:cs="Calibri" w:eastAsia="Calibri" w:hAnsi="Calibri"/>
          <w:b/>
          <w:bCs/>
          <w:color w:val="00444C"/>
          <w:sz w:val="26"/>
          <w:szCs w:val="26"/>
        </w:rPr>
        <w:t xml:space="preserve">Financial Forecast</w:t>
      </w:r>
    </w:p>
    <w:p>
      <w:pPr>
        <w:spacing w:after="160" w:before="0"/>
      </w:pPr>
      <w:r>
        <w:rPr>
          <w:rFonts w:ascii="Calibri" w:cs="Calibri" w:eastAsia="Calibri" w:hAnsi="Calibri"/>
          <w:b w:val="false"/>
          <w:bCs w:val="false"/>
          <w:i w:val="false"/>
          <w:iCs w:val="false"/>
          <w:color w:val="FF0000"/>
          <w:sz w:val="22"/>
          <w:szCs w:val="22"/>
        </w:rPr>
        <w:t xml:space="preserve">Detailed cash-flow projections, interest-rate/fee assumptions, and a forecasted ending fund balance were not included in the source materials for this application — obtain from PEAK’s financial projections / BA team before submission.</w:t>
      </w:r>
    </w:p>
    <w:p>
      <w:pPr>
        <w:spacing w:after="160" w:before="0"/>
      </w:pPr>
      <w:r>
        <w:rPr>
          <w:rFonts w:ascii="Calibri" w:cs="Calibri" w:eastAsia="Calibri" w:hAnsi="Calibri"/>
          <w:b w:val="false"/>
          <w:bCs w:val="false"/>
          <w:i w:val="false"/>
          <w:iCs w:val="false"/>
          <w:color w:val="000000"/>
          <w:sz w:val="22"/>
          <w:szCs w:val="22"/>
        </w:rPr>
        <w:t xml:space="preserve">The forward-looking targets stated in PEAK’s 2026 concept note are:</w:t>
      </w:r>
    </w:p>
    <w:p>
      <w:pPr>
        <w:pStyle w:val="ListParagraph"/>
        <w:numPr>
          <w:ilvl w:val="0"/>
          <w:numId w:val="1"/>
        </w:numPr>
        <w:spacing w:after="80"/>
      </w:pPr>
      <w:r>
        <w:rPr>
          <w:rFonts w:ascii="Calibri" w:cs="Calibri" w:eastAsia="Calibri" w:hAnsi="Calibri"/>
          <w:b w:val="false"/>
          <w:bCs w:val="false"/>
          <w:i w:val="false"/>
          <w:iCs w:val="false"/>
          <w:color w:val="000000"/>
          <w:sz w:val="22"/>
          <w:szCs w:val="22"/>
        </w:rPr>
        <w:t xml:space="preserve">Finance approximately 30,000 businesses</w:t>
      </w:r>
    </w:p>
    <w:p>
      <w:pPr>
        <w:pStyle w:val="ListParagraph"/>
        <w:numPr>
          <w:ilvl w:val="0"/>
          <w:numId w:val="1"/>
        </w:numPr>
        <w:spacing w:after="80"/>
      </w:pPr>
      <w:r>
        <w:rPr>
          <w:rFonts w:ascii="Calibri" w:cs="Calibri" w:eastAsia="Calibri" w:hAnsi="Calibri"/>
          <w:b w:val="false"/>
          <w:bCs w:val="false"/>
          <w:i w:val="false"/>
          <w:iCs w:val="false"/>
          <w:color w:val="000000"/>
          <w:sz w:val="22"/>
          <w:szCs w:val="22"/>
        </w:rPr>
        <w:t xml:space="preserve">Reach approximately 30,000 individuals</w:t>
      </w:r>
    </w:p>
    <w:p>
      <w:pPr>
        <w:pStyle w:val="ListParagraph"/>
        <w:numPr>
          <w:ilvl w:val="0"/>
          <w:numId w:val="1"/>
        </w:numPr>
        <w:spacing w:after="80"/>
      </w:pPr>
      <w:r>
        <w:rPr>
          <w:rFonts w:ascii="Calibri" w:cs="Calibri" w:eastAsia="Calibri" w:hAnsi="Calibri"/>
          <w:b w:val="false"/>
          <w:bCs w:val="false"/>
          <w:i w:val="false"/>
          <w:iCs w:val="false"/>
          <w:color w:val="000000"/>
          <w:sz w:val="22"/>
          <w:szCs w:val="22"/>
        </w:rPr>
        <w:t xml:space="preserve">Expand access to affordable finance among underserved communities</w:t>
      </w:r>
    </w:p>
    <w:p>
      <w:pPr>
        <w:pStyle w:val="ListParagraph"/>
        <w:numPr>
          <w:ilvl w:val="0"/>
          <w:numId w:val="1"/>
        </w:numPr>
        <w:spacing w:after="80"/>
      </w:pPr>
      <w:r>
        <w:rPr>
          <w:rFonts w:ascii="Calibri" w:cs="Calibri" w:eastAsia="Calibri" w:hAnsi="Calibri"/>
          <w:b w:val="false"/>
          <w:bCs w:val="false"/>
          <w:i w:val="false"/>
          <w:iCs w:val="false"/>
          <w:color w:val="000000"/>
          <w:sz w:val="22"/>
          <w:szCs w:val="22"/>
        </w:rPr>
        <w:t xml:space="preserve">Support business growth and job creation</w:t>
      </w:r>
    </w:p>
    <w:p>
      <w:pPr>
        <w:pStyle w:val="ListParagraph"/>
        <w:numPr>
          <w:ilvl w:val="0"/>
          <w:numId w:val="1"/>
        </w:numPr>
        <w:spacing w:after="80"/>
      </w:pPr>
      <w:r>
        <w:rPr>
          <w:rFonts w:ascii="Calibri" w:cs="Calibri" w:eastAsia="Calibri" w:hAnsi="Calibri"/>
          <w:b w:val="false"/>
          <w:bCs w:val="false"/>
          <w:i w:val="false"/>
          <w:iCs w:val="false"/>
          <w:color w:val="000000"/>
          <w:sz w:val="22"/>
          <w:szCs w:val="22"/>
        </w:rPr>
        <w:t xml:space="preserve">Improve household income and livelihood opportunities</w:t>
      </w:r>
    </w:p>
    <w:p>
      <w:pPr>
        <w:pStyle w:val="ListParagraph"/>
        <w:numPr>
          <w:ilvl w:val="0"/>
          <w:numId w:val="1"/>
        </w:numPr>
        <w:spacing w:after="80"/>
      </w:pPr>
      <w:r>
        <w:rPr>
          <w:rFonts w:ascii="Calibri" w:cs="Calibri" w:eastAsia="Calibri" w:hAnsi="Calibri"/>
          <w:b w:val="false"/>
          <w:bCs w:val="false"/>
          <w:i w:val="false"/>
          <w:iCs w:val="false"/>
          <w:color w:val="000000"/>
          <w:sz w:val="22"/>
          <w:szCs w:val="22"/>
        </w:rPr>
        <w:t xml:space="preserve">Strengthen PEAK’s capacity to sustainably meet the financing needs of low-income entrepreneurs</w:t>
      </w:r>
    </w:p>
    <w:p>
      <w:pPr>
        <w:spacing w:after="160" w:before="120"/>
      </w:pPr>
      <w:r>
        <w:rPr>
          <w:rFonts w:ascii="Calibri" w:cs="Calibri" w:eastAsia="Calibri" w:hAnsi="Calibri"/>
          <w:b w:val="false"/>
          <w:bCs w:val="false"/>
          <w:i/>
          <w:iCs/>
          <w:color w:val="FF0000"/>
          <w:sz w:val="22"/>
          <w:szCs w:val="22"/>
        </w:rPr>
        <w:t xml:space="preserve">Note: this projected reach of ~30,000 individuals/businesses is lower than the 38,305 clients actually reached under the smaller, previous US$100,000 facility — worth clarifying with PEAK ahead of the committee meeting.</w:t>
      </w:r>
    </w:p>
    <w:p>
      <w:pPr>
        <w:pStyle w:val="Heading1"/>
        <w:spacing w:after="160" w:before="320"/>
      </w:pPr>
      <w:r>
        <w:rPr>
          <w:rFonts w:ascii="Calibri" w:cs="Calibri" w:eastAsia="Calibri" w:hAnsi="Calibri"/>
          <w:b/>
          <w:bCs/>
          <w:color w:val="00444C"/>
          <w:sz w:val="26"/>
          <w:szCs w:val="26"/>
        </w:rPr>
        <w:t xml:space="preserve">Risk Assessment</w:t>
      </w:r>
    </w:p>
    <w:p>
      <w:pPr>
        <w:spacing w:after="160" w:before="0"/>
      </w:pPr>
      <w:r>
        <w:rPr>
          <w:rFonts w:ascii="Calibri" w:cs="Calibri" w:eastAsia="Calibri" w:hAnsi="Calibri"/>
          <w:b w:val="false"/>
          <w:bCs w:val="false"/>
          <w:i/>
          <w:iCs/>
          <w:color w:val="FF0000"/>
          <w:sz w:val="22"/>
          <w:szCs w:val="22"/>
        </w:rPr>
        <w:t xml:space="preserve">The table below is a draft risk assessment based on PEAK’s documented model and track record; it has not yet been validated by the BA Team and should be reviewed and supplemented before this application proceeds to committee.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Area</w:t>
            </w:r>
          </w:p>
        </w:tc>
        <w:tc>
          <w:tcPr>
            <w:tcW w:type="dxa" w:w="3463"/>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 / Description</w:t>
            </w:r>
          </w:p>
        </w:tc>
        <w:tc>
          <w:tcPr>
            <w:tcW w:type="dxa" w:w="3463"/>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 Measures</w:t>
            </w:r>
          </w:p>
        </w:tc>
      </w:tr>
      <w:tr>
        <w:trPr>
          <w:cantSplit/>
        </w:trPr>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Credit / Portfolio</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Default risk among micro and small borrowers, particularly new entrants to formal credit.</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Mandatory pre-disbursement business training for all borrowers; previous facility sustained a 97% repayment rate.</w:t>
            </w:r>
          </w:p>
        </w:tc>
      </w:tr>
      <w:tr>
        <w:trPr>
          <w:cantSplit/>
        </w:trPr>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Operational / Agency Banking</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PEAK’s agency-banking channel is newly rolled out, with only its first merchant agents onboarded to date.</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CONFIRM — operational controls and agent-oversight procedures for the agency-banking channel should be reviewed with PEAK / BA team.]</w:t>
            </w:r>
          </w:p>
        </w:tc>
      </w:tr>
      <w:tr>
        <w:trPr>
          <w:cantSplit/>
        </w:trPr>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Macroeconomic / Currency</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Facility is USD-denominated while on-lending activity and borrower repayments are in Naira, exposing the facility to currency and inflation risk.</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CONFIRM — PEAK’s approach to currency-risk management was not detailed in source materials.]</w:t>
            </w:r>
          </w:p>
        </w:tc>
      </w:tr>
      <w:tr>
        <w:trPr>
          <w:cantSplit/>
        </w:trPr>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Concentration / Geographic</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Operations concentrated in four states (FCT, Niger, Nasarawa, Benue).</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CONFIRM — note any plans for further geographic diversification.]</w:t>
            </w:r>
          </w:p>
        </w:tc>
      </w:tr>
      <w:tr>
        <w:trPr>
          <w:cantSplit/>
        </w:trPr>
        <w:tc>
          <w:tcPr>
            <w:tcW w:type="dxa" w:w="21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Governance</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Board of Directors composition not yet confirmed for this application.</w:t>
            </w:r>
          </w:p>
        </w:tc>
        <w:tc>
          <w:tcPr>
            <w:tcW w:type="dxa" w:w="346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Confirm BOD composition and governance oversight before committee review.</w:t>
            </w:r>
          </w:p>
        </w:tc>
      </w:tr>
    </w:tbl>
    <w:p>
      <w:pPr>
        <w:pStyle w:val="Heading1"/>
        <w:spacing w:after="160" w:before="320"/>
      </w:pPr>
      <w:r>
        <w:rPr>
          <w:rFonts w:ascii="Calibri" w:cs="Calibri" w:eastAsia="Calibri" w:hAnsi="Calibri"/>
          <w:b/>
          <w:bCs/>
          <w:color w:val="00444C"/>
          <w:sz w:val="26"/>
          <w:szCs w:val="26"/>
        </w:rPr>
        <w:t xml:space="preserve">Supporting Documents and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26"/>
        <w:gridCol w:w="1500"/>
      </w:tblGrid>
      <w:tr>
        <w:trPr>
          <w:tblHeader/>
        </w:trPr>
        <w:tc>
          <w:tcPr>
            <w:tcW w:type="dxa" w:w="2400"/>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 Name</w:t>
            </w:r>
          </w:p>
        </w:tc>
        <w:tc>
          <w:tcPr>
            <w:tcW w:type="dxa" w:w="2400"/>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Relates to Section</w:t>
            </w:r>
          </w:p>
        </w:tc>
        <w:tc>
          <w:tcPr>
            <w:tcW w:type="dxa" w:w="2726"/>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1500"/>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Link</w:t>
            </w:r>
          </w:p>
        </w:tc>
      </w:tr>
      <w:tr>
        <w:trPr>
          <w:cantSplit/>
        </w:trP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Concept Note – PW 2026</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Summary of the Application; Use of the Funds &amp; Social Impact; Financial Forecast</w:t>
            </w:r>
          </w:p>
        </w:tc>
        <w:tc>
          <w:tcPr>
            <w:tcW w:type="dxa" w:w="2726"/>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PEAK’s proposed-facility concept note, including previous-facility results and expected results for the new facility.</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[Attach / insert link]</w:t>
            </w:r>
          </w:p>
        </w:tc>
      </w:tr>
      <w:tr>
        <w:trPr>
          <w:cantSplit/>
        </w:trP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PEAK Empowerment &amp; Development Foundation – One Pager</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Use of the Funds &amp; Social Impact; Detailed Applicant Review</w:t>
            </w:r>
          </w:p>
        </w:tc>
        <w:tc>
          <w:tcPr>
            <w:tcW w:type="dxa" w:w="2726"/>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PEAK’s organizational overview, three-pillar model, reach data and RDFS digital-inclusion strategy.</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[Attach / insert link]</w:t>
            </w:r>
          </w:p>
        </w:tc>
      </w:tr>
      <w:tr>
        <w:trPr>
          <w:cantSplit/>
        </w:trP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[Audited Financial Statements]</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Historic Financial Performance</w:t>
            </w:r>
          </w:p>
        </w:tc>
        <w:tc>
          <w:tcPr>
            <w:tcW w:type="dxa" w:w="2726"/>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Not yet obtained — required before submission.</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ADD]</w:t>
            </w:r>
          </w:p>
        </w:tc>
      </w:tr>
      <w:tr>
        <w:trPr>
          <w:cantSplit/>
        </w:trP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[Board of Directors List]</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Management and Board of Directors</w:t>
            </w:r>
          </w:p>
        </w:tc>
        <w:tc>
          <w:tcPr>
            <w:tcW w:type="dxa" w:w="2726"/>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Not yet obtained — required before submission.</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ADD]</w:t>
            </w:r>
          </w:p>
        </w:tc>
      </w:tr>
      <w:tr>
        <w:trPr>
          <w:cantSplit/>
        </w:trP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[BA Team Letter of Recommendation]</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BA Team Recommendations and Comments</w:t>
            </w:r>
          </w:p>
        </w:tc>
        <w:tc>
          <w:tcPr>
            <w:tcW w:type="dxa" w:w="2726"/>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Not yet obtained — mandatory for this application to be considered.</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ADD]</w:t>
            </w:r>
          </w:p>
        </w:tc>
      </w:tr>
      <w:tr>
        <w:trPr>
          <w:cantSplit/>
        </w:trPr>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[PEAK Loan Policy Manual]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Detailed Applicant Review</w:t>
            </w:r>
          </w:p>
        </w:tc>
        <w:tc>
          <w:tcPr>
            <w:tcW w:type="dxa" w:w="2726"/>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Not yet obtained.</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FF0000"/>
                <w:sz w:val="22"/>
                <w:szCs w:val="22"/>
              </w:rPr>
              <w:t xml:space="preserve">[TO ADD]</w:t>
            </w:r>
          </w:p>
        </w:tc>
      </w:tr>
    </w:tbl>
    <w:p>
      <w:pPr>
        <w:pStyle w:val="Heading1"/>
        <w:spacing w:after="160" w:before="320"/>
      </w:pPr>
      <w:r>
        <w:rPr>
          <w:rFonts w:ascii="Calibri" w:cs="Calibri" w:eastAsia="Calibri" w:hAnsi="Calibri"/>
          <w:b/>
          <w:bCs/>
          <w:color w:val="00444C"/>
          <w:sz w:val="26"/>
          <w:szCs w:val="26"/>
        </w:rPr>
        <w:t xml:space="preserve">Q&amp;A</w:t>
      </w:r>
    </w:p>
    <w:p>
      <w:pPr>
        <w:spacing w:after="160" w:before="0"/>
      </w:pPr>
      <w:r>
        <w:rPr>
          <w:rFonts w:ascii="Calibri" w:cs="Calibri" w:eastAsia="Calibri" w:hAnsi="Calibri"/>
          <w:b w:val="false"/>
          <w:bCs w:val="false"/>
          <w:i w:val="false"/>
          <w:iCs w:val="false"/>
          <w:color w:val="000000"/>
          <w:sz w:val="22"/>
          <w:szCs w:val="22"/>
        </w:rPr>
        <w:t xml:space="preserve">No questions have yet been raised by the Staff Capital Committee. Based on the source materials reviewed for this application, the PM may wish to prepare responses to the following anticipated questions in advance: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cantSplit/>
          <w:tblHeader/>
        </w:trPr>
        <w:tc>
          <w:tcPr>
            <w:tcW w:type="dxa" w:w="5513"/>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Question</w:t>
            </w:r>
          </w:p>
        </w:tc>
        <w:tc>
          <w:tcPr>
            <w:tcW w:type="dxa" w:w="3513"/>
            <w:tcBorders>
              <w:top w:val="single" w:color="999999" w:sz="4"/>
              <w:left w:val="single" w:color="999999" w:sz="4"/>
              <w:bottom w:val="single" w:color="999999" w:sz="4"/>
              <w:right w:val="single" w:color="999999" w:sz="4"/>
            </w:tcBorders>
            <w:shd w:fill="00444C"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Answer</w:t>
            </w:r>
          </w:p>
        </w:tc>
      </w:tr>
      <w:tr>
        <w:trPr>
          <w:cantSplit/>
          <w:tblHeader w:val="off"/>
        </w:trPr>
        <w:tc>
          <w:tcPr>
            <w:tcW w:type="dxa" w:w="5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PEAK’s concept note states US$300,000 in its header but US$280,000 in its proposed-facility and conclusion sections — which figure is this application requesting?</w:t>
            </w:r>
          </w:p>
        </w:tc>
        <w:tc>
          <w:tcPr>
            <w:tcW w:type="dxa" w:w="3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[TO CONFIRM WITH PEAK]</w:t>
            </w:r>
          </w:p>
        </w:tc>
      </w:tr>
      <w:tr>
        <w:trPr>
          <w:cantSplit/>
          <w:tblHeader w:val="off"/>
        </w:trPr>
        <w:tc>
          <w:tcPr>
            <w:tcW w:type="dxa" w:w="5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The proposed facility projects reaching ~30,000 individuals/businesses, fewer than the 38,305 clients actually reached under the smaller, previous US$100,000 facility — why is the projected reach lower despite the larger facility size?</w:t>
            </w:r>
          </w:p>
        </w:tc>
        <w:tc>
          <w:tcPr>
            <w:tcW w:type="dxa" w:w="3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[TO CONFIRM WITH PEAK]</w:t>
            </w:r>
          </w:p>
        </w:tc>
      </w:tr>
      <w:tr>
        <w:trPr>
          <w:cantSplit/>
          <w:tblHeader w:val="off"/>
        </w:trPr>
        <w:tc>
          <w:tcPr>
            <w:tcW w:type="dxa" w:w="5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[Add further committee questions and answers here as they arise.]</w:t>
            </w:r>
          </w:p>
        </w:tc>
        <w:tc>
          <w:tcPr>
            <w:tcW w:type="dxa" w:w="3513"/>
            <w:tcBorders>
              <w:top w:val="single" w:color="999999" w:sz="4"/>
              <w:left w:val="single" w:color="999999" w:sz="4"/>
              <w:bottom w:val="single" w:color="999999" w:sz="4"/>
              <w:right w:val="single" w:color="999999" w:sz="4"/>
            </w:tcBorders>
            <w:tcMar>
              <w:top w:type="dxa" w:w="100"/>
              <w:left w:type="dxa" w:w="120"/>
              <w:bottom w:type="dxa" w:w="100"/>
              <w:right w:type="dxa" w:w="120"/>
            </w:tcMar>
            <w:vAlign w:val="top"/>
          </w:tcPr>
          <w:p>
            <w:pPr>
              <w:spacing w:after="60"/>
            </w:pPr>
            <w:r>
              <w:rPr>
                <w:rFonts w:ascii="Calibri" w:cs="Calibri" w:eastAsia="Calibri" w:hAnsi="Calibri"/>
                <w:b w:val="false"/>
                <w:bCs w:val="false"/>
                <w:i w:val="false"/>
                <w:iCs w:val="false"/>
                <w:color w:val="000000"/>
                <w:sz w:val="22"/>
                <w:szCs w:val="22"/>
              </w:rPr>
              <w:t xml:space="preserve"/>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2026-10-06T12:15:58.210Z</dcterms:created>
  <dcterms:modified xsi:type="dcterms:W3CDTF">2026-10-06T12:15:58.211Z</dcterms:modified>
</cp:coreProperties>
</file>

<file path=docProps/custom.xml><?xml version="1.0" encoding="utf-8"?>
<Properties xmlns="http://schemas.openxmlformats.org/officeDocument/2006/custom-properties" xmlns:vt="http://schemas.openxmlformats.org/officeDocument/2006/docPropsVTypes"/>
</file>