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7B6B2"/>
          <w:sz w:val="22"/>
          <w:szCs w:val="22"/>
        </w:rPr>
        <w:t xml:space="preserve">PARTNERS WORLDWIDE — NIGERIA</w:t>
      </w:r>
    </w:p>
    <w:p>
      <w:pPr>
        <w:spacing w:after="200"/>
      </w:pPr>
      <w:r>
        <w:rPr>
          <w:rFonts w:ascii="Calibri" w:cs="Calibri" w:eastAsia="Calibri" w:hAnsi="Calibri"/>
          <w:b/>
          <w:bCs/>
          <w:color w:val="00444C"/>
          <w:sz w:val="44"/>
          <w:szCs w:val="44"/>
        </w:rPr>
        <w:t xml:space="preserve">LCI Partner Information Pack</w:t>
      </w:r>
    </w:p>
    <w:p>
      <w:pPr>
        <w:spacing w:after="60" w:before="0"/>
      </w:pPr>
      <w:r>
        <w:rPr>
          <w:rFonts w:ascii="Calibri" w:cs="Calibri" w:eastAsia="Calibri" w:hAnsi="Calibri"/>
          <w:b w:val="false"/>
          <w:bCs w:val="false"/>
          <w:i/>
          <w:iCs/>
          <w:color w:val="444444"/>
          <w:sz w:val="22"/>
          <w:szCs w:val="22"/>
        </w:rPr>
        <w:t xml:space="preserve">Prepared for discussion with the T.Y. Danjuma Foundation — potential collaboration on education and health</w:t>
      </w:r>
    </w:p>
    <w:p>
      <w:pPr>
        <w:spacing w:after="320" w:before="0"/>
      </w:pPr>
      <w:r>
        <w:rPr>
          <w:rFonts w:ascii="Calibri" w:cs="Calibri" w:eastAsia="Calibri" w:hAnsi="Calibri"/>
          <w:b w:val="false"/>
          <w:bCs w:val="false"/>
          <w:i w:val="false"/>
          <w:iCs w:val="false"/>
          <w:color w:val="666666"/>
          <w:sz w:val="20"/>
          <w:szCs w:val="20"/>
        </w:rPr>
        <w:t xml:space="preserve">September 2026</w:t>
      </w:r>
    </w:p>
    <w:p>
      <w:pPr>
        <w:spacing w:after="60" w:before="140"/>
      </w:pPr>
      <w:r>
        <w:rPr>
          <w:rFonts w:ascii="Calibri" w:cs="Calibri" w:eastAsia="Calibri" w:hAnsi="Calibri"/>
          <w:b/>
          <w:bCs/>
          <w:caps/>
          <w:color w:val="57B6B2"/>
          <w:sz w:val="19"/>
          <w:szCs w:val="19"/>
        </w:rPr>
        <w:t xml:space="preserve">About this pack</w:t>
      </w:r>
    </w:p>
    <w:p>
      <w:pPr>
        <w:spacing w:after="140" w:before="0"/>
      </w:pPr>
      <w:r>
        <w:rPr>
          <w:rFonts w:ascii="Calibri" w:cs="Calibri" w:eastAsia="Calibri" w:hAnsi="Calibri"/>
          <w:b w:val="false"/>
          <w:bCs w:val="false"/>
          <w:i w:val="false"/>
          <w:iCs w:val="false"/>
          <w:color w:val="222222"/>
          <w:sz w:val="21"/>
          <w:szCs w:val="21"/>
        </w:rPr>
        <w:t xml:space="preserve">Partners Worldwide works in Nigeria through a network of local partner organisations — referred to throughout this pack as LCIs — through which capital, training and technical support reach underserved entrepreneurs, farmers, women, youth and communities across the country. This pack introduces the eight LCIs currently active in the network, following our recent conversation about possible collaboration with the T.Y. Danjuma Foundation, particularly in education and health.</w:t>
      </w:r>
    </w:p>
    <w:p>
      <w:pPr>
        <w:spacing w:after="140" w:before="0"/>
      </w:pPr>
      <w:r>
        <w:rPr>
          <w:rFonts w:ascii="Calibri" w:cs="Calibri" w:eastAsia="Calibri" w:hAnsi="Calibri"/>
          <w:b w:val="false"/>
          <w:bCs w:val="false"/>
          <w:i w:val="false"/>
          <w:iCs w:val="false"/>
          <w:color w:val="222222"/>
          <w:sz w:val="21"/>
          <w:szCs w:val="21"/>
        </w:rPr>
        <w:t xml:space="preserve">Most of the network's LCIs are primarily economic-development organisations — microfinance, agricultural value chains, enterprise incubation — rather than dedicated education or health providers, and this pack presents that honestly rather than stretching the fit. Two LCIs, however, carry direct, named education or health programming: Water Wins Community Development Association (both education and community health) and Pleasure Travels Group of Companies (technical and vocational education). Ennovate Lab offers a secondary, adjacent fit through youth digital-skills training. These three are presented first, as the most natural starting points for this conversation; the remaining five follow for full context on the network.</w:t>
      </w:r>
    </w:p>
    <w:p>
      <w:pPr>
        <w:spacing w:after="200" w:before="0"/>
      </w:pPr>
      <w:r>
        <w:rPr>
          <w:rFonts w:ascii="Calibri" w:cs="Calibri" w:eastAsia="Calibri" w:hAnsi="Calibri"/>
          <w:b w:val="false"/>
          <w:bCs w:val="false"/>
          <w:i w:val="false"/>
          <w:iCs w:val="false"/>
          <w:color w:val="222222"/>
          <w:sz w:val="21"/>
          <w:szCs w:val="21"/>
        </w:rPr>
        <w:t xml:space="preserve">The at-a-glance table below summarises all eight; full profiles — including a marked box for a representative photograph, to be added once available — follow on subsequent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50"/>
        <w:gridCol w:w="2276"/>
        <w:gridCol w:w="1400"/>
        <w:gridCol w:w="1500"/>
      </w:tblGrid>
      <w:tr>
        <w:trPr>
          <w:tblHeader/>
        </w:trPr>
        <w:tc>
          <w:tcPr>
            <w:shd w:fill="00444C" w:color="auto" w:val="clear"/>
            <w:tcMar>
              <w:top w:type="dxa" w:w="100"/>
              <w:left w:type="dxa" w:w="100"/>
              <w:bottom w:type="dxa" w:w="100"/>
              <w:right w:type="dxa" w:w="100"/>
            </w:tcMar>
            <w:vAlign w:val="center"/>
          </w:tcPr>
          <w:p>
            <w:pPr>
              <w:spacing w:after="120" w:before="0"/>
            </w:pPr>
            <w:r>
              <w:rPr>
                <w:rFonts w:ascii="Calibri" w:cs="Calibri" w:eastAsia="Calibri" w:hAnsi="Calibri"/>
                <w:b/>
                <w:bCs/>
                <w:i w:val="false"/>
                <w:iCs w:val="false"/>
                <w:color w:val="FFFFFF"/>
                <w:sz w:val="17"/>
                <w:szCs w:val="17"/>
              </w:rPr>
              <w:t xml:space="preserve">LCI</w:t>
            </w:r>
          </w:p>
        </w:tc>
        <w:tc>
          <w:tcPr>
            <w:shd w:fill="00444C" w:color="auto" w:val="clear"/>
            <w:tcMar>
              <w:top w:type="dxa" w:w="100"/>
              <w:left w:type="dxa" w:w="100"/>
              <w:bottom w:type="dxa" w:w="100"/>
              <w:right w:type="dxa" w:w="100"/>
            </w:tcMar>
            <w:vAlign w:val="center"/>
          </w:tcPr>
          <w:p>
            <w:pPr>
              <w:spacing w:after="120" w:before="0"/>
            </w:pPr>
            <w:r>
              <w:rPr>
                <w:rFonts w:ascii="Calibri" w:cs="Calibri" w:eastAsia="Calibri" w:hAnsi="Calibri"/>
                <w:b/>
                <w:bCs/>
                <w:i w:val="false"/>
                <w:iCs w:val="false"/>
                <w:color w:val="FFFFFF"/>
                <w:sz w:val="17"/>
                <w:szCs w:val="17"/>
              </w:rPr>
              <w:t xml:space="preserve">Location</w:t>
            </w:r>
          </w:p>
        </w:tc>
        <w:tc>
          <w:tcPr>
            <w:shd w:fill="00444C" w:color="auto" w:val="clear"/>
            <w:tcMar>
              <w:top w:type="dxa" w:w="100"/>
              <w:left w:type="dxa" w:w="100"/>
              <w:bottom w:type="dxa" w:w="100"/>
              <w:right w:type="dxa" w:w="100"/>
            </w:tcMar>
            <w:vAlign w:val="center"/>
          </w:tcPr>
          <w:p>
            <w:pPr>
              <w:spacing w:after="120" w:before="0"/>
            </w:pPr>
            <w:r>
              <w:rPr>
                <w:rFonts w:ascii="Calibri" w:cs="Calibri" w:eastAsia="Calibri" w:hAnsi="Calibri"/>
                <w:b/>
                <w:bCs/>
                <w:i w:val="false"/>
                <w:iCs w:val="false"/>
                <w:color w:val="FFFFFF"/>
                <w:sz w:val="17"/>
                <w:szCs w:val="17"/>
              </w:rPr>
              <w:t xml:space="preserve">Primary focus</w:t>
            </w:r>
          </w:p>
        </w:tc>
        <w:tc>
          <w:tcPr>
            <w:shd w:fill="00444C" w:color="auto" w:val="clear"/>
            <w:tcMar>
              <w:top w:type="dxa" w:w="100"/>
              <w:left w:type="dxa" w:w="100"/>
              <w:bottom w:type="dxa" w:w="100"/>
              <w:right w:type="dxa" w:w="100"/>
            </w:tcMar>
            <w:vAlign w:val="center"/>
          </w:tcPr>
          <w:p>
            <w:pPr>
              <w:spacing w:after="120" w:before="0"/>
            </w:pPr>
            <w:r>
              <w:rPr>
                <w:rFonts w:ascii="Calibri" w:cs="Calibri" w:eastAsia="Calibri" w:hAnsi="Calibri"/>
                <w:b/>
                <w:bCs/>
                <w:i w:val="false"/>
                <w:iCs w:val="false"/>
                <w:color w:val="FFFFFF"/>
                <w:sz w:val="17"/>
                <w:szCs w:val="17"/>
              </w:rPr>
              <w:t xml:space="preserve">Reach (12 mo)</w:t>
            </w:r>
          </w:p>
        </w:tc>
        <w:tc>
          <w:tcPr>
            <w:shd w:fill="00444C" w:color="auto" w:val="clear"/>
            <w:tcMar>
              <w:top w:type="dxa" w:w="100"/>
              <w:left w:type="dxa" w:w="100"/>
              <w:bottom w:type="dxa" w:w="100"/>
              <w:right w:type="dxa" w:w="100"/>
            </w:tcMar>
            <w:vAlign w:val="center"/>
          </w:tcPr>
          <w:p>
            <w:pPr>
              <w:spacing w:after="120" w:before="0"/>
            </w:pPr>
            <w:r>
              <w:rPr>
                <w:rFonts w:ascii="Calibri" w:cs="Calibri" w:eastAsia="Calibri" w:hAnsi="Calibri"/>
                <w:b/>
                <w:bCs/>
                <w:i w:val="false"/>
                <w:iCs w:val="false"/>
                <w:color w:val="FFFFFF"/>
                <w:sz w:val="17"/>
                <w:szCs w:val="17"/>
              </w:rPr>
              <w:t xml:space="preserve">Education / Health</w:t>
            </w:r>
          </w:p>
        </w:tc>
      </w:tr>
      <w:tr>
        <w:trPr>
          <w:cantSplit/>
        </w:trPr>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Water Wins Community Development Association</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Rijau, Mariga &amp; Aguara LGAs, Niger State</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Water, education and community health for the Eastern Kambari people</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10,500 people (water)</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Direct</w:t>
            </w:r>
          </w:p>
        </w:tc>
      </w:tr>
      <w:tr>
        <w:trPr>
          <w:cantSplit/>
        </w:trPr>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Pleasure Travels Group of Companies</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Makurdi, Benue State</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Technical and vocational skills training across transport, automobile, gas &amp; oil and agriculture</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350+ trained</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Direct</w:t>
            </w:r>
          </w:p>
        </w:tc>
      </w:tr>
      <w:tr>
        <w:trPr>
          <w:cantSplit/>
        </w:trPr>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Ennovate Lab</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Ogbomoso, Oyo State</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Digital skills, youth employability and an innovation hub</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2,500+ reached</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Adjacent</w:t>
            </w:r>
          </w:p>
        </w:tc>
      </w:tr>
      <w:tr>
        <w:trPr>
          <w:cantSplit/>
        </w:trPr>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PEAK Empowerment &amp; Development Foundation</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Abuja FCT &amp; North-Central Nigeria</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Digital financial inclusion and microfinance for underserved communities</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10,112 reached</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Adjacent</w:t>
            </w:r>
          </w:p>
        </w:tc>
      </w:tr>
      <w:tr>
        <w:trPr>
          <w:cantSplit/>
        </w:trPr>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Ikore International Development Limited</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national reach</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Market-systems development for agrifood MSMEs</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500+ MSMEs</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Adjacent</w:t>
            </w:r>
          </w:p>
        </w:tc>
      </w:tr>
      <w:tr>
        <w:trPr>
          <w:cantSplit/>
        </w:trPr>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Virtuous Women Credit and Loan Cooperative Society</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Jos, Plateau State</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Women-led credit and loan cooperative</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856 reached</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Adjacent</w:t>
            </w:r>
          </w:p>
        </w:tc>
      </w:tr>
      <w:tr>
        <w:trPr>
          <w:cantSplit/>
        </w:trPr>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Light Microfinance Bank Ltd</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Jos, Plateau State</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Regulated microfinance bank for micro and small entrepreneurs</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9,274 reached</w:t>
            </w:r>
          </w:p>
        </w:tc>
        <w:tc>
          <w:tcP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None on file</w:t>
            </w:r>
          </w:p>
        </w:tc>
      </w:tr>
      <w:tr>
        <w:trPr>
          <w:cantSplit/>
        </w:trPr>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Homerun Industries Limited</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Imo State</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Agricultural value-chain development and renewable-energy agro-processing</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130 farmers</w:t>
            </w:r>
          </w:p>
        </w:tc>
        <w:tc>
          <w:tcPr>
            <w:shd w:fill="EBF6F5" w:color="auto" w:val="clear"/>
            <w:tcMar>
              <w:top w:type="dxa" w:w="90"/>
              <w:left w:type="dxa" w:w="100"/>
              <w:bottom w:type="dxa" w:w="90"/>
              <w:right w:type="dxa" w:w="100"/>
            </w:tcMar>
            <w:vAlign w:val="center"/>
          </w:tcPr>
          <w:p>
            <w:pPr>
              <w:spacing w:after="120" w:before="0"/>
            </w:pPr>
            <w:r>
              <w:rPr>
                <w:rFonts w:ascii="Calibri" w:cs="Calibri" w:eastAsia="Calibri" w:hAnsi="Calibri"/>
                <w:b w:val="false"/>
                <w:bCs w:val="false"/>
                <w:i w:val="false"/>
                <w:iCs w:val="false"/>
                <w:color w:val="222222"/>
                <w:sz w:val="17"/>
                <w:szCs w:val="17"/>
              </w:rPr>
              <w:t xml:space="preserve">None on file</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A community water well or borehole in use, or a classroom / health outreach session in Rijau, Mariga or Aguara.</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Water Wins Community Development Association</w:t>
            </w:r>
          </w:p>
          <w:p>
            <w:pPr>
              <w:spacing w:after="140" w:before="0"/>
            </w:pPr>
            <w:r>
              <w:rPr>
                <w:rFonts w:ascii="Calibri" w:cs="Calibri" w:eastAsia="Calibri" w:hAnsi="Calibri"/>
                <w:b w:val="false"/>
                <w:bCs w:val="false"/>
                <w:i/>
                <w:iCs/>
                <w:color w:val="57B6B2"/>
                <w:sz w:val="20"/>
                <w:szCs w:val="20"/>
              </w:rPr>
              <w:t xml:space="preserve">Water, education and community health for the Eastern Kambari people — Rijau, Mariga &amp; Aguara LGAs, Niger State</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2005</w:t>
            </w:r>
          </w:p>
          <w:p>
            <w:pPr>
              <w:spacing w:after="60"/>
            </w:pPr>
            <w:r>
              <w:rPr>
                <w:rFonts w:ascii="Calibri" w:cs="Calibri" w:eastAsia="Calibri" w:hAnsi="Calibri"/>
                <w:b/>
                <w:bCs/>
                <w:color w:val="00444C"/>
                <w:sz w:val="20"/>
                <w:szCs w:val="20"/>
              </w:rPr>
              <w:t xml:space="preserve">PW partner since: </w:t>
            </w:r>
            <w:r>
              <w:rPr>
                <w:rFonts w:ascii="Calibri" w:cs="Calibri" w:eastAsia="Calibri" w:hAnsi="Calibri"/>
                <w:color w:val="222222"/>
                <w:sz w:val="20"/>
                <w:szCs w:val="20"/>
              </w:rPr>
              <w:t xml:space="preserve">2016</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65</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10,500 people given access to clean water (21 wells drilled)</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Water-well drilling, evangelism, primary and secondary education, agricultural development, and community health for the Eastern Kambari people across Rijau, Mariga and Aguara Local Government Areas in upper Niger State.</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21 water wells drilled, providing clean, safe water to roughly 10,500 people.</w:t>
            </w:r>
          </w:p>
          <w:p>
            <w:pPr>
              <w:pStyle w:val="ListParagraph"/>
              <w:numPr>
                <w:ilvl w:val="0"/>
                <w:numId w:val="1"/>
              </w:numPr>
              <w:spacing w:after="60"/>
            </w:pPr>
            <w:r>
              <w:rPr>
                <w:rFonts w:ascii="Calibri" w:cs="Calibri" w:eastAsia="Calibri" w:hAnsi="Calibri"/>
                <w:color w:val="222222"/>
                <w:sz w:val="20"/>
                <w:szCs w:val="20"/>
              </w:rPr>
              <w:t xml:space="preserve">Mass evangelism outreach reaching the surrounding community.</w:t>
            </w:r>
          </w:p>
          <w:p>
            <w:pPr>
              <w:pStyle w:val="ListParagraph"/>
              <w:numPr>
                <w:ilvl w:val="0"/>
                <w:numId w:val="1"/>
              </w:numPr>
              <w:spacing w:after="60"/>
            </w:pPr>
            <w:r>
              <w:rPr>
                <w:rFonts w:ascii="Calibri" w:cs="Calibri" w:eastAsia="Calibri" w:hAnsi="Calibri"/>
                <w:color w:val="222222"/>
                <w:sz w:val="20"/>
                <w:szCs w:val="20"/>
              </w:rPr>
              <w:t xml:space="preserve">Team already has hands-on cable-tool well-drilling experience and capacity.</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Direct on both fronts. Water Wins is one of only two LCIs in this network with explicit, named education and community-health programming, alongside its water and agricultural work — the clearest starting point in the network for this conversation.</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Strongest immediate fit for the Foundation's education and health interest — e.g. co-funding boreholes or WASH facilities at schools and clinics, support for primary/secondary education programming, or community-health outreach across Rijau, Mariga and Aguara.</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Trainees in a vocational or automobile workshop, or an agricultural skills class, under the TVET/IDEAS Project.</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Pleasure Travels Group of Companies</w:t>
            </w:r>
          </w:p>
          <w:p>
            <w:pPr>
              <w:spacing w:after="140" w:before="0"/>
            </w:pPr>
            <w:r>
              <w:rPr>
                <w:rFonts w:ascii="Calibri" w:cs="Calibri" w:eastAsia="Calibri" w:hAnsi="Calibri"/>
                <w:b w:val="false"/>
                <w:bCs w:val="false"/>
                <w:i/>
                <w:iCs/>
                <w:color w:val="57B6B2"/>
                <w:sz w:val="20"/>
                <w:szCs w:val="20"/>
              </w:rPr>
              <w:t xml:space="preserve">Technical and vocational skills training across transport, automobile, gas &amp; oil and agriculture — Makurdi, Benue State</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2008</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70</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350+ entrepreneurs trained under the TVET/IDEAS Project</w:t>
            </w:r>
          </w:p>
          <w:p>
            <w:pPr>
              <w:spacing w:after="60"/>
            </w:pPr>
            <w:r>
              <w:rPr>
                <w:rFonts w:ascii="Calibri" w:cs="Calibri" w:eastAsia="Calibri" w:hAnsi="Calibri"/>
                <w:b/>
                <w:bCs/>
                <w:color w:val="00444C"/>
                <w:sz w:val="20"/>
                <w:szCs w:val="20"/>
              </w:rPr>
              <w:t xml:space="preserve">States covered: </w:t>
            </w:r>
            <w:r>
              <w:rPr>
                <w:rFonts w:ascii="Calibri" w:cs="Calibri" w:eastAsia="Calibri" w:hAnsi="Calibri"/>
                <w:color w:val="222222"/>
                <w:sz w:val="20"/>
                <w:szCs w:val="20"/>
              </w:rPr>
              <w:t xml:space="preserve">Benue (HQ), Lagos, Kaduna, Cross River, Plateau</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A diversified private group spanning transport &amp; logistics, automobile, gas &amp; oil and agriculture, which also runs practical vocational training that connects graduates directly to industry needs.</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Trained over 350 entrepreneurs in automobile and agriculture skills under the TVET/IDEAS Project.</w:t>
            </w:r>
          </w:p>
          <w:p>
            <w:pPr>
              <w:pStyle w:val="ListParagraph"/>
              <w:numPr>
                <w:ilvl w:val="0"/>
                <w:numId w:val="1"/>
              </w:numPr>
              <w:spacing w:after="60"/>
            </w:pPr>
            <w:r>
              <w:rPr>
                <w:rFonts w:ascii="Calibri" w:cs="Calibri" w:eastAsia="Calibri" w:hAnsi="Calibri"/>
                <w:color w:val="222222"/>
                <w:sz w:val="20"/>
                <w:szCs w:val="20"/>
              </w:rPr>
              <w:t xml:space="preserve">Combines hands-on training, community engagement and sector mobilisation across five states.</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Direct on education. Technical and vocational education and training (TVET) is a core, named activity of this LCI. No direct health programming on file.</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Strong fit for education-focused collaboration — e.g. sponsoring additional TVET training cohorts, equipping vocational workshops, or scholarships for trainees in automobile, logistics or agricultural skills.</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Young people in a hands-on digital-skills or entrepreneurship training session at The Assembly innovation hub.</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Ennovate Lab</w:t>
            </w:r>
          </w:p>
          <w:p>
            <w:pPr>
              <w:spacing w:after="140" w:before="0"/>
            </w:pPr>
            <w:r>
              <w:rPr>
                <w:rFonts w:ascii="Calibri" w:cs="Calibri" w:eastAsia="Calibri" w:hAnsi="Calibri"/>
                <w:b w:val="false"/>
                <w:bCs w:val="false"/>
                <w:i/>
                <w:iCs/>
                <w:color w:val="57B6B2"/>
                <w:sz w:val="20"/>
                <w:szCs w:val="20"/>
              </w:rPr>
              <w:t xml:space="preserve">Digital skills, youth employability and an innovation hub — Ogbomoso, Oyo State</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2017</w:t>
            </w:r>
          </w:p>
          <w:p>
            <w:pPr>
              <w:spacing w:after="60"/>
            </w:pPr>
            <w:r>
              <w:rPr>
                <w:rFonts w:ascii="Calibri" w:cs="Calibri" w:eastAsia="Calibri" w:hAnsi="Calibri"/>
                <w:b/>
                <w:bCs/>
                <w:color w:val="00444C"/>
                <w:sz w:val="20"/>
                <w:szCs w:val="20"/>
              </w:rPr>
              <w:t xml:space="preserve">PW partner since: </w:t>
            </w:r>
            <w:r>
              <w:rPr>
                <w:rFonts w:ascii="Calibri" w:cs="Calibri" w:eastAsia="Calibri" w:hAnsi="Calibri"/>
                <w:color w:val="222222"/>
                <w:sz w:val="20"/>
                <w:szCs w:val="20"/>
              </w:rPr>
              <w:t xml:space="preserve">2024</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47 (incl. interns)</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2,500+ young people &amp; entrepreneurs (past 12 months)</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Serves young people, entrepreneurs, founders, students and emerging professionals through The Assembly — a physical hub for entrepreneurship, learning, collaboration and community-building — plus programmes in employability, technology, digital skills, leadership and innovation.</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Launched and grew The Assembly as a shared community and entrepreneurship hub.</w:t>
            </w:r>
          </w:p>
          <w:p>
            <w:pPr>
              <w:pStyle w:val="ListParagraph"/>
              <w:numPr>
                <w:ilvl w:val="0"/>
                <w:numId w:val="1"/>
              </w:numPr>
              <w:spacing w:after="60"/>
            </w:pPr>
            <w:r>
              <w:rPr>
                <w:rFonts w:ascii="Calibri" w:cs="Calibri" w:eastAsia="Calibri" w:hAnsi="Calibri"/>
                <w:color w:val="222222"/>
                <w:sz w:val="20"/>
                <w:szCs w:val="20"/>
              </w:rPr>
              <w:t xml:space="preserve">Ran multiple concurrent skills and employability programmes (including WIP, CcHUB GATEWAY, iDice Startup Bridge, Brave and ODES) reaching thousands of young people in a secondary city.</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Indirect / adjacent on education. Ennovate Lab delivers non-formal education — digital-skills, technology and employability training for youth. No direct health programming.</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A secondary but credible fit for education-focused collaboration — e.g. sponsoring a digital-skills or employability cohort, or scholarships for underserved youth into existing programmes.</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A business or financial-literacy training session, or a woman entrepreneur being onboarded onto agency banking.</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PEAK Empowerment &amp; Development Foundation</w:t>
            </w:r>
          </w:p>
          <w:p>
            <w:pPr>
              <w:spacing w:after="140" w:before="0"/>
            </w:pPr>
            <w:r>
              <w:rPr>
                <w:rFonts w:ascii="Calibri" w:cs="Calibri" w:eastAsia="Calibri" w:hAnsi="Calibri"/>
                <w:b w:val="false"/>
                <w:bCs w:val="false"/>
                <w:i/>
                <w:iCs/>
                <w:color w:val="57B6B2"/>
                <w:sz w:val="20"/>
                <w:szCs w:val="20"/>
              </w:rPr>
              <w:t xml:space="preserve">Digital financial inclusion and microfinance for underserved communities — Abuja FCT &amp; North-Central Nigeria</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2021</w:t>
            </w:r>
          </w:p>
          <w:p>
            <w:pPr>
              <w:spacing w:after="60"/>
            </w:pPr>
            <w:r>
              <w:rPr>
                <w:rFonts w:ascii="Calibri" w:cs="Calibri" w:eastAsia="Calibri" w:hAnsi="Calibri"/>
                <w:b/>
                <w:bCs/>
                <w:color w:val="00444C"/>
                <w:sz w:val="20"/>
                <w:szCs w:val="20"/>
              </w:rPr>
              <w:t xml:space="preserve">PW partner since: </w:t>
            </w:r>
            <w:r>
              <w:rPr>
                <w:rFonts w:ascii="Calibri" w:cs="Calibri" w:eastAsia="Calibri" w:hAnsi="Calibri"/>
                <w:color w:val="222222"/>
                <w:sz w:val="20"/>
                <w:szCs w:val="20"/>
              </w:rPr>
              <w:t xml:space="preserve">2023</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75</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10,112 entrepreneurs (past 12 months)</w:t>
            </w:r>
          </w:p>
          <w:p>
            <w:pPr>
              <w:spacing w:after="60"/>
            </w:pPr>
            <w:r>
              <w:rPr>
                <w:rFonts w:ascii="Calibri" w:cs="Calibri" w:eastAsia="Calibri" w:hAnsi="Calibri"/>
                <w:b/>
                <w:bCs/>
                <w:color w:val="00444C"/>
                <w:sz w:val="20"/>
                <w:szCs w:val="20"/>
              </w:rPr>
              <w:t xml:space="preserve">States covered: </w:t>
            </w:r>
            <w:r>
              <w:rPr>
                <w:rFonts w:ascii="Calibri" w:cs="Calibri" w:eastAsia="Calibri" w:hAnsi="Calibri"/>
                <w:color w:val="222222"/>
                <w:sz w:val="20"/>
                <w:szCs w:val="20"/>
              </w:rPr>
              <w:t xml:space="preserve">Niger, Nasarawa, Benue, FCT</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Digital financial inclusion, microfinance, women's economic empowerment, youth entrepreneurship, MSME development and community development. Entrepreneurs complete practical business training before receiving financing.</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RENDIF initiative connected beneficiaries to financial services, business support and practical capacity building.</w:t>
            </w:r>
          </w:p>
          <w:p>
            <w:pPr>
              <w:pStyle w:val="ListParagraph"/>
              <w:numPr>
                <w:ilvl w:val="0"/>
                <w:numId w:val="1"/>
              </w:numPr>
              <w:spacing w:after="60"/>
            </w:pPr>
            <w:r>
              <w:rPr>
                <w:rFonts w:ascii="Calibri" w:cs="Calibri" w:eastAsia="Calibri" w:hAnsi="Calibri"/>
                <w:color w:val="222222"/>
                <w:sz w:val="20"/>
                <w:szCs w:val="20"/>
              </w:rPr>
              <w:t xml:space="preserve">Rolled out agency banking and onboarded its first merchant agents.</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Adjacent on education only. PEAK delivers pre-disbursement financial-management and business training (non-formal economic education) through weekly sessions. No direct health programming.</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Limited direct fit with education or health; a possible adjacent link exists through co-designed financial-literacy training content, if of interest.</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An agrifood market scene, or an MSME advisory / incubation session with farmers or traders.</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Ikore International Development Limited</w:t>
            </w:r>
          </w:p>
          <w:p>
            <w:pPr>
              <w:spacing w:after="140" w:before="0"/>
            </w:pPr>
            <w:r>
              <w:rPr>
                <w:rFonts w:ascii="Calibri" w:cs="Calibri" w:eastAsia="Calibri" w:hAnsi="Calibri"/>
                <w:b w:val="false"/>
                <w:bCs w:val="false"/>
                <w:i/>
                <w:iCs/>
                <w:color w:val="57B6B2"/>
                <w:sz w:val="20"/>
                <w:szCs w:val="20"/>
              </w:rPr>
              <w:t xml:space="preserve">Market-systems development for agrifood MSMEs — national reach</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2018</w:t>
            </w:r>
          </w:p>
          <w:p>
            <w:pPr>
              <w:spacing w:after="60"/>
            </w:pPr>
            <w:r>
              <w:rPr>
                <w:rFonts w:ascii="Calibri" w:cs="Calibri" w:eastAsia="Calibri" w:hAnsi="Calibri"/>
                <w:b/>
                <w:bCs/>
                <w:color w:val="00444C"/>
                <w:sz w:val="20"/>
                <w:szCs w:val="20"/>
              </w:rPr>
              <w:t xml:space="preserve">PW partner since: </w:t>
            </w:r>
            <w:r>
              <w:rPr>
                <w:rFonts w:ascii="Calibri" w:cs="Calibri" w:eastAsia="Calibri" w:hAnsi="Calibri"/>
                <w:color w:val="222222"/>
                <w:sz w:val="20"/>
                <w:szCs w:val="20"/>
              </w:rPr>
              <w:t xml:space="preserve">2025</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33</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500+ MSMEs &amp; entrepreneurs</w:t>
            </w:r>
          </w:p>
          <w:p>
            <w:pPr>
              <w:spacing w:after="60"/>
            </w:pPr>
            <w:r>
              <w:rPr>
                <w:rFonts w:ascii="Calibri" w:cs="Calibri" w:eastAsia="Calibri" w:hAnsi="Calibri"/>
                <w:b/>
                <w:bCs/>
                <w:color w:val="00444C"/>
                <w:sz w:val="20"/>
                <w:szCs w:val="20"/>
              </w:rPr>
              <w:t xml:space="preserve">Coverage: </w:t>
            </w:r>
            <w:r>
              <w:rPr>
                <w:rFonts w:ascii="Calibri" w:cs="Calibri" w:eastAsia="Calibri" w:hAnsi="Calibri"/>
                <w:color w:val="222222"/>
                <w:sz w:val="20"/>
                <w:szCs w:val="20"/>
              </w:rPr>
              <w:t xml:space="preserve">HQ Abuja; offices in Adamawa &amp; Nasarawa; outposts in Lagos, Kano, Oyo, Delta, Benue</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Market-systems development, enterprise support, agricultural value-chain finance and market access, and business-model design and incubation for agrifood MSMEs, farmers and other market actors.</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Strengthened the capacity of hundreds of agrifood MSMEs.</w:t>
            </w:r>
          </w:p>
          <w:p>
            <w:pPr>
              <w:pStyle w:val="ListParagraph"/>
              <w:numPr>
                <w:ilvl w:val="0"/>
                <w:numId w:val="1"/>
              </w:numPr>
              <w:spacing w:after="60"/>
            </w:pPr>
            <w:r>
              <w:rPr>
                <w:rFonts w:ascii="Calibri" w:cs="Calibri" w:eastAsia="Calibri" w:hAnsi="Calibri"/>
                <w:color w:val="222222"/>
                <w:sz w:val="20"/>
                <w:szCs w:val="20"/>
              </w:rPr>
              <w:t xml:space="preserve">Deepened market linkages across crop, livestock and nutrition portfolios.</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Adjacent on education only. Business-model design and incubation amounts to non-formal economic education. No direct health programming.</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Limited direct fit with education or health; a possible adjacent link exists through its enterprise-incubation training content.</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A women's cooperative meeting, a loan disbursement session, or members' textile/clothing products.</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Virtuous Women Credit and Loan Cooperative Society</w:t>
            </w:r>
          </w:p>
          <w:p>
            <w:pPr>
              <w:spacing w:after="140" w:before="0"/>
            </w:pPr>
            <w:r>
              <w:rPr>
                <w:rFonts w:ascii="Calibri" w:cs="Calibri" w:eastAsia="Calibri" w:hAnsi="Calibri"/>
                <w:b w:val="false"/>
                <w:bCs w:val="false"/>
                <w:i/>
                <w:iCs/>
                <w:color w:val="57B6B2"/>
                <w:sz w:val="20"/>
                <w:szCs w:val="20"/>
              </w:rPr>
              <w:t xml:space="preserve">Women-led credit and loan cooperative — Jos, Plateau State</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2014</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1 staff + 6 volunteers</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856 entrepreneurs (past 12 months)</w:t>
            </w:r>
          </w:p>
          <w:p>
            <w:pPr>
              <w:spacing w:after="60"/>
            </w:pPr>
            <w:r>
              <w:rPr>
                <w:rFonts w:ascii="Calibri" w:cs="Calibri" w:eastAsia="Calibri" w:hAnsi="Calibri"/>
                <w:b/>
                <w:bCs/>
                <w:color w:val="00444C"/>
                <w:sz w:val="20"/>
                <w:szCs w:val="20"/>
              </w:rPr>
              <w:t xml:space="preserve">States covered: </w:t>
            </w:r>
            <w:r>
              <w:rPr>
                <w:rFonts w:ascii="Calibri" w:cs="Calibri" w:eastAsia="Calibri" w:hAnsi="Calibri"/>
                <w:color w:val="222222"/>
                <w:sz w:val="20"/>
                <w:szCs w:val="20"/>
              </w:rPr>
              <w:t xml:space="preserve">Plateau, Abuja</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Business training, a member loan portfolio giving microenterprises access to capital, and mechanised-farming (tractor) access for members without one — serving women, youth and vulnerable people.</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Delivered business training to microenterprises and built a member loan portfolio.</w:t>
            </w:r>
          </w:p>
          <w:p>
            <w:pPr>
              <w:pStyle w:val="ListParagraph"/>
              <w:numPr>
                <w:ilvl w:val="0"/>
                <w:numId w:val="1"/>
              </w:numPr>
              <w:spacing w:after="60"/>
            </w:pPr>
            <w:r>
              <w:rPr>
                <w:rFonts w:ascii="Calibri" w:cs="Calibri" w:eastAsia="Calibri" w:hAnsi="Calibri"/>
                <w:color w:val="222222"/>
                <w:sz w:val="20"/>
                <w:szCs w:val="20"/>
              </w:rPr>
              <w:t xml:space="preserve">Opened mechanised farming access to members who had no tractor of their own.</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Adjacent on education only, through its business training. No direct health programming.</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Limited direct fit with education or health. Notable as the network's only woman-founded and woman-led LCI, which may be relevant if gender-focused criteria apply to the Foundation's giving.</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A Light MFB branch, or a loan officer meeting with a market trader or small-business owner.</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Light Microfinance Bank Ltd</w:t>
            </w:r>
          </w:p>
          <w:p>
            <w:pPr>
              <w:spacing w:after="140" w:before="0"/>
            </w:pPr>
            <w:r>
              <w:rPr>
                <w:rFonts w:ascii="Calibri" w:cs="Calibri" w:eastAsia="Calibri" w:hAnsi="Calibri"/>
                <w:b w:val="false"/>
                <w:bCs w:val="false"/>
                <w:i/>
                <w:iCs/>
                <w:color w:val="57B6B2"/>
                <w:sz w:val="20"/>
                <w:szCs w:val="20"/>
              </w:rPr>
              <w:t xml:space="preserve">Regulated microfinance bank for micro and small entrepreneurs — Jos, Plateau State</w:t>
            </w:r>
          </w:p>
          <w:p>
            <w:pPr>
              <w:spacing w:after="60"/>
            </w:pPr>
            <w:r>
              <w:rPr>
                <w:rFonts w:ascii="Calibri" w:cs="Calibri" w:eastAsia="Calibri" w:hAnsi="Calibri"/>
                <w:b/>
                <w:bCs/>
                <w:color w:val="00444C"/>
                <w:sz w:val="20"/>
                <w:szCs w:val="20"/>
              </w:rPr>
              <w:t xml:space="preserve">Founded: </w:t>
            </w:r>
            <w:r>
              <w:rPr>
                <w:rFonts w:ascii="Calibri" w:cs="Calibri" w:eastAsia="Calibri" w:hAnsi="Calibri"/>
                <w:color w:val="222222"/>
                <w:sz w:val="20"/>
                <w:szCs w:val="20"/>
              </w:rPr>
              <w:t xml:space="preserve">2012</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~75</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9,274 entrepreneurs (past 12 months)</w:t>
            </w:r>
          </w:p>
          <w:p>
            <w:pPr>
              <w:spacing w:after="60"/>
            </w:pPr>
            <w:r>
              <w:rPr>
                <w:rFonts w:ascii="Calibri" w:cs="Calibri" w:eastAsia="Calibri" w:hAnsi="Calibri"/>
                <w:b/>
                <w:bCs/>
                <w:color w:val="00444C"/>
                <w:sz w:val="20"/>
                <w:szCs w:val="20"/>
              </w:rPr>
              <w:t xml:space="preserve">Coverage: </w:t>
            </w:r>
            <w:r>
              <w:rPr>
                <w:rFonts w:ascii="Calibri" w:cs="Calibri" w:eastAsia="Calibri" w:hAnsi="Calibri"/>
                <w:color w:val="222222"/>
                <w:sz w:val="20"/>
                <w:szCs w:val="20"/>
              </w:rPr>
              <w:t xml:space="preserve">Plateau State and neighbouring North-Central Nigeria</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Serves micro and small-scale entrepreneurs in agriculture, trade and services; runs the Light Graceful Ventures Loan, a women-focused microloan programme.</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Launched the Light Graceful Ventures Loan, empowering over 600 female entrepreneurs in its first year.</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No direct education or health programming on file — this LCI is a regulated financial institution focused on lending.</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Limited direct fit with education or health.</w:t>
            </w:r>
          </w:p>
        </w:tc>
      </w:tr>
    </w:tbl>
    <w:p>
      <w:pPr>
        <w:pBdr>
          <w:bottom w:val="single" w:color="D8D8D4" w:sz="4"/>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rHeight w:val="2600" w:hRule="atLeast"/>
        </w:trPr>
        <w:tc>
          <w:tcPr>
            <w:tcW w:type="dxa" w:w="2500"/>
            <w:tcBorders>
              <w:top w:val="single" w:color="B7B7B7" w:sz="4"/>
              <w:left w:val="single" w:color="B7B7B7" w:sz="4"/>
              <w:bottom w:val="single" w:color="B7B7B7" w:sz="4"/>
              <w:right w:val="single" w:color="B7B7B7" w:sz="4"/>
            </w:tcBorders>
            <w:shd w:fill="F0F0EE" w:color="auto" w:val="clear"/>
            <w:tcMar>
              <w:top w:type="dxa" w:w="200"/>
              <w:left w:type="dxa" w:w="160"/>
              <w:bottom w:type="dxa" w:w="200"/>
              <w:right w:type="dxa" w:w="160"/>
            </w:tcMar>
            <w:vAlign w:val="center"/>
          </w:tcPr>
          <w:p>
            <w:pPr>
              <w:spacing w:after="80" w:before="0"/>
              <w:jc w:val="center"/>
            </w:pPr>
            <w:r>
              <w:rPr>
                <w:rFonts w:ascii="Calibri" w:cs="Calibri" w:eastAsia="Calibri" w:hAnsi="Calibri"/>
                <w:b/>
                <w:bCs/>
                <w:i w:val="false"/>
                <w:iCs w:val="false"/>
                <w:color w:val="8A8A85"/>
                <w:sz w:val="18"/>
                <w:szCs w:val="18"/>
              </w:rPr>
              <w:t xml:space="preserve">IMAGE</w:t>
            </w:r>
          </w:p>
          <w:p>
            <w:pPr>
              <w:spacing w:after="160" w:before="0"/>
              <w:jc w:val="center"/>
            </w:pPr>
            <w:r>
              <w:rPr>
                <w:rFonts w:ascii="Calibri" w:cs="Calibri" w:eastAsia="Calibri" w:hAnsi="Calibri"/>
                <w:b/>
                <w:bCs/>
                <w:i w:val="false"/>
                <w:iCs w:val="false"/>
                <w:color w:val="8A8A85"/>
                <w:sz w:val="18"/>
                <w:szCs w:val="18"/>
              </w:rPr>
              <w:t xml:space="preserve">PLACEHOLDER</w:t>
            </w:r>
          </w:p>
          <w:p>
            <w:pPr>
              <w:spacing w:after="40" w:before="0"/>
              <w:jc w:val="center"/>
            </w:pPr>
            <w:r>
              <w:rPr>
                <w:rFonts w:ascii="Calibri" w:cs="Calibri" w:eastAsia="Calibri" w:hAnsi="Calibri"/>
                <w:b w:val="false"/>
                <w:bCs w:val="false"/>
                <w:i/>
                <w:iCs/>
                <w:color w:val="00444C"/>
                <w:sz w:val="16"/>
                <w:szCs w:val="16"/>
              </w:rPr>
              <w:t xml:space="preserve">Suggested image:</w:t>
            </w:r>
          </w:p>
          <w:p>
            <w:pPr>
              <w:spacing w:after="0" w:before="0"/>
              <w:jc w:val="center"/>
            </w:pPr>
            <w:r>
              <w:rPr>
                <w:rFonts w:ascii="Calibri" w:cs="Calibri" w:eastAsia="Calibri" w:hAnsi="Calibri"/>
                <w:b w:val="false"/>
                <w:bCs w:val="false"/>
                <w:i/>
                <w:iCs/>
                <w:color w:val="222222"/>
                <w:sz w:val="16"/>
                <w:szCs w:val="16"/>
              </w:rPr>
              <w:t xml:space="preserve">Cassava processing equipment, or smallholder farmers at the outgrower / agro-processing site.</w:t>
            </w:r>
          </w:p>
        </w:tc>
        <w:tc>
          <w:tcPr>
            <w:tcW w:type="dxa" w:w="6526"/>
            <w:tcBorders>
              <w:top w:val="none" w:color="FFFFFF" w:sz="0"/>
              <w:left w:val="none" w:color="FFFFFF" w:sz="0"/>
              <w:bottom w:val="none" w:color="FFFFFF" w:sz="0"/>
              <w:right w:val="none" w:color="FFFFFF" w:sz="0"/>
            </w:tcBorders>
            <w:tcMar>
              <w:top w:type="dxa" w:w="0"/>
              <w:left w:type="dxa" w:w="260"/>
              <w:bottom w:type="dxa" w:w="0"/>
              <w:right w:type="dxa" w:w="0"/>
            </w:tcMar>
          </w:tcPr>
          <w:p>
            <w:pPr>
              <w:spacing w:after="20"/>
            </w:pPr>
            <w:r>
              <w:rPr>
                <w:rFonts w:ascii="Calibri" w:cs="Calibri" w:eastAsia="Calibri" w:hAnsi="Calibri"/>
                <w:b/>
                <w:bCs/>
                <w:color w:val="00444C"/>
                <w:sz w:val="27"/>
                <w:szCs w:val="27"/>
              </w:rPr>
              <w:t xml:space="preserve">Homerun Industries Limited</w:t>
            </w:r>
          </w:p>
          <w:p>
            <w:pPr>
              <w:spacing w:after="140" w:before="0"/>
            </w:pPr>
            <w:r>
              <w:rPr>
                <w:rFonts w:ascii="Calibri" w:cs="Calibri" w:eastAsia="Calibri" w:hAnsi="Calibri"/>
                <w:b w:val="false"/>
                <w:bCs w:val="false"/>
                <w:i/>
                <w:iCs/>
                <w:color w:val="57B6B2"/>
                <w:sz w:val="20"/>
                <w:szCs w:val="20"/>
              </w:rPr>
              <w:t xml:space="preserve">Agricultural value-chain development and renewable-energy agro-processing — Imo State</w:t>
            </w:r>
          </w:p>
          <w:p>
            <w:pPr>
              <w:spacing w:after="60"/>
            </w:pPr>
            <w:r>
              <w:rPr>
                <w:rFonts w:ascii="Calibri" w:cs="Calibri" w:eastAsia="Calibri" w:hAnsi="Calibri"/>
                <w:b/>
                <w:bCs/>
                <w:color w:val="00444C"/>
                <w:sz w:val="20"/>
                <w:szCs w:val="20"/>
              </w:rPr>
              <w:t xml:space="preserve">PW partner since: </w:t>
            </w:r>
            <w:r>
              <w:rPr>
                <w:rFonts w:ascii="Calibri" w:cs="Calibri" w:eastAsia="Calibri" w:hAnsi="Calibri"/>
                <w:color w:val="222222"/>
                <w:sz w:val="20"/>
                <w:szCs w:val="20"/>
              </w:rPr>
              <w:t xml:space="preserve">2023</w:t>
            </w:r>
          </w:p>
          <w:p>
            <w:pPr>
              <w:spacing w:after="60"/>
            </w:pPr>
            <w:r>
              <w:rPr>
                <w:rFonts w:ascii="Calibri" w:cs="Calibri" w:eastAsia="Calibri" w:hAnsi="Calibri"/>
                <w:b/>
                <w:bCs/>
                <w:color w:val="00444C"/>
                <w:sz w:val="20"/>
                <w:szCs w:val="20"/>
              </w:rPr>
              <w:t xml:space="preserve">Staff: </w:t>
            </w:r>
            <w:r>
              <w:rPr>
                <w:rFonts w:ascii="Calibri" w:cs="Calibri" w:eastAsia="Calibri" w:hAnsi="Calibri"/>
                <w:color w:val="222222"/>
                <w:sz w:val="20"/>
                <w:szCs w:val="20"/>
              </w:rPr>
              <w:t xml:space="preserve">19</w:t>
            </w:r>
          </w:p>
          <w:p>
            <w:pPr>
              <w:spacing w:after="60"/>
            </w:pPr>
            <w:r>
              <w:rPr>
                <w:rFonts w:ascii="Calibri" w:cs="Calibri" w:eastAsia="Calibri" w:hAnsi="Calibri"/>
                <w:b/>
                <w:bCs/>
                <w:color w:val="00444C"/>
                <w:sz w:val="20"/>
                <w:szCs w:val="20"/>
              </w:rPr>
              <w:t xml:space="preserve">Reach: </w:t>
            </w:r>
            <w:r>
              <w:rPr>
                <w:rFonts w:ascii="Calibri" w:cs="Calibri" w:eastAsia="Calibri" w:hAnsi="Calibri"/>
                <w:color w:val="222222"/>
                <w:sz w:val="20"/>
                <w:szCs w:val="20"/>
              </w:rPr>
              <w:t xml:space="preserve">130 farmers onboarded into the outgrower scheme</w:t>
            </w:r>
          </w:p>
          <w:p>
            <w:pPr>
              <w:spacing w:after="60"/>
            </w:pPr>
            <w:r>
              <w:rPr>
                <w:rFonts w:ascii="Calibri" w:cs="Calibri" w:eastAsia="Calibri" w:hAnsi="Calibri"/>
                <w:b/>
                <w:bCs/>
                <w:color w:val="00444C"/>
                <w:sz w:val="20"/>
                <w:szCs w:val="20"/>
              </w:rPr>
              <w:t xml:space="preserve">Location: </w:t>
            </w:r>
            <w:r>
              <w:rPr>
                <w:rFonts w:ascii="Calibri" w:cs="Calibri" w:eastAsia="Calibri" w:hAnsi="Calibri"/>
                <w:color w:val="222222"/>
                <w:sz w:val="20"/>
                <w:szCs w:val="20"/>
              </w:rPr>
              <w:t xml:space="preserve">Arondizuogu, Ideato North LGA, Imo State; HQ in Abuja FCT</w:t>
            </w:r>
          </w:p>
          <w:p>
            <w:pPr>
              <w:spacing w:after="60" w:before="140"/>
            </w:pPr>
            <w:r>
              <w:rPr>
                <w:rFonts w:ascii="Calibri" w:cs="Calibri" w:eastAsia="Calibri" w:hAnsi="Calibri"/>
                <w:b/>
                <w:bCs/>
                <w:caps/>
                <w:color w:val="57B6B2"/>
                <w:sz w:val="19"/>
                <w:szCs w:val="19"/>
              </w:rPr>
              <w:t xml:space="preserve">Focus</w:t>
            </w:r>
          </w:p>
          <w:p>
            <w:pPr>
              <w:spacing w:after="100" w:before="0"/>
            </w:pPr>
            <w:r>
              <w:rPr>
                <w:rFonts w:ascii="Calibri" w:cs="Calibri" w:eastAsia="Calibri" w:hAnsi="Calibri"/>
                <w:b w:val="false"/>
                <w:bCs w:val="false"/>
                <w:i w:val="false"/>
                <w:iCs w:val="false"/>
                <w:color w:val="222222"/>
                <w:sz w:val="21"/>
                <w:szCs w:val="21"/>
              </w:rPr>
              <w:t xml:space="preserve">Cassava processing and a structured outgrower / exclusive-offtake scheme giving smallholders guaranteed offtake and stable pricing, built around a renewable-energy-powered agro-industrial park.</w:t>
            </w:r>
          </w:p>
          <w:p>
            <w:pPr>
              <w:spacing w:after="60" w:before="140"/>
            </w:pPr>
            <w:r>
              <w:rPr>
                <w:rFonts w:ascii="Calibri" w:cs="Calibri" w:eastAsia="Calibri" w:hAnsi="Calibri"/>
                <w:b/>
                <w:bCs/>
                <w:caps/>
                <w:color w:val="57B6B2"/>
                <w:sz w:val="19"/>
                <w:szCs w:val="19"/>
              </w:rPr>
              <w:t xml:space="preserve">Recent achievements</w:t>
            </w:r>
          </w:p>
          <w:p>
            <w:pPr>
              <w:pStyle w:val="ListParagraph"/>
              <w:numPr>
                <w:ilvl w:val="0"/>
                <w:numId w:val="1"/>
              </w:numPr>
              <w:spacing w:after="60"/>
            </w:pPr>
            <w:r>
              <w:rPr>
                <w:rFonts w:ascii="Calibri" w:cs="Calibri" w:eastAsia="Calibri" w:hAnsi="Calibri"/>
                <w:color w:val="222222"/>
                <w:sz w:val="20"/>
                <w:szCs w:val="20"/>
              </w:rPr>
              <w:t xml:space="preserve">Completed core infrastructure on a 4-hectare site: three factory buildings, an administrative complex, power and security infrastructure, and an industrial borehole.</w:t>
            </w:r>
          </w:p>
          <w:p>
            <w:pPr>
              <w:pStyle w:val="ListParagraph"/>
              <w:numPr>
                <w:ilvl w:val="0"/>
                <w:numId w:val="1"/>
              </w:numPr>
              <w:spacing w:after="60"/>
            </w:pPr>
            <w:r>
              <w:rPr>
                <w:rFonts w:ascii="Calibri" w:cs="Calibri" w:eastAsia="Calibri" w:hAnsi="Calibri"/>
                <w:color w:val="222222"/>
                <w:sz w:val="20"/>
                <w:szCs w:val="20"/>
              </w:rPr>
              <w:t xml:space="preserve">Secured a US$25,000 SEED100 Scaling Stage Grant and onboarded 130 farmers (about 35% women).</w:t>
            </w:r>
          </w:p>
          <w:p>
            <w:pPr>
              <w:spacing w:after="60" w:before="140"/>
            </w:pPr>
            <w:r>
              <w:rPr>
                <w:rFonts w:ascii="Calibri" w:cs="Calibri" w:eastAsia="Calibri" w:hAnsi="Calibri"/>
                <w:b/>
                <w:bCs/>
                <w:caps/>
                <w:color w:val="57B6B2"/>
                <w:sz w:val="19"/>
                <w:szCs w:val="19"/>
              </w:rPr>
              <w:t xml:space="preserve">Education &amp; health relevance</w:t>
            </w:r>
          </w:p>
          <w:p>
            <w:pPr>
              <w:spacing w:after="100" w:before="0"/>
            </w:pPr>
            <w:r>
              <w:rPr>
                <w:rFonts w:ascii="Calibri" w:cs="Calibri" w:eastAsia="Calibri" w:hAnsi="Calibri"/>
                <w:b w:val="false"/>
                <w:bCs w:val="false"/>
                <w:i w:val="false"/>
                <w:iCs w:val="false"/>
                <w:color w:val="222222"/>
                <w:sz w:val="21"/>
                <w:szCs w:val="21"/>
              </w:rPr>
              <w:t xml:space="preserve">No direct education or health programming on file — this LCI is primarily economic and agricultural.</w:t>
            </w:r>
          </w:p>
          <w:p>
            <w:pPr>
              <w:spacing w:after="60" w:before="140"/>
            </w:pPr>
            <w:r>
              <w:rPr>
                <w:rFonts w:ascii="Calibri" w:cs="Calibri" w:eastAsia="Calibri" w:hAnsi="Calibri"/>
                <w:b/>
                <w:bCs/>
                <w:caps/>
                <w:color w:val="57B6B2"/>
                <w:sz w:val="19"/>
                <w:szCs w:val="19"/>
              </w:rPr>
              <w:t xml:space="preserve">Possible collaboration with TY Danjuma Foundation</w:t>
            </w:r>
          </w:p>
          <w:p>
            <w:pPr>
              <w:spacing w:after="0" w:before="0"/>
            </w:pPr>
            <w:r>
              <w:rPr>
                <w:rFonts w:ascii="Calibri" w:cs="Calibri" w:eastAsia="Calibri" w:hAnsi="Calibri"/>
                <w:b w:val="false"/>
                <w:bCs w:val="false"/>
                <w:i w:val="false"/>
                <w:iCs w:val="false"/>
                <w:color w:val="222222"/>
                <w:sz w:val="21"/>
                <w:szCs w:val="21"/>
              </w:rPr>
              <w:t xml:space="preserve">Limited direct fit with education or health.</w:t>
            </w:r>
          </w:p>
        </w:tc>
      </w:tr>
    </w:tbl>
    <w:p>
      <w:pPr>
        <w:pBdr>
          <w:bottom w:val="single" w:color="D8D8D4" w:sz="4"/>
        </w:pBdr>
        <w:spacing w:after="200" w:before="200"/>
      </w:pPr>
    </w:p>
    <w:p>
      <w:pPr>
        <w:spacing w:after="60" w:before="140"/>
      </w:pPr>
      <w:r>
        <w:rPr>
          <w:rFonts w:ascii="Calibri" w:cs="Calibri" w:eastAsia="Calibri" w:hAnsi="Calibri"/>
          <w:b/>
          <w:bCs/>
          <w:caps/>
          <w:color w:val="57B6B2"/>
          <w:sz w:val="19"/>
          <w:szCs w:val="19"/>
        </w:rPr>
        <w:t xml:space="preserve">Suggested next step</w:t>
      </w:r>
    </w:p>
    <w:p>
      <w:pPr>
        <w:spacing w:after="160" w:before="0"/>
      </w:pPr>
      <w:r>
        <w:rPr>
          <w:rFonts w:ascii="Calibri" w:cs="Calibri" w:eastAsia="Calibri" w:hAnsi="Calibri"/>
          <w:b w:val="false"/>
          <w:bCs w:val="false"/>
          <w:i w:val="false"/>
          <w:iCs w:val="false"/>
          <w:color w:val="222222"/>
          <w:sz w:val="21"/>
          <w:szCs w:val="21"/>
        </w:rPr>
        <w:t xml:space="preserve">Based on the profiles above, the recommended starting point for the Foundation's education and health interest is a joint call or site visit with Water Wins Community Development Association and Pleasure Travels Group of Companies, with Ennovate Lab as a strong secondary option. This would let both organisations assess fit directly before considering whether to broaden the conversation to additional LCIs in the network.</w:t>
      </w:r>
    </w:p>
    <w:p>
      <w:pPr>
        <w:spacing w:after="0" w:before="0"/>
      </w:pPr>
      <w:r>
        <w:rPr>
          <w:rFonts w:ascii="Calibri" w:cs="Calibri" w:eastAsia="Calibri" w:hAnsi="Calibri"/>
          <w:b w:val="false"/>
          <w:bCs w:val="false"/>
          <w:i w:val="false"/>
          <w:iCs w:val="false"/>
          <w:color w:val="222222"/>
          <w:sz w:val="21"/>
          <w:szCs w:val="21"/>
        </w:rPr>
        <w:t xml:space="preserve">Please let us know what additional detail — financials, site visit scheduling, references, or specific programme documentation — would be useful ahead of the next conversation.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2026-09-24T08:03:58.785Z</dcterms:created>
  <dcterms:modified xsi:type="dcterms:W3CDTF">2026-09-24T08:03:58.785Z</dcterms:modified>
</cp:coreProperties>
</file>

<file path=docProps/custom.xml><?xml version="1.0" encoding="utf-8"?>
<Properties xmlns="http://schemas.openxmlformats.org/officeDocument/2006/custom-properties" xmlns:vt="http://schemas.openxmlformats.org/officeDocument/2006/docPropsVTypes"/>
</file>