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DA77A"/>
        </w:rPr>
        <w:t>MOATNOMICS</w:t>
      </w:r>
    </w:p>
    <w:p>
      <w:pPr>
        <w:pStyle w:val="Title"/>
      </w:pPr>
      <w:r>
        <w:t>Visual Identity</w:t>
        <w:br/>
        <w:t>&amp; Motion Guide</w:t>
      </w:r>
    </w:p>
    <w:p>
      <w:r>
        <w:rPr>
          <w:b/>
          <w:color w:val="7DA77A"/>
        </w:rPr>
        <w:t>VERSION 2.0  |  20 OCTOBER 2026</w:t>
      </w:r>
    </w:p>
    <w:p>
      <w:r>
        <w:rPr>
          <w:b/>
          <w:sz w:val="30"/>
        </w:rPr>
        <w:t>LESS NOISE, MORE NUANCE.</w:t>
      </w:r>
    </w:p>
    <w:p>
      <w:r>
        <w:rPr>
          <w:b w:val="0"/>
        </w:rPr>
        <w:t>A cross-channel working standard for brand identity, product UI, research reports, editorial content, video, motion, multilingual production and quality control.</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STATUS</w:t>
            </w:r>
          </w:p>
        </w:tc>
        <w:tc>
          <w:tcPr>
            <w:tcW w:type="dxa" w:w="5040"/>
            <w:shd w:fill="0E3D32"/>
          </w:tcPr>
          <w:p>
            <w:r>
              <w:rPr>
                <w:b/>
                <w:color w:val="FFFFFF"/>
                <w:sz w:val="15"/>
              </w:rPr>
              <w:t>MEANING</w:t>
            </w:r>
          </w:p>
        </w:tc>
      </w:tr>
      <w:tr>
        <w:tc>
          <w:tcPr>
            <w:tcW w:type="dxa" w:w="5040"/>
            <w:vAlign w:val="center"/>
          </w:tcPr>
          <w:p>
            <w:pPr>
              <w:spacing w:after="20"/>
            </w:pPr>
            <w:r>
              <w:rPr>
                <w:rFonts w:ascii="Aptos" w:hAnsi="Aptos"/>
                <w:sz w:val="15"/>
              </w:rPr>
              <w:t>Approved direction</w:t>
            </w:r>
          </w:p>
        </w:tc>
        <w:tc>
          <w:tcPr>
            <w:tcW w:type="dxa" w:w="5040"/>
            <w:vAlign w:val="center"/>
          </w:tcPr>
          <w:p>
            <w:pPr>
              <w:spacing w:after="20"/>
            </w:pPr>
            <w:r>
              <w:rPr>
                <w:rFonts w:ascii="Aptos" w:hAnsi="Aptos"/>
                <w:sz w:val="15"/>
              </w:rPr>
              <w:t>An explicit brand-owner decision to preserve unless deliberately reopened.</w:t>
            </w:r>
          </w:p>
        </w:tc>
      </w:tr>
      <w:tr>
        <w:tc>
          <w:tcPr>
            <w:tcW w:type="dxa" w:w="5040"/>
            <w:vAlign w:val="center"/>
            <w:shd w:fill="F2F5F3"/>
          </w:tcPr>
          <w:p>
            <w:pPr>
              <w:spacing w:after="20"/>
            </w:pPr>
            <w:r>
              <w:rPr>
                <w:rFonts w:ascii="Aptos" w:hAnsi="Aptos"/>
                <w:sz w:val="15"/>
              </w:rPr>
              <w:t>Provisional hypothesis</w:t>
            </w:r>
          </w:p>
        </w:tc>
        <w:tc>
          <w:tcPr>
            <w:tcW w:type="dxa" w:w="5040"/>
            <w:vAlign w:val="center"/>
            <w:shd w:fill="F2F5F3"/>
          </w:tcPr>
          <w:p>
            <w:pPr>
              <w:spacing w:after="20"/>
            </w:pPr>
            <w:r>
              <w:rPr>
                <w:rFonts w:ascii="Aptos" w:hAnsi="Aptos"/>
                <w:sz w:val="15"/>
              </w:rPr>
              <w:t>A recommended starting point that must be tested and approved before becoming a final specification.</w:t>
            </w:r>
          </w:p>
        </w:tc>
      </w:tr>
      <w:tr>
        <w:tc>
          <w:tcPr>
            <w:tcW w:type="dxa" w:w="5040"/>
            <w:vAlign w:val="center"/>
          </w:tcPr>
          <w:p>
            <w:pPr>
              <w:spacing w:after="20"/>
            </w:pPr>
            <w:r>
              <w:rPr>
                <w:rFonts w:ascii="Aptos" w:hAnsi="Aptos"/>
                <w:sz w:val="15"/>
              </w:rPr>
              <w:t>Production requirement</w:t>
            </w:r>
          </w:p>
        </w:tc>
        <w:tc>
          <w:tcPr>
            <w:tcW w:type="dxa" w:w="5040"/>
            <w:vAlign w:val="center"/>
          </w:tcPr>
          <w:p>
            <w:pPr>
              <w:spacing w:after="20"/>
            </w:pPr>
            <w:r>
              <w:rPr>
                <w:rFonts w:ascii="Aptos" w:hAnsi="Aptos"/>
                <w:sz w:val="15"/>
              </w:rPr>
              <w:t>A process, accessibility, evidence-integrity or delivery rule teams must follow.</w:t>
            </w:r>
          </w:p>
        </w:tc>
      </w:tr>
      <w:tr>
        <w:tc>
          <w:tcPr>
            <w:tcW w:type="dxa" w:w="5040"/>
            <w:vAlign w:val="center"/>
            <w:shd w:fill="F2F5F3"/>
          </w:tcPr>
          <w:p>
            <w:pPr>
              <w:spacing w:after="20"/>
            </w:pPr>
            <w:r>
              <w:rPr>
                <w:rFonts w:ascii="Aptos" w:hAnsi="Aptos"/>
                <w:sz w:val="15"/>
              </w:rPr>
              <w:t>Open decision</w:t>
            </w:r>
          </w:p>
        </w:tc>
        <w:tc>
          <w:tcPr>
            <w:tcW w:type="dxa" w:w="5040"/>
            <w:vAlign w:val="center"/>
            <w:shd w:fill="F2F5F3"/>
          </w:tcPr>
          <w:p>
            <w:pPr>
              <w:spacing w:after="20"/>
            </w:pPr>
            <w:r>
              <w:rPr>
                <w:rFonts w:ascii="Aptos" w:hAnsi="Aptos"/>
                <w:sz w:val="15"/>
              </w:rPr>
              <w:t>An unresolved issue that must not be silently treated as approved.</w:t>
            </w:r>
          </w:p>
        </w:tc>
      </w:tr>
    </w:tbl>
    <w:p>
      <w:pPr>
        <w:spacing w:after="20"/>
      </w:pPr>
    </w:p>
    <w:p>
      <w:r>
        <w:rPr>
          <w:b w:val="0"/>
        </w:rPr>
        <w:t>This guide improves production readiness. It does not claim final vector artwork, licensed fonts, contrast certification or completed user research. These remain release gates.</w:t>
      </w:r>
    </w:p>
    <w:p>
      <w:r>
        <w:br w:type="page"/>
      </w:r>
    </w:p>
    <w:p>
      <w:pPr>
        <w:pStyle w:val="Heading1"/>
      </w:pPr>
      <w:r>
        <w:t>0. How to use Version 2.0</w:t>
      </w:r>
    </w:p>
    <w:p>
      <w:r>
        <w:rPr>
          <w:b w:val="0"/>
        </w:rPr>
        <w:t>This is a balanced operating manual for product UI, research/report design, editorial content and all video formats. It is tool-agnostic and designed for multilingual production.</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Decision for v2.0</w:t>
            </w:r>
          </w:p>
        </w:tc>
        <w:tc>
          <w:tcPr>
            <w:tcW w:type="dxa" w:w="5040"/>
            <w:shd w:fill="0E3D32"/>
          </w:tcPr>
          <w:p>
            <w:r>
              <w:rPr>
                <w:b/>
                <w:color w:val="FFFFFF"/>
                <w:sz w:val="15"/>
              </w:rPr>
              <w:t>Implementation</w:t>
            </w:r>
          </w:p>
        </w:tc>
      </w:tr>
      <w:tr>
        <w:tc>
          <w:tcPr>
            <w:tcW w:type="dxa" w:w="5040"/>
            <w:vAlign w:val="center"/>
          </w:tcPr>
          <w:p>
            <w:pPr>
              <w:spacing w:after="20"/>
            </w:pPr>
            <w:r>
              <w:rPr>
                <w:rFonts w:ascii="Aptos" w:hAnsi="Aptos"/>
                <w:sz w:val="15"/>
              </w:rPr>
              <w:t>Priority: balanced</w:t>
            </w:r>
          </w:p>
        </w:tc>
        <w:tc>
          <w:tcPr>
            <w:tcW w:type="dxa" w:w="5040"/>
            <w:vAlign w:val="center"/>
          </w:tcPr>
          <w:p>
            <w:pPr>
              <w:spacing w:after="20"/>
            </w:pPr>
            <w:r>
              <w:rPr>
                <w:rFonts w:ascii="Aptos" w:hAnsi="Aptos"/>
                <w:sz w:val="15"/>
              </w:rPr>
              <w:t>Comparable attention to product, reports, content and video.</w:t>
            </w:r>
          </w:p>
        </w:tc>
      </w:tr>
      <w:tr>
        <w:tc>
          <w:tcPr>
            <w:tcW w:type="dxa" w:w="5040"/>
            <w:vAlign w:val="center"/>
            <w:shd w:fill="F2F5F3"/>
          </w:tcPr>
          <w:p>
            <w:pPr>
              <w:spacing w:after="20"/>
            </w:pPr>
            <w:r>
              <w:rPr>
                <w:rFonts w:ascii="Aptos" w:hAnsi="Aptos"/>
                <w:sz w:val="15"/>
              </w:rPr>
              <w:t>Video formats: all-video</w:t>
            </w:r>
          </w:p>
        </w:tc>
        <w:tc>
          <w:tcPr>
            <w:tcW w:type="dxa" w:w="5040"/>
            <w:vAlign w:val="center"/>
            <w:shd w:fill="F2F5F3"/>
          </w:tcPr>
          <w:p>
            <w:pPr>
              <w:spacing w:after="20"/>
            </w:pPr>
            <w:r>
              <w:rPr>
                <w:rFonts w:ascii="Aptos" w:hAnsi="Aptos"/>
                <w:sz w:val="15"/>
              </w:rPr>
              <w:t>Short-form, YouTube, explainers, webinars, product demos, presentations and brand films.</w:t>
            </w:r>
          </w:p>
        </w:tc>
      </w:tr>
      <w:tr>
        <w:tc>
          <w:tcPr>
            <w:tcW w:type="dxa" w:w="5040"/>
            <w:vAlign w:val="center"/>
          </w:tcPr>
          <w:p>
            <w:pPr>
              <w:spacing w:after="20"/>
            </w:pPr>
            <w:r>
              <w:rPr>
                <w:rFonts w:ascii="Aptos" w:hAnsi="Aptos"/>
                <w:sz w:val="15"/>
              </w:rPr>
              <w:t>Product theme: both</w:t>
            </w:r>
          </w:p>
        </w:tc>
        <w:tc>
          <w:tcPr>
            <w:tcW w:type="dxa" w:w="5040"/>
            <w:vAlign w:val="center"/>
          </w:tcPr>
          <w:p>
            <w:pPr>
              <w:spacing w:after="20"/>
            </w:pPr>
            <w:r>
              <w:rPr>
                <w:rFonts w:ascii="Aptos" w:hAnsi="Aptos"/>
                <w:sz w:val="15"/>
              </w:rPr>
              <w:t>Light and dark are first-class themes with separate contrast testing.</w:t>
            </w:r>
          </w:p>
        </w:tc>
      </w:tr>
      <w:tr>
        <w:tc>
          <w:tcPr>
            <w:tcW w:type="dxa" w:w="5040"/>
            <w:vAlign w:val="center"/>
            <w:shd w:fill="F2F5F3"/>
          </w:tcPr>
          <w:p>
            <w:pPr>
              <w:spacing w:after="20"/>
            </w:pPr>
            <w:r>
              <w:rPr>
                <w:rFonts w:ascii="Aptos" w:hAnsi="Aptos"/>
                <w:sz w:val="15"/>
              </w:rPr>
              <w:t>Motion workflow: tool-agnostic</w:t>
            </w:r>
          </w:p>
        </w:tc>
        <w:tc>
          <w:tcPr>
            <w:tcW w:type="dxa" w:w="5040"/>
            <w:vAlign w:val="center"/>
            <w:shd w:fill="F2F5F3"/>
          </w:tcPr>
          <w:p>
            <w:pPr>
              <w:spacing w:after="20"/>
            </w:pPr>
            <w:r>
              <w:rPr>
                <w:rFonts w:ascii="Aptos" w:hAnsi="Aptos"/>
                <w:sz w:val="15"/>
              </w:rPr>
              <w:t>Specify purpose, timing, layers, easing, output and acceptance criteria rather than software steps.</w:t>
            </w:r>
          </w:p>
        </w:tc>
      </w:tr>
      <w:tr>
        <w:tc>
          <w:tcPr>
            <w:tcW w:type="dxa" w:w="5040"/>
            <w:vAlign w:val="center"/>
          </w:tcPr>
          <w:p>
            <w:pPr>
              <w:spacing w:after="20"/>
            </w:pPr>
            <w:r>
              <w:rPr>
                <w:rFonts w:ascii="Aptos" w:hAnsi="Aptos"/>
                <w:sz w:val="15"/>
              </w:rPr>
              <w:t>Language strategy: multilingual</w:t>
            </w:r>
          </w:p>
        </w:tc>
        <w:tc>
          <w:tcPr>
            <w:tcW w:type="dxa" w:w="5040"/>
            <w:vAlign w:val="center"/>
          </w:tcPr>
          <w:p>
            <w:pPr>
              <w:spacing w:after="20"/>
            </w:pPr>
            <w:r>
              <w:rPr>
                <w:rFonts w:ascii="Aptos" w:hAnsi="Aptos"/>
                <w:sz w:val="15"/>
              </w:rPr>
              <w:t>Plan for script coverage, text expansion, subtitles, voice, localisation and right-to-left readiness.</w:t>
            </w:r>
          </w:p>
        </w:tc>
      </w:tr>
    </w:tbl>
    <w:p>
      <w:pPr>
        <w:spacing w:after="20"/>
      </w:pPr>
    </w:p>
    <w:p>
      <w:pPr>
        <w:pStyle w:val="Heading2"/>
      </w:pPr>
      <w:r>
        <w:t>0.1 Approved direction vs hypotheses</w:t>
      </w:r>
    </w:p>
    <w:p>
      <w:pPr>
        <w:pStyle w:val="ListBullet"/>
        <w:spacing w:after="20"/>
      </w:pPr>
      <w:r>
        <w:t>Preserve editorial authority combined with hidden perspective, a composed/reassuring quality, and a symbol plus wordmark.</w:t>
      </w:r>
    </w:p>
    <w:p>
      <w:pPr>
        <w:pStyle w:val="ListBullet"/>
        <w:spacing w:after="20"/>
      </w:pPr>
      <w:r>
        <w:t>The chosen logo direction is the earlier sophisticated dimensional split-arch with a central mirror. Do not replace it with the later perfect-semicircle revision without approval.</w:t>
      </w:r>
    </w:p>
    <w:p>
      <w:pPr>
        <w:pStyle w:val="ListBullet"/>
        <w:spacing w:after="20"/>
      </w:pPr>
      <w:r>
        <w:t>“Less noise, more nuance.” is the working tagline territory, not a market-validated claim.</w:t>
      </w:r>
    </w:p>
    <w:p>
      <w:pPr>
        <w:pStyle w:val="ListBullet"/>
        <w:spacing w:after="20"/>
      </w:pPr>
      <w:r>
        <w:t>Palette, type, exact logo dimensions, grid values and motion ranges remain provisional until tested.</w:t>
      </w:r>
    </w:p>
    <w:p>
      <w:pPr>
        <w:pStyle w:val="ListBullet"/>
        <w:spacing w:after="20"/>
      </w:pPr>
      <w:r>
        <w:t>When a spec is missing, record an assumption and decision owner rather than inventing approval.</w:t>
      </w:r>
    </w:p>
    <w:p>
      <w:pPr>
        <w:pStyle w:val="Heading2"/>
      </w:pPr>
      <w:r>
        <w:t>0.2 Core principle</w:t>
      </w:r>
    </w:p>
    <w:p>
      <w:r>
        <w:rPr>
          <w:b/>
        </w:rPr>
        <w:t>Nuance should make decisions clearer, not make the reader work harder.</w:t>
      </w:r>
    </w:p>
    <w:p>
      <w:r>
        <w:rPr>
          <w:b w:val="0"/>
        </w:rPr>
        <w:t>Moatnomics helps investors look beyond the obvious by bringing evidence, context and alternative perspectives into view. Rigorous without being cold; distinctive without being theatrical; calm without being passive.</w:t>
      </w:r>
    </w:p>
    <w:p>
      <w:pPr>
        <w:pStyle w:val="Heading1"/>
      </w:pPr>
      <w:r>
        <w:t>1. Brand architecture and experience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Layer</w:t>
            </w:r>
          </w:p>
        </w:tc>
        <w:tc>
          <w:tcPr>
            <w:tcW w:type="dxa" w:w="3360"/>
            <w:shd w:fill="0E3D32"/>
          </w:tcPr>
          <w:p>
            <w:r>
              <w:rPr>
                <w:b/>
                <w:color w:val="FFFFFF"/>
                <w:sz w:val="15"/>
              </w:rPr>
              <w:t>Working expression</w:t>
            </w:r>
          </w:p>
        </w:tc>
        <w:tc>
          <w:tcPr>
            <w:tcW w:type="dxa" w:w="3360"/>
            <w:shd w:fill="0E3D32"/>
          </w:tcPr>
          <w:p>
            <w:r>
              <w:rPr>
                <w:b/>
                <w:color w:val="FFFFFF"/>
                <w:sz w:val="15"/>
              </w:rPr>
              <w:t>Status</w:t>
            </w:r>
          </w:p>
        </w:tc>
      </w:tr>
      <w:tr>
        <w:tc>
          <w:tcPr>
            <w:tcW w:type="dxa" w:w="3360"/>
            <w:vAlign w:val="center"/>
          </w:tcPr>
          <w:p>
            <w:pPr>
              <w:spacing w:after="20"/>
            </w:pPr>
            <w:r>
              <w:rPr>
                <w:rFonts w:ascii="Aptos" w:hAnsi="Aptos"/>
                <w:sz w:val="15"/>
              </w:rPr>
              <w:t>Brand</w:t>
            </w:r>
          </w:p>
        </w:tc>
        <w:tc>
          <w:tcPr>
            <w:tcW w:type="dxa" w:w="3360"/>
            <w:vAlign w:val="center"/>
          </w:tcPr>
          <w:p>
            <w:pPr>
              <w:spacing w:after="20"/>
            </w:pPr>
            <w:r>
              <w:rPr>
                <w:rFonts w:ascii="Aptos" w:hAnsi="Aptos"/>
                <w:sz w:val="15"/>
              </w:rPr>
              <w:t>Moatnomics</w:t>
            </w:r>
          </w:p>
        </w:tc>
        <w:tc>
          <w:tcPr>
            <w:tcW w:type="dxa" w:w="3360"/>
            <w:vAlign w:val="center"/>
          </w:tcPr>
          <w:p>
            <w:pPr>
              <w:spacing w:after="20"/>
            </w:pPr>
            <w:r>
              <w:rPr>
                <w:rFonts w:ascii="Aptos" w:hAnsi="Aptos"/>
                <w:sz w:val="15"/>
              </w:rPr>
              <w:t>Approved name direction.</w:t>
            </w:r>
          </w:p>
        </w:tc>
      </w:tr>
      <w:tr>
        <w:tc>
          <w:tcPr>
            <w:tcW w:type="dxa" w:w="3360"/>
            <w:vAlign w:val="center"/>
            <w:shd w:fill="F2F5F3"/>
          </w:tcPr>
          <w:p>
            <w:pPr>
              <w:spacing w:after="20"/>
            </w:pPr>
            <w:r>
              <w:rPr>
                <w:rFonts w:ascii="Aptos" w:hAnsi="Aptos"/>
                <w:sz w:val="15"/>
              </w:rPr>
              <w:t>Tagline</w:t>
            </w:r>
          </w:p>
        </w:tc>
        <w:tc>
          <w:tcPr>
            <w:tcW w:type="dxa" w:w="3360"/>
            <w:vAlign w:val="center"/>
            <w:shd w:fill="F2F5F3"/>
          </w:tcPr>
          <w:p>
            <w:pPr>
              <w:spacing w:after="20"/>
            </w:pPr>
            <w:r>
              <w:rPr>
                <w:rFonts w:ascii="Aptos" w:hAnsi="Aptos"/>
                <w:sz w:val="15"/>
              </w:rPr>
              <w:t>Less noise, more nuance.</w:t>
            </w:r>
          </w:p>
        </w:tc>
        <w:tc>
          <w:tcPr>
            <w:tcW w:type="dxa" w:w="3360"/>
            <w:vAlign w:val="center"/>
            <w:shd w:fill="F2F5F3"/>
          </w:tcPr>
          <w:p>
            <w:pPr>
              <w:spacing w:after="20"/>
            </w:pPr>
            <w:r>
              <w:rPr>
                <w:rFonts w:ascii="Aptos" w:hAnsi="Aptos"/>
                <w:sz w:val="15"/>
              </w:rPr>
              <w:t>Working hypothesis; validate recall and relevance.</w:t>
            </w:r>
          </w:p>
        </w:tc>
      </w:tr>
      <w:tr>
        <w:tc>
          <w:tcPr>
            <w:tcW w:type="dxa" w:w="3360"/>
            <w:vAlign w:val="center"/>
          </w:tcPr>
          <w:p>
            <w:pPr>
              <w:spacing w:after="20"/>
            </w:pPr>
            <w:r>
              <w:rPr>
                <w:rFonts w:ascii="Aptos" w:hAnsi="Aptos"/>
                <w:sz w:val="15"/>
              </w:rPr>
              <w:t>Category descriptor</w:t>
            </w:r>
          </w:p>
        </w:tc>
        <w:tc>
          <w:tcPr>
            <w:tcW w:type="dxa" w:w="3360"/>
            <w:vAlign w:val="center"/>
          </w:tcPr>
          <w:p>
            <w:pPr>
              <w:spacing w:after="20"/>
            </w:pPr>
            <w:r>
              <w:rPr>
                <w:rFonts w:ascii="Aptos" w:hAnsi="Aptos"/>
                <w:sz w:val="15"/>
              </w:rPr>
              <w:t>Multi-asset investment research</w:t>
            </w:r>
          </w:p>
        </w:tc>
        <w:tc>
          <w:tcPr>
            <w:tcW w:type="dxa" w:w="3360"/>
            <w:vAlign w:val="center"/>
          </w:tcPr>
          <w:p>
            <w:pPr>
              <w:spacing w:after="20"/>
            </w:pPr>
            <w:r>
              <w:rPr>
                <w:rFonts w:ascii="Aptos" w:hAnsi="Aptos"/>
                <w:sz w:val="15"/>
              </w:rPr>
              <w:t>Confirm against actual launch scope.</w:t>
            </w:r>
          </w:p>
        </w:tc>
      </w:tr>
      <w:tr>
        <w:tc>
          <w:tcPr>
            <w:tcW w:type="dxa" w:w="3360"/>
            <w:vAlign w:val="center"/>
            <w:shd w:fill="F2F5F3"/>
          </w:tcPr>
          <w:p>
            <w:pPr>
              <w:spacing w:after="20"/>
            </w:pPr>
            <w:r>
              <w:rPr>
                <w:rFonts w:ascii="Aptos" w:hAnsi="Aptos"/>
                <w:sz w:val="15"/>
              </w:rPr>
              <w:t>Product promise</w:t>
            </w:r>
          </w:p>
        </w:tc>
        <w:tc>
          <w:tcPr>
            <w:tcW w:type="dxa" w:w="3360"/>
            <w:vAlign w:val="center"/>
            <w:shd w:fill="F2F5F3"/>
          </w:tcPr>
          <w:p>
            <w:pPr>
              <w:spacing w:after="20"/>
            </w:pPr>
            <w:r>
              <w:rPr>
                <w:rFonts w:ascii="Aptos" w:hAnsi="Aptos"/>
                <w:sz w:val="15"/>
              </w:rPr>
              <w:t>Understand the evidence. Examine the trade-offs. Know what deserves a closer look.</w:t>
            </w:r>
          </w:p>
        </w:tc>
        <w:tc>
          <w:tcPr>
            <w:tcW w:type="dxa" w:w="3360"/>
            <w:vAlign w:val="center"/>
            <w:shd w:fill="F2F5F3"/>
          </w:tcPr>
          <w:p>
            <w:pPr>
              <w:spacing w:after="20"/>
            </w:pPr>
            <w:r>
              <w:rPr>
                <w:rFonts w:ascii="Aptos" w:hAnsi="Aptos"/>
                <w:sz w:val="15"/>
              </w:rPr>
              <w:t>Strategic expression; use only where product supports it.</w:t>
            </w:r>
          </w:p>
        </w:tc>
      </w:tr>
      <w:tr>
        <w:tc>
          <w:tcPr>
            <w:tcW w:type="dxa" w:w="3360"/>
            <w:vAlign w:val="center"/>
          </w:tcPr>
          <w:p>
            <w:pPr>
              <w:spacing w:after="20"/>
            </w:pPr>
            <w:r>
              <w:rPr>
                <w:rFonts w:ascii="Aptos" w:hAnsi="Aptos"/>
                <w:sz w:val="15"/>
              </w:rPr>
              <w:t>Behaviours</w:t>
            </w:r>
          </w:p>
        </w:tc>
        <w:tc>
          <w:tcPr>
            <w:tcW w:type="dxa" w:w="3360"/>
            <w:vAlign w:val="center"/>
          </w:tcPr>
          <w:p>
            <w:pPr>
              <w:spacing w:after="20"/>
            </w:pPr>
            <w:r>
              <w:rPr>
                <w:rFonts w:ascii="Aptos" w:hAnsi="Aptos"/>
                <w:sz w:val="15"/>
              </w:rPr>
              <w:t>Investigate deeply. Challenge independently. Trace the evidence. Monitor what changes.</w:t>
            </w:r>
          </w:p>
        </w:tc>
        <w:tc>
          <w:tcPr>
            <w:tcW w:type="dxa" w:w="3360"/>
            <w:vAlign w:val="center"/>
          </w:tcPr>
          <w:p>
            <w:pPr>
              <w:spacing w:after="20"/>
            </w:pPr>
            <w:r>
              <w:rPr>
                <w:rFonts w:ascii="Aptos" w:hAnsi="Aptos"/>
                <w:sz w:val="15"/>
              </w:rPr>
              <w:t>Must reflect real product behaviour.</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Journey</w:t>
            </w:r>
          </w:p>
        </w:tc>
        <w:tc>
          <w:tcPr>
            <w:tcW w:type="dxa" w:w="3360"/>
            <w:shd w:fill="0E3D32"/>
          </w:tcPr>
          <w:p>
            <w:r>
              <w:rPr>
                <w:b/>
                <w:color w:val="FFFFFF"/>
                <w:sz w:val="15"/>
              </w:rPr>
              <w:t>User question</w:t>
            </w:r>
          </w:p>
        </w:tc>
        <w:tc>
          <w:tcPr>
            <w:tcW w:type="dxa" w:w="3360"/>
            <w:shd w:fill="0E3D32"/>
          </w:tcPr>
          <w:p>
            <w:r>
              <w:rPr>
                <w:b/>
                <w:color w:val="FFFFFF"/>
                <w:sz w:val="15"/>
              </w:rPr>
              <w:t>Design job</w:t>
            </w:r>
          </w:p>
        </w:tc>
      </w:tr>
      <w:tr>
        <w:tc>
          <w:tcPr>
            <w:tcW w:type="dxa" w:w="3360"/>
            <w:vAlign w:val="center"/>
          </w:tcPr>
          <w:p>
            <w:pPr>
              <w:spacing w:after="20"/>
            </w:pPr>
            <w:r>
              <w:rPr>
                <w:rFonts w:ascii="Aptos" w:hAnsi="Aptos"/>
                <w:sz w:val="15"/>
              </w:rPr>
              <w:t>Discover</w:t>
            </w:r>
          </w:p>
        </w:tc>
        <w:tc>
          <w:tcPr>
            <w:tcW w:type="dxa" w:w="3360"/>
            <w:vAlign w:val="center"/>
          </w:tcPr>
          <w:p>
            <w:pPr>
              <w:spacing w:after="20"/>
            </w:pPr>
            <w:r>
              <w:rPr>
                <w:rFonts w:ascii="Aptos" w:hAnsi="Aptos"/>
                <w:sz w:val="15"/>
              </w:rPr>
              <w:t>Why look at this?</w:t>
            </w:r>
          </w:p>
        </w:tc>
        <w:tc>
          <w:tcPr>
            <w:tcW w:type="dxa" w:w="3360"/>
            <w:vAlign w:val="center"/>
          </w:tcPr>
          <w:p>
            <w:pPr>
              <w:spacing w:after="20"/>
            </w:pPr>
            <w:r>
              <w:rPr>
                <w:rFonts w:ascii="Aptos" w:hAnsi="Aptos"/>
                <w:sz w:val="15"/>
              </w:rPr>
              <w:t>Make the central question and relevance clear.</w:t>
            </w:r>
          </w:p>
        </w:tc>
      </w:tr>
      <w:tr>
        <w:tc>
          <w:tcPr>
            <w:tcW w:type="dxa" w:w="3360"/>
            <w:vAlign w:val="center"/>
            <w:shd w:fill="F2F5F3"/>
          </w:tcPr>
          <w:p>
            <w:pPr>
              <w:spacing w:after="20"/>
            </w:pPr>
            <w:r>
              <w:rPr>
                <w:rFonts w:ascii="Aptos" w:hAnsi="Aptos"/>
                <w:sz w:val="15"/>
              </w:rPr>
              <w:t>Investigate</w:t>
            </w:r>
          </w:p>
        </w:tc>
        <w:tc>
          <w:tcPr>
            <w:tcW w:type="dxa" w:w="3360"/>
            <w:vAlign w:val="center"/>
            <w:shd w:fill="F2F5F3"/>
          </w:tcPr>
          <w:p>
            <w:pPr>
              <w:spacing w:after="20"/>
            </w:pPr>
            <w:r>
              <w:rPr>
                <w:rFonts w:ascii="Aptos" w:hAnsi="Aptos"/>
                <w:sz w:val="15"/>
              </w:rPr>
              <w:t>What is the evidence?</w:t>
            </w:r>
          </w:p>
        </w:tc>
        <w:tc>
          <w:tcPr>
            <w:tcW w:type="dxa" w:w="3360"/>
            <w:vAlign w:val="center"/>
            <w:shd w:fill="F2F5F3"/>
          </w:tcPr>
          <w:p>
            <w:pPr>
              <w:spacing w:after="20"/>
            </w:pPr>
            <w:r>
              <w:rPr>
                <w:rFonts w:ascii="Aptos" w:hAnsi="Aptos"/>
                <w:sz w:val="15"/>
              </w:rPr>
              <w:t>Expose source, date, method and assumptions.</w:t>
            </w:r>
          </w:p>
        </w:tc>
      </w:tr>
      <w:tr>
        <w:tc>
          <w:tcPr>
            <w:tcW w:type="dxa" w:w="3360"/>
            <w:vAlign w:val="center"/>
          </w:tcPr>
          <w:p>
            <w:pPr>
              <w:spacing w:after="20"/>
            </w:pPr>
            <w:r>
              <w:rPr>
                <w:rFonts w:ascii="Aptos" w:hAnsi="Aptos"/>
                <w:sz w:val="15"/>
              </w:rPr>
              <w:t>Evaluate / compare</w:t>
            </w:r>
          </w:p>
        </w:tc>
        <w:tc>
          <w:tcPr>
            <w:tcW w:type="dxa" w:w="3360"/>
            <w:vAlign w:val="center"/>
          </w:tcPr>
          <w:p>
            <w:pPr>
              <w:spacing w:after="20"/>
            </w:pPr>
            <w:r>
              <w:rPr>
                <w:rFonts w:ascii="Aptos" w:hAnsi="Aptos"/>
                <w:sz w:val="15"/>
              </w:rPr>
              <w:t>What are the trade-offs?</w:t>
            </w:r>
          </w:p>
        </w:tc>
        <w:tc>
          <w:tcPr>
            <w:tcW w:type="dxa" w:w="3360"/>
            <w:vAlign w:val="center"/>
          </w:tcPr>
          <w:p>
            <w:pPr>
              <w:spacing w:after="20"/>
            </w:pPr>
            <w:r>
              <w:rPr>
                <w:rFonts w:ascii="Aptos" w:hAnsi="Aptos"/>
                <w:sz w:val="15"/>
              </w:rPr>
              <w:t>Align scales, labels and assumptions for fair comparison.</w:t>
            </w:r>
          </w:p>
        </w:tc>
      </w:tr>
      <w:tr>
        <w:tc>
          <w:tcPr>
            <w:tcW w:type="dxa" w:w="3360"/>
            <w:vAlign w:val="center"/>
            <w:shd w:fill="F2F5F3"/>
          </w:tcPr>
          <w:p>
            <w:pPr>
              <w:spacing w:after="20"/>
            </w:pPr>
            <w:r>
              <w:rPr>
                <w:rFonts w:ascii="Aptos" w:hAnsi="Aptos"/>
                <w:sz w:val="15"/>
              </w:rPr>
              <w:t>Monitor</w:t>
            </w:r>
          </w:p>
        </w:tc>
        <w:tc>
          <w:tcPr>
            <w:tcW w:type="dxa" w:w="3360"/>
            <w:vAlign w:val="center"/>
            <w:shd w:fill="F2F5F3"/>
          </w:tcPr>
          <w:p>
            <w:pPr>
              <w:spacing w:after="20"/>
            </w:pPr>
            <w:r>
              <w:rPr>
                <w:rFonts w:ascii="Aptos" w:hAnsi="Aptos"/>
                <w:sz w:val="15"/>
              </w:rPr>
              <w:t>What changed, and does it matter?</w:t>
            </w:r>
          </w:p>
        </w:tc>
        <w:tc>
          <w:tcPr>
            <w:tcW w:type="dxa" w:w="3360"/>
            <w:vAlign w:val="center"/>
            <w:shd w:fill="F2F5F3"/>
          </w:tcPr>
          <w:p>
            <w:pPr>
              <w:spacing w:after="20"/>
            </w:pPr>
            <w:r>
              <w:rPr>
                <w:rFonts w:ascii="Aptos" w:hAnsi="Aptos"/>
                <w:sz w:val="15"/>
              </w:rPr>
              <w:t>Separate meaningful changes from routine movement.</w:t>
            </w:r>
          </w:p>
        </w:tc>
      </w:tr>
    </w:tbl>
    <w:p>
      <w:pPr>
        <w:spacing w:after="20"/>
      </w:pPr>
    </w:p>
    <w:p>
      <w:pPr>
        <w:pStyle w:val="ListBullet"/>
        <w:spacing w:after="20"/>
      </w:pPr>
      <w:r>
        <w:t>Investigate deeply: guide from headline to evidence, never hide complexity.</w:t>
      </w:r>
    </w:p>
    <w:p>
      <w:pPr>
        <w:pStyle w:val="ListBullet"/>
        <w:spacing w:after="20"/>
      </w:pPr>
      <w:r>
        <w:t>Challenge independently: give risks and counterarguments visual dignity.</w:t>
      </w:r>
    </w:p>
    <w:p>
      <w:pPr>
        <w:pStyle w:val="ListBullet"/>
        <w:spacing w:after="20"/>
      </w:pPr>
      <w:r>
        <w:t>Trace the evidence: make source, as-of date, method and uncertainty findable.</w:t>
      </w:r>
    </w:p>
    <w:p>
      <w:pPr>
        <w:pStyle w:val="ListBullet"/>
        <w:spacing w:after="20"/>
      </w:pPr>
      <w:r>
        <w:t>Monitor what changes: explain what changed, why it matters and what could invalidate the view.</w:t>
      </w:r>
    </w:p>
    <w:p>
      <w:pPr>
        <w:pStyle w:val="ListBullet"/>
        <w:spacing w:after="20"/>
      </w:pPr>
      <w:r>
        <w:t>Never let visual polish imply more certainty, verification or completeness than the underlying work supports.</w:t>
      </w:r>
    </w:p>
    <w:p>
      <w:pPr>
        <w:pStyle w:val="Heading1"/>
      </w:pPr>
      <w:r>
        <w:t>2. Logo system: The Perspective Portal</w:t>
      </w:r>
    </w:p>
    <w:p>
      <w:r>
        <w:rPr>
          <w:b w:val="0"/>
        </w:rPr>
        <w:t>The split arch creates an opening; the central mirrored plane suggests depth and another vantage. The wordmark supplies editorial authority. The symbol must remain recognisable when dimensional treatment is removed.</w:t>
      </w:r>
    </w:p>
    <w:p>
      <w:pPr>
        <w:pStyle w:val="Heading2"/>
      </w:pPr>
      <w:r>
        <w:t>2.1 Master artwork</w:t>
      </w:r>
    </w:p>
    <w:p>
      <w:pPr>
        <w:pStyle w:val="ListBullet"/>
        <w:spacing w:after="20"/>
      </w:pPr>
      <w:r>
        <w:t>Build final masters as editable vector paths. Required deliverables: SVG, print-ready PDF, transparent PNG exports and a native vector source agreed by the design team.</w:t>
      </w:r>
    </w:p>
    <w:p>
      <w:pPr>
        <w:pStyle w:val="ListBullet"/>
        <w:spacing w:after="20"/>
      </w:pPr>
      <w:r>
        <w:t>Draw from the chosen sophisticated split-arch concept, not from a raster mock-up. Keep the mirror centred and the left/right mass optically balanced.</w:t>
      </w:r>
    </w:p>
    <w:p>
      <w:pPr>
        <w:pStyle w:val="ListBullet"/>
        <w:spacing w:after="20"/>
      </w:pPr>
      <w:r>
        <w:t>Create dimensional, flat, simplified small-size, reverse, black, white and one-colour variants. The flat master is the default for UI, favicon and monochrome use.</w:t>
      </w:r>
    </w:p>
    <w:p>
      <w:pPr>
        <w:pStyle w:val="ListBullet"/>
        <w:spacing w:after="20"/>
      </w:pPr>
      <w:r>
        <w:t>Large brand imagery may use two or three mirror planes; the core logo must stay simple and reproducible.</w:t>
      </w:r>
    </w:p>
    <w:p>
      <w:pPr>
        <w:pStyle w:val="ListBullet"/>
        <w:spacing w:after="20"/>
      </w:pPr>
      <w:r>
        <w:t>Do not stretch, skew, rotate, outline, add unapproved shadows, independently recolour logo parts or add lens flares/glossy chrome.</w:t>
      </w:r>
    </w:p>
    <w:p>
      <w:pPr>
        <w:pStyle w:val="ListBullet"/>
        <w:spacing w:after="20"/>
      </w:pPr>
      <w:r>
        <w:t>Do not place the mark over busy imagery without a quiet zone or tested contrast treatment. Never use image generation as the production logo master.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Rule</w:t>
            </w:r>
          </w:p>
        </w:tc>
        <w:tc>
          <w:tcPr>
            <w:tcW w:type="dxa" w:w="3360"/>
            <w:shd w:fill="0E3D32"/>
          </w:tcPr>
          <w:p>
            <w:r>
              <w:rPr>
                <w:b/>
                <w:color w:val="FFFFFF"/>
                <w:sz w:val="15"/>
              </w:rPr>
              <w:t>Starting hypothesis</w:t>
            </w:r>
          </w:p>
        </w:tc>
        <w:tc>
          <w:tcPr>
            <w:tcW w:type="dxa" w:w="3360"/>
            <w:shd w:fill="0E3D32"/>
          </w:tcPr>
          <w:p>
            <w:r>
              <w:rPr>
                <w:b/>
                <w:color w:val="FFFFFF"/>
                <w:sz w:val="15"/>
              </w:rPr>
              <w:t>Validation</w:t>
            </w:r>
          </w:p>
        </w:tc>
      </w:tr>
      <w:tr>
        <w:tc>
          <w:tcPr>
            <w:tcW w:type="dxa" w:w="3360"/>
            <w:vAlign w:val="center"/>
          </w:tcPr>
          <w:p>
            <w:pPr>
              <w:spacing w:after="20"/>
            </w:pPr>
            <w:r>
              <w:rPr>
                <w:rFonts w:ascii="Aptos" w:hAnsi="Aptos"/>
                <w:sz w:val="15"/>
              </w:rPr>
              <w:t>Clear space</w:t>
            </w:r>
          </w:p>
        </w:tc>
        <w:tc>
          <w:tcPr>
            <w:tcW w:type="dxa" w:w="3360"/>
            <w:vAlign w:val="center"/>
          </w:tcPr>
          <w:p>
            <w:pPr>
              <w:spacing w:after="20"/>
            </w:pPr>
            <w:r>
              <w:rPr>
                <w:rFonts w:ascii="Aptos" w:hAnsi="Aptos"/>
                <w:sz w:val="15"/>
              </w:rPr>
              <w:t>At least central-mirror width on every side.</w:t>
            </w:r>
          </w:p>
        </w:tc>
        <w:tc>
          <w:tcPr>
            <w:tcW w:type="dxa" w:w="3360"/>
            <w:vAlign w:val="center"/>
          </w:tcPr>
          <w:p>
            <w:pPr>
              <w:spacing w:after="20"/>
            </w:pPr>
            <w:r>
              <w:rPr>
                <w:rFonts w:ascii="Aptos" w:hAnsi="Aptos"/>
                <w:sz w:val="15"/>
              </w:rPr>
              <w:t>Test horizontal, stacked and symbol-only lockups.</w:t>
            </w:r>
          </w:p>
        </w:tc>
      </w:tr>
      <w:tr>
        <w:tc>
          <w:tcPr>
            <w:tcW w:type="dxa" w:w="3360"/>
            <w:vAlign w:val="center"/>
            <w:shd w:fill="F2F5F3"/>
          </w:tcPr>
          <w:p>
            <w:pPr>
              <w:spacing w:after="20"/>
            </w:pPr>
            <w:r>
              <w:rPr>
                <w:rFonts w:ascii="Aptos" w:hAnsi="Aptos"/>
                <w:sz w:val="15"/>
              </w:rPr>
              <w:t>Digital symbol</w:t>
            </w:r>
          </w:p>
        </w:tc>
        <w:tc>
          <w:tcPr>
            <w:tcW w:type="dxa" w:w="3360"/>
            <w:vAlign w:val="center"/>
            <w:shd w:fill="F2F5F3"/>
          </w:tcPr>
          <w:p>
            <w:pPr>
              <w:spacing w:after="20"/>
            </w:pPr>
            <w:r>
              <w:rPr>
                <w:rFonts w:ascii="Aptos" w:hAnsi="Aptos"/>
                <w:sz w:val="15"/>
              </w:rPr>
              <w:t>16 px initial test point.</w:t>
            </w:r>
          </w:p>
        </w:tc>
        <w:tc>
          <w:tcPr>
            <w:tcW w:type="dxa" w:w="3360"/>
            <w:vAlign w:val="center"/>
            <w:shd w:fill="F2F5F3"/>
          </w:tcPr>
          <w:p>
            <w:pPr>
              <w:spacing w:after="20"/>
            </w:pPr>
            <w:r>
              <w:rPr>
                <w:rFonts w:ascii="Aptos" w:hAnsi="Aptos"/>
                <w:sz w:val="15"/>
              </w:rPr>
              <w:t>Test at 16/20/24/32/48 px across themes.</w:t>
            </w:r>
          </w:p>
        </w:tc>
      </w:tr>
      <w:tr>
        <w:tc>
          <w:tcPr>
            <w:tcW w:type="dxa" w:w="3360"/>
            <w:vAlign w:val="center"/>
          </w:tcPr>
          <w:p>
            <w:pPr>
              <w:spacing w:after="20"/>
            </w:pPr>
            <w:r>
              <w:rPr>
                <w:rFonts w:ascii="Aptos" w:hAnsi="Aptos"/>
                <w:sz w:val="15"/>
              </w:rPr>
              <w:t>Digital lockup</w:t>
            </w:r>
          </w:p>
        </w:tc>
        <w:tc>
          <w:tcPr>
            <w:tcW w:type="dxa" w:w="3360"/>
            <w:vAlign w:val="center"/>
          </w:tcPr>
          <w:p>
            <w:pPr>
              <w:spacing w:after="20"/>
            </w:pPr>
            <w:r>
              <w:rPr>
                <w:rFonts w:ascii="Aptos" w:hAnsi="Aptos"/>
                <w:sz w:val="15"/>
              </w:rPr>
              <w:t>140 px minimum width initial test.</w:t>
            </w:r>
          </w:p>
        </w:tc>
        <w:tc>
          <w:tcPr>
            <w:tcW w:type="dxa" w:w="3360"/>
            <w:vAlign w:val="center"/>
          </w:tcPr>
          <w:p>
            <w:pPr>
              <w:spacing w:after="20"/>
            </w:pPr>
            <w:r>
              <w:rPr>
                <w:rFonts w:ascii="Aptos" w:hAnsi="Aptos"/>
                <w:sz w:val="15"/>
              </w:rPr>
              <w:t>Check wordmark legibility; omit tagline when cramped.</w:t>
            </w:r>
          </w:p>
        </w:tc>
      </w:tr>
      <w:tr>
        <w:tc>
          <w:tcPr>
            <w:tcW w:type="dxa" w:w="3360"/>
            <w:vAlign w:val="center"/>
            <w:shd w:fill="F2F5F3"/>
          </w:tcPr>
          <w:p>
            <w:pPr>
              <w:spacing w:after="20"/>
            </w:pPr>
            <w:r>
              <w:rPr>
                <w:rFonts w:ascii="Aptos" w:hAnsi="Aptos"/>
                <w:sz w:val="15"/>
              </w:rPr>
              <w:t>Print symbol</w:t>
            </w:r>
          </w:p>
        </w:tc>
        <w:tc>
          <w:tcPr>
            <w:tcW w:type="dxa" w:w="3360"/>
            <w:vAlign w:val="center"/>
            <w:shd w:fill="F2F5F3"/>
          </w:tcPr>
          <w:p>
            <w:pPr>
              <w:spacing w:after="20"/>
            </w:pPr>
            <w:r>
              <w:rPr>
                <w:rFonts w:ascii="Aptos" w:hAnsi="Aptos"/>
                <w:sz w:val="15"/>
              </w:rPr>
              <w:t>6 mm initial test point.</w:t>
            </w:r>
          </w:p>
        </w:tc>
        <w:tc>
          <w:tcPr>
            <w:tcW w:type="dxa" w:w="3360"/>
            <w:vAlign w:val="center"/>
            <w:shd w:fill="F2F5F3"/>
          </w:tcPr>
          <w:p>
            <w:pPr>
              <w:spacing w:after="20"/>
            </w:pPr>
            <w:r>
              <w:rPr>
                <w:rFonts w:ascii="Aptos" w:hAnsi="Aptos"/>
                <w:sz w:val="15"/>
              </w:rPr>
              <w:t>Test office print and photocopy.</w:t>
            </w:r>
          </w:p>
        </w:tc>
      </w:tr>
      <w:tr>
        <w:tc>
          <w:tcPr>
            <w:tcW w:type="dxa" w:w="3360"/>
            <w:vAlign w:val="center"/>
          </w:tcPr>
          <w:p>
            <w:pPr>
              <w:spacing w:after="20"/>
            </w:pPr>
            <w:r>
              <w:rPr>
                <w:rFonts w:ascii="Aptos" w:hAnsi="Aptos"/>
                <w:sz w:val="15"/>
              </w:rPr>
              <w:t>Print lockup</w:t>
            </w:r>
          </w:p>
        </w:tc>
        <w:tc>
          <w:tcPr>
            <w:tcW w:type="dxa" w:w="3360"/>
            <w:vAlign w:val="center"/>
          </w:tcPr>
          <w:p>
            <w:pPr>
              <w:spacing w:after="20"/>
            </w:pPr>
            <w:r>
              <w:rPr>
                <w:rFonts w:ascii="Aptos" w:hAnsi="Aptos"/>
                <w:sz w:val="15"/>
              </w:rPr>
              <w:t>30 mm width initial test.</w:t>
            </w:r>
          </w:p>
        </w:tc>
        <w:tc>
          <w:tcPr>
            <w:tcW w:type="dxa" w:w="3360"/>
            <w:vAlign w:val="center"/>
          </w:tcPr>
          <w:p>
            <w:pPr>
              <w:spacing w:after="20"/>
            </w:pPr>
            <w:r>
              <w:rPr>
                <w:rFonts w:ascii="Aptos" w:hAnsi="Aptos"/>
                <w:sz w:val="15"/>
              </w:rPr>
              <w:t>Check wordmark/descriptor at actual output size.</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Context</w:t>
            </w:r>
          </w:p>
        </w:tc>
        <w:tc>
          <w:tcPr>
            <w:tcW w:type="dxa" w:w="3360"/>
            <w:shd w:fill="0E3D32"/>
          </w:tcPr>
          <w:p>
            <w:r>
              <w:rPr>
                <w:b/>
                <w:color w:val="FFFFFF"/>
                <w:sz w:val="15"/>
              </w:rPr>
              <w:t>Use</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Product header</w:t>
            </w:r>
          </w:p>
        </w:tc>
        <w:tc>
          <w:tcPr>
            <w:tcW w:type="dxa" w:w="3360"/>
            <w:vAlign w:val="center"/>
          </w:tcPr>
          <w:p>
            <w:pPr>
              <w:spacing w:after="20"/>
            </w:pPr>
            <w:r>
              <w:rPr>
                <w:rFonts w:ascii="Aptos" w:hAnsi="Aptos"/>
                <w:sz w:val="15"/>
              </w:rPr>
              <w:t>Horizontal lockup where space allows; otherwise symbol if context is clear.</w:t>
            </w:r>
          </w:p>
        </w:tc>
        <w:tc>
          <w:tcPr>
            <w:tcW w:type="dxa" w:w="3360"/>
            <w:vAlign w:val="center"/>
          </w:tcPr>
          <w:p>
            <w:pPr>
              <w:spacing w:after="20"/>
            </w:pPr>
            <w:r>
              <w:rPr>
                <w:rFonts w:ascii="Aptos" w:hAnsi="Aptos"/>
                <w:sz w:val="15"/>
              </w:rPr>
              <w:t>No tagline in cramped navigation.</w:t>
            </w:r>
          </w:p>
        </w:tc>
      </w:tr>
      <w:tr>
        <w:tc>
          <w:tcPr>
            <w:tcW w:type="dxa" w:w="3360"/>
            <w:vAlign w:val="center"/>
            <w:shd w:fill="F2F5F3"/>
          </w:tcPr>
          <w:p>
            <w:pPr>
              <w:spacing w:after="20"/>
            </w:pPr>
            <w:r>
              <w:rPr>
                <w:rFonts w:ascii="Aptos" w:hAnsi="Aptos"/>
                <w:sz w:val="15"/>
              </w:rPr>
              <w:t>Report cover</w:t>
            </w:r>
          </w:p>
        </w:tc>
        <w:tc>
          <w:tcPr>
            <w:tcW w:type="dxa" w:w="3360"/>
            <w:vAlign w:val="center"/>
            <w:shd w:fill="F2F5F3"/>
          </w:tcPr>
          <w:p>
            <w:pPr>
              <w:spacing w:after="20"/>
            </w:pPr>
            <w:r>
              <w:rPr>
                <w:rFonts w:ascii="Aptos" w:hAnsi="Aptos"/>
                <w:sz w:val="15"/>
              </w:rPr>
              <w:t>Primary lockup.</w:t>
            </w:r>
          </w:p>
        </w:tc>
        <w:tc>
          <w:tcPr>
            <w:tcW w:type="dxa" w:w="3360"/>
            <w:vAlign w:val="center"/>
            <w:shd w:fill="F2F5F3"/>
          </w:tcPr>
          <w:p>
            <w:pPr>
              <w:spacing w:after="20"/>
            </w:pPr>
            <w:r>
              <w:rPr>
                <w:rFonts w:ascii="Aptos" w:hAnsi="Aptos"/>
                <w:sz w:val="15"/>
              </w:rPr>
              <w:t>Title/date/topic remain dominant.</w:t>
            </w:r>
          </w:p>
        </w:tc>
      </w:tr>
      <w:tr>
        <w:tc>
          <w:tcPr>
            <w:tcW w:type="dxa" w:w="3360"/>
            <w:vAlign w:val="center"/>
          </w:tcPr>
          <w:p>
            <w:pPr>
              <w:spacing w:after="20"/>
            </w:pPr>
            <w:r>
              <w:rPr>
                <w:rFonts w:ascii="Aptos" w:hAnsi="Aptos"/>
                <w:sz w:val="15"/>
              </w:rPr>
              <w:t>Report interior / dense UI</w:t>
            </w:r>
          </w:p>
        </w:tc>
        <w:tc>
          <w:tcPr>
            <w:tcW w:type="dxa" w:w="3360"/>
            <w:vAlign w:val="center"/>
          </w:tcPr>
          <w:p>
            <w:pPr>
              <w:spacing w:after="20"/>
            </w:pPr>
            <w:r>
              <w:rPr>
                <w:rFonts w:ascii="Aptos" w:hAnsi="Aptos"/>
                <w:sz w:val="15"/>
              </w:rPr>
              <w:t>Small flat symbol or wordmark.</w:t>
            </w:r>
          </w:p>
        </w:tc>
        <w:tc>
          <w:tcPr>
            <w:tcW w:type="dxa" w:w="3360"/>
            <w:vAlign w:val="center"/>
          </w:tcPr>
          <w:p>
            <w:pPr>
              <w:spacing w:after="20"/>
            </w:pPr>
            <w:r>
              <w:rPr>
                <w:rFonts w:ascii="Aptos" w:hAnsi="Aptos"/>
                <w:sz w:val="15"/>
              </w:rPr>
              <w:t>Never compete with data or sources.</w:t>
            </w:r>
          </w:p>
        </w:tc>
      </w:tr>
      <w:tr>
        <w:tc>
          <w:tcPr>
            <w:tcW w:type="dxa" w:w="3360"/>
            <w:vAlign w:val="center"/>
            <w:shd w:fill="F2F5F3"/>
          </w:tcPr>
          <w:p>
            <w:pPr>
              <w:spacing w:after="20"/>
            </w:pPr>
            <w:r>
              <w:rPr>
                <w:rFonts w:ascii="Aptos" w:hAnsi="Aptos"/>
                <w:sz w:val="15"/>
              </w:rPr>
              <w:t>Favicon / app tile</w:t>
            </w:r>
          </w:p>
        </w:tc>
        <w:tc>
          <w:tcPr>
            <w:tcW w:type="dxa" w:w="3360"/>
            <w:vAlign w:val="center"/>
            <w:shd w:fill="F2F5F3"/>
          </w:tcPr>
          <w:p>
            <w:pPr>
              <w:spacing w:after="20"/>
            </w:pPr>
            <w:r>
              <w:rPr>
                <w:rFonts w:ascii="Aptos" w:hAnsi="Aptos"/>
                <w:sz w:val="15"/>
              </w:rPr>
              <w:t>Simplified flat symbol.</w:t>
            </w:r>
          </w:p>
        </w:tc>
        <w:tc>
          <w:tcPr>
            <w:tcW w:type="dxa" w:w="3360"/>
            <w:vAlign w:val="center"/>
            <w:shd w:fill="F2F5F3"/>
          </w:tcPr>
          <w:p>
            <w:pPr>
              <w:spacing w:after="20"/>
            </w:pPr>
            <w:r>
              <w:rPr>
                <w:rFonts w:ascii="Aptos" w:hAnsi="Aptos"/>
                <w:sz w:val="15"/>
              </w:rPr>
              <w:t>No mirror detail that collapses.</w:t>
            </w:r>
          </w:p>
        </w:tc>
      </w:tr>
      <w:tr>
        <w:tc>
          <w:tcPr>
            <w:tcW w:type="dxa" w:w="3360"/>
            <w:vAlign w:val="center"/>
          </w:tcPr>
          <w:p>
            <w:pPr>
              <w:spacing w:after="20"/>
            </w:pPr>
            <w:r>
              <w:rPr>
                <w:rFonts w:ascii="Aptos" w:hAnsi="Aptos"/>
                <w:sz w:val="15"/>
              </w:rPr>
              <w:t>Dark surface</w:t>
            </w:r>
          </w:p>
        </w:tc>
        <w:tc>
          <w:tcPr>
            <w:tcW w:type="dxa" w:w="3360"/>
            <w:vAlign w:val="center"/>
          </w:tcPr>
          <w:p>
            <w:pPr>
              <w:spacing w:after="20"/>
            </w:pPr>
            <w:r>
              <w:rPr>
                <w:rFonts w:ascii="Aptos" w:hAnsi="Aptos"/>
                <w:sz w:val="15"/>
              </w:rPr>
              <w:t>Approved reverse/light variant.</w:t>
            </w:r>
          </w:p>
        </w:tc>
        <w:tc>
          <w:tcPr>
            <w:tcW w:type="dxa" w:w="3360"/>
            <w:vAlign w:val="center"/>
          </w:tcPr>
          <w:p>
            <w:pPr>
              <w:spacing w:after="20"/>
            </w:pPr>
            <w:r>
              <w:rPr>
                <w:rFonts w:ascii="Aptos" w:hAnsi="Aptos"/>
                <w:sz w:val="15"/>
              </w:rPr>
              <w:t>No ad hoc recolouring.</w:t>
            </w:r>
          </w:p>
        </w:tc>
      </w:tr>
      <w:tr>
        <w:tc>
          <w:tcPr>
            <w:tcW w:type="dxa" w:w="3360"/>
            <w:vAlign w:val="center"/>
            <w:shd w:fill="F2F5F3"/>
          </w:tcPr>
          <w:p>
            <w:pPr>
              <w:spacing w:after="20"/>
            </w:pPr>
            <w:r>
              <w:rPr>
                <w:rFonts w:ascii="Aptos" w:hAnsi="Aptos"/>
                <w:sz w:val="15"/>
              </w:rPr>
              <w:t>Mono/photocopy</w:t>
            </w:r>
          </w:p>
        </w:tc>
        <w:tc>
          <w:tcPr>
            <w:tcW w:type="dxa" w:w="3360"/>
            <w:vAlign w:val="center"/>
            <w:shd w:fill="F2F5F3"/>
          </w:tcPr>
          <w:p>
            <w:pPr>
              <w:spacing w:after="20"/>
            </w:pPr>
            <w:r>
              <w:rPr>
                <w:rFonts w:ascii="Aptos" w:hAnsi="Aptos"/>
                <w:sz w:val="15"/>
              </w:rPr>
              <w:t>Flat one-colour master.</w:t>
            </w:r>
          </w:p>
        </w:tc>
        <w:tc>
          <w:tcPr>
            <w:tcW w:type="dxa" w:w="3360"/>
            <w:vAlign w:val="center"/>
            <w:shd w:fill="F2F5F3"/>
          </w:tcPr>
          <w:p>
            <w:pPr>
              <w:spacing w:after="20"/>
            </w:pPr>
            <w:r>
              <w:rPr>
                <w:rFonts w:ascii="Aptos" w:hAnsi="Aptos"/>
                <w:sz w:val="15"/>
              </w:rPr>
              <w:t>Preserve negative-space logic.</w:t>
            </w:r>
          </w:p>
        </w:tc>
      </w:tr>
      <w:tr>
        <w:tc>
          <w:tcPr>
            <w:tcW w:type="dxa" w:w="3360"/>
            <w:vAlign w:val="center"/>
          </w:tcPr>
          <w:p>
            <w:pPr>
              <w:spacing w:after="20"/>
            </w:pPr>
            <w:r>
              <w:rPr>
                <w:rFonts w:ascii="Aptos" w:hAnsi="Aptos"/>
                <w:sz w:val="15"/>
              </w:rPr>
              <w:t>Video end card</w:t>
            </w:r>
          </w:p>
        </w:tc>
        <w:tc>
          <w:tcPr>
            <w:tcW w:type="dxa" w:w="3360"/>
            <w:vAlign w:val="center"/>
          </w:tcPr>
          <w:p>
            <w:pPr>
              <w:spacing w:after="20"/>
            </w:pPr>
            <w:r>
              <w:rPr>
                <w:rFonts w:ascii="Aptos" w:hAnsi="Aptos"/>
                <w:sz w:val="15"/>
              </w:rPr>
              <w:t>Mobile-readable lockup.</w:t>
            </w:r>
          </w:p>
        </w:tc>
        <w:tc>
          <w:tcPr>
            <w:tcW w:type="dxa" w:w="3360"/>
            <w:vAlign w:val="center"/>
          </w:tcPr>
          <w:p>
            <w:pPr>
              <w:spacing w:after="20"/>
            </w:pPr>
            <w:r>
              <w:rPr>
                <w:rFonts w:ascii="Aptos" w:hAnsi="Aptos"/>
                <w:sz w:val="15"/>
              </w:rPr>
              <w:t>Tagline only with adequate dwell time.</w:t>
            </w:r>
          </w:p>
        </w:tc>
      </w:tr>
    </w:tbl>
    <w:p>
      <w:pPr>
        <w:spacing w:after="20"/>
      </w:pPr>
    </w:p>
    <w:p>
      <w:pPr>
        <w:pStyle w:val="Heading1"/>
      </w:pPr>
      <w:r>
        <w:t>3. Colour system and themes</w:t>
      </w:r>
    </w:p>
    <w:p>
      <w:r>
        <w:rPr>
          <w:b w:val="0"/>
        </w:rPr>
        <w:t>These values are provisional design hypotheses, not certified combinations. Test text, controls, focus rings, icons, charts and print output before approval.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Token</w:t>
            </w:r>
          </w:p>
        </w:tc>
        <w:tc>
          <w:tcPr>
            <w:tcW w:type="dxa" w:w="3360"/>
            <w:shd w:fill="0E3D32"/>
          </w:tcPr>
          <w:p>
            <w:r>
              <w:rPr>
                <w:b/>
                <w:color w:val="FFFFFF"/>
                <w:sz w:val="15"/>
              </w:rPr>
              <w:t>Provisional value</w:t>
            </w:r>
          </w:p>
        </w:tc>
        <w:tc>
          <w:tcPr>
            <w:tcW w:type="dxa" w:w="3360"/>
            <w:shd w:fill="0E3D32"/>
          </w:tcPr>
          <w:p>
            <w:r>
              <w:rPr>
                <w:b/>
                <w:color w:val="FFFFFF"/>
                <w:sz w:val="15"/>
              </w:rPr>
              <w:t>Role / guardrail</w:t>
            </w:r>
          </w:p>
        </w:tc>
      </w:tr>
      <w:tr>
        <w:tc>
          <w:tcPr>
            <w:tcW w:type="dxa" w:w="3360"/>
            <w:vAlign w:val="center"/>
          </w:tcPr>
          <w:p>
            <w:pPr>
              <w:spacing w:after="20"/>
            </w:pPr>
            <w:r>
              <w:rPr>
                <w:rFonts w:ascii="Aptos" w:hAnsi="Aptos"/>
                <w:sz w:val="15"/>
              </w:rPr>
              <w:t>Forest</w:t>
            </w:r>
          </w:p>
        </w:tc>
        <w:tc>
          <w:tcPr>
            <w:tcW w:type="dxa" w:w="3360"/>
            <w:vAlign w:val="center"/>
          </w:tcPr>
          <w:p>
            <w:pPr>
              <w:spacing w:after="20"/>
            </w:pPr>
            <w:r>
              <w:rPr>
                <w:rFonts w:ascii="Aptos" w:hAnsi="Aptos"/>
                <w:sz w:val="15"/>
              </w:rPr>
              <w:t>#0E3D32</w:t>
            </w:r>
          </w:p>
        </w:tc>
        <w:tc>
          <w:tcPr>
            <w:tcW w:type="dxa" w:w="3360"/>
            <w:vAlign w:val="center"/>
          </w:tcPr>
          <w:p>
            <w:pPr>
              <w:spacing w:after="20"/>
            </w:pPr>
            <w:r>
              <w:rPr>
                <w:rFonts w:ascii="Aptos" w:hAnsi="Aptos"/>
                <w:sz w:val="15"/>
              </w:rPr>
              <w:t>Brand anchor and primary action candidate; not synonymous with success.</w:t>
            </w:r>
          </w:p>
        </w:tc>
      </w:tr>
      <w:tr>
        <w:tc>
          <w:tcPr>
            <w:tcW w:type="dxa" w:w="3360"/>
            <w:vAlign w:val="center"/>
            <w:shd w:fill="F2F5F3"/>
          </w:tcPr>
          <w:p>
            <w:pPr>
              <w:spacing w:after="20"/>
            </w:pPr>
            <w:r>
              <w:rPr>
                <w:rFonts w:ascii="Aptos" w:hAnsi="Aptos"/>
                <w:sz w:val="15"/>
              </w:rPr>
              <w:t>Sage</w:t>
            </w:r>
          </w:p>
        </w:tc>
        <w:tc>
          <w:tcPr>
            <w:tcW w:type="dxa" w:w="3360"/>
            <w:vAlign w:val="center"/>
            <w:shd w:fill="F2F5F3"/>
          </w:tcPr>
          <w:p>
            <w:pPr>
              <w:spacing w:after="20"/>
            </w:pPr>
            <w:r>
              <w:rPr>
                <w:rFonts w:ascii="Aptos" w:hAnsi="Aptos"/>
                <w:sz w:val="15"/>
              </w:rPr>
              <w:t>#7DA77A</w:t>
            </w:r>
          </w:p>
        </w:tc>
        <w:tc>
          <w:tcPr>
            <w:tcW w:type="dxa" w:w="3360"/>
            <w:vAlign w:val="center"/>
            <w:shd w:fill="F2F5F3"/>
          </w:tcPr>
          <w:p>
            <w:pPr>
              <w:spacing w:after="20"/>
            </w:pPr>
            <w:r>
              <w:rPr>
                <w:rFonts w:ascii="Aptos" w:hAnsi="Aptos"/>
                <w:sz w:val="15"/>
              </w:rPr>
              <w:t>Support accent/series; test small-text contrast.</w:t>
            </w:r>
          </w:p>
        </w:tc>
      </w:tr>
      <w:tr>
        <w:tc>
          <w:tcPr>
            <w:tcW w:type="dxa" w:w="3360"/>
            <w:vAlign w:val="center"/>
          </w:tcPr>
          <w:p>
            <w:pPr>
              <w:spacing w:after="20"/>
            </w:pPr>
            <w:r>
              <w:rPr>
                <w:rFonts w:ascii="Aptos" w:hAnsi="Aptos"/>
                <w:sz w:val="15"/>
              </w:rPr>
              <w:t>Lime</w:t>
            </w:r>
          </w:p>
        </w:tc>
        <w:tc>
          <w:tcPr>
            <w:tcW w:type="dxa" w:w="3360"/>
            <w:vAlign w:val="center"/>
          </w:tcPr>
          <w:p>
            <w:pPr>
              <w:spacing w:after="20"/>
            </w:pPr>
            <w:r>
              <w:rPr>
                <w:rFonts w:ascii="Aptos" w:hAnsi="Aptos"/>
                <w:sz w:val="15"/>
              </w:rPr>
              <w:t>#C7E268</w:t>
            </w:r>
          </w:p>
        </w:tc>
        <w:tc>
          <w:tcPr>
            <w:tcW w:type="dxa" w:w="3360"/>
            <w:vAlign w:val="center"/>
          </w:tcPr>
          <w:p>
            <w:pPr>
              <w:spacing w:after="20"/>
            </w:pPr>
            <w:r>
              <w:rPr>
                <w:rFonts w:ascii="Aptos" w:hAnsi="Aptos"/>
                <w:sz w:val="15"/>
              </w:rPr>
              <w:t>Rare focal point; not automatically profit/success.</w:t>
            </w:r>
          </w:p>
        </w:tc>
      </w:tr>
      <w:tr>
        <w:tc>
          <w:tcPr>
            <w:tcW w:type="dxa" w:w="3360"/>
            <w:vAlign w:val="center"/>
            <w:shd w:fill="F2F5F3"/>
          </w:tcPr>
          <w:p>
            <w:pPr>
              <w:spacing w:after="20"/>
            </w:pPr>
            <w:r>
              <w:rPr>
                <w:rFonts w:ascii="Aptos" w:hAnsi="Aptos"/>
                <w:sz w:val="15"/>
              </w:rPr>
              <w:t>Ink Navy</w:t>
            </w:r>
          </w:p>
        </w:tc>
        <w:tc>
          <w:tcPr>
            <w:tcW w:type="dxa" w:w="3360"/>
            <w:vAlign w:val="center"/>
            <w:shd w:fill="F2F5F3"/>
          </w:tcPr>
          <w:p>
            <w:pPr>
              <w:spacing w:after="20"/>
            </w:pPr>
            <w:r>
              <w:rPr>
                <w:rFonts w:ascii="Aptos" w:hAnsi="Aptos"/>
                <w:sz w:val="15"/>
              </w:rPr>
              <w:t>#0B2337</w:t>
            </w:r>
          </w:p>
        </w:tc>
        <w:tc>
          <w:tcPr>
            <w:tcW w:type="dxa" w:w="3360"/>
            <w:vAlign w:val="center"/>
            <w:shd w:fill="F2F5F3"/>
          </w:tcPr>
          <w:p>
            <w:pPr>
              <w:spacing w:after="20"/>
            </w:pPr>
            <w:r>
              <w:rPr>
                <w:rFonts w:ascii="Aptos" w:hAnsi="Aptos"/>
                <w:sz w:val="15"/>
              </w:rPr>
              <w:t>Editorial authority, body text and axes.</w:t>
            </w:r>
          </w:p>
        </w:tc>
      </w:tr>
      <w:tr>
        <w:tc>
          <w:tcPr>
            <w:tcW w:type="dxa" w:w="3360"/>
            <w:vAlign w:val="center"/>
          </w:tcPr>
          <w:p>
            <w:pPr>
              <w:spacing w:after="20"/>
            </w:pPr>
            <w:r>
              <w:rPr>
                <w:rFonts w:ascii="Aptos" w:hAnsi="Aptos"/>
                <w:sz w:val="15"/>
              </w:rPr>
              <w:t>Ivory</w:t>
            </w:r>
          </w:p>
        </w:tc>
        <w:tc>
          <w:tcPr>
            <w:tcW w:type="dxa" w:w="3360"/>
            <w:vAlign w:val="center"/>
          </w:tcPr>
          <w:p>
            <w:pPr>
              <w:spacing w:after="20"/>
            </w:pPr>
            <w:r>
              <w:rPr>
                <w:rFonts w:ascii="Aptos" w:hAnsi="Aptos"/>
                <w:sz w:val="15"/>
              </w:rPr>
              <w:t>#F7F5EE</w:t>
            </w:r>
          </w:p>
        </w:tc>
        <w:tc>
          <w:tcPr>
            <w:tcW w:type="dxa" w:w="3360"/>
            <w:vAlign w:val="center"/>
          </w:tcPr>
          <w:p>
            <w:pPr>
              <w:spacing w:after="20"/>
            </w:pPr>
            <w:r>
              <w:rPr>
                <w:rFonts w:ascii="Aptos" w:hAnsi="Aptos"/>
                <w:sz w:val="15"/>
              </w:rPr>
              <w:t>Warm page/report surface.</w:t>
            </w:r>
          </w:p>
        </w:tc>
      </w:tr>
      <w:tr>
        <w:tc>
          <w:tcPr>
            <w:tcW w:type="dxa" w:w="3360"/>
            <w:vAlign w:val="center"/>
            <w:shd w:fill="F2F5F3"/>
          </w:tcPr>
          <w:p>
            <w:pPr>
              <w:spacing w:after="20"/>
            </w:pPr>
            <w:r>
              <w:rPr>
                <w:rFonts w:ascii="Aptos" w:hAnsi="Aptos"/>
                <w:sz w:val="15"/>
              </w:rPr>
              <w:t>Mist</w:t>
            </w:r>
          </w:p>
        </w:tc>
        <w:tc>
          <w:tcPr>
            <w:tcW w:type="dxa" w:w="3360"/>
            <w:vAlign w:val="center"/>
            <w:shd w:fill="F2F5F3"/>
          </w:tcPr>
          <w:p>
            <w:pPr>
              <w:spacing w:after="20"/>
            </w:pPr>
            <w:r>
              <w:rPr>
                <w:rFonts w:ascii="Aptos" w:hAnsi="Aptos"/>
                <w:sz w:val="15"/>
              </w:rPr>
              <w:t>#D9E3E8</w:t>
            </w:r>
          </w:p>
        </w:tc>
        <w:tc>
          <w:tcPr>
            <w:tcW w:type="dxa" w:w="3360"/>
            <w:vAlign w:val="center"/>
            <w:shd w:fill="F2F5F3"/>
          </w:tcPr>
          <w:p>
            <w:pPr>
              <w:spacing w:after="20"/>
            </w:pPr>
            <w:r>
              <w:rPr>
                <w:rFonts w:ascii="Aptos" w:hAnsi="Aptos"/>
                <w:sz w:val="15"/>
              </w:rPr>
              <w:t>Dividers, neutral panels and secondary series.</w:t>
            </w:r>
          </w:p>
        </w:tc>
      </w:tr>
      <w:tr>
        <w:tc>
          <w:tcPr>
            <w:tcW w:type="dxa" w:w="3360"/>
            <w:vAlign w:val="center"/>
          </w:tcPr>
          <w:p>
            <w:pPr>
              <w:spacing w:after="20"/>
            </w:pPr>
            <w:r>
              <w:rPr>
                <w:rFonts w:ascii="Aptos" w:hAnsi="Aptos"/>
                <w:sz w:val="15"/>
              </w:rPr>
              <w:t>Charcoal</w:t>
            </w:r>
          </w:p>
        </w:tc>
        <w:tc>
          <w:tcPr>
            <w:tcW w:type="dxa" w:w="3360"/>
            <w:vAlign w:val="center"/>
          </w:tcPr>
          <w:p>
            <w:pPr>
              <w:spacing w:after="20"/>
            </w:pPr>
            <w:r>
              <w:rPr>
                <w:rFonts w:ascii="Aptos" w:hAnsi="Aptos"/>
                <w:sz w:val="15"/>
              </w:rPr>
              <w:t>#282F33</w:t>
            </w:r>
          </w:p>
        </w:tc>
        <w:tc>
          <w:tcPr>
            <w:tcW w:type="dxa" w:w="3360"/>
            <w:vAlign w:val="center"/>
          </w:tcPr>
          <w:p>
            <w:pPr>
              <w:spacing w:after="20"/>
            </w:pPr>
            <w:r>
              <w:rPr>
                <w:rFonts w:ascii="Aptos" w:hAnsi="Aptos"/>
                <w:sz w:val="15"/>
              </w:rPr>
              <w:t>Sustained reading and dense text.</w:t>
            </w:r>
          </w:p>
        </w:tc>
      </w:tr>
      <w:tr>
        <w:tc>
          <w:tcPr>
            <w:tcW w:type="dxa" w:w="3360"/>
            <w:vAlign w:val="center"/>
            <w:shd w:fill="F2F5F3"/>
          </w:tcPr>
          <w:p>
            <w:pPr>
              <w:spacing w:after="20"/>
            </w:pPr>
            <w:r>
              <w:rPr>
                <w:rFonts w:ascii="Aptos" w:hAnsi="Aptos"/>
                <w:sz w:val="15"/>
              </w:rPr>
              <w:t>White</w:t>
            </w:r>
          </w:p>
        </w:tc>
        <w:tc>
          <w:tcPr>
            <w:tcW w:type="dxa" w:w="3360"/>
            <w:vAlign w:val="center"/>
            <w:shd w:fill="F2F5F3"/>
          </w:tcPr>
          <w:p>
            <w:pPr>
              <w:spacing w:after="20"/>
            </w:pPr>
            <w:r>
              <w:rPr>
                <w:rFonts w:ascii="Aptos" w:hAnsi="Aptos"/>
                <w:sz w:val="15"/>
              </w:rPr>
              <w:t>#FFFFFF</w:t>
            </w:r>
          </w:p>
        </w:tc>
        <w:tc>
          <w:tcPr>
            <w:tcW w:type="dxa" w:w="3360"/>
            <w:vAlign w:val="center"/>
            <w:shd w:fill="F2F5F3"/>
          </w:tcPr>
          <w:p>
            <w:pPr>
              <w:spacing w:after="20"/>
            </w:pPr>
            <w:r>
              <w:rPr>
                <w:rFonts w:ascii="Aptos" w:hAnsi="Aptos"/>
                <w:sz w:val="15"/>
              </w:rPr>
              <w:t>Utility neutral and reverse surfaces.</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E3D32"/>
          </w:tcPr>
          <w:p>
            <w:r>
              <w:rPr>
                <w:b/>
                <w:color w:val="FFFFFF"/>
                <w:sz w:val="15"/>
              </w:rPr>
              <w:t>Role</w:t>
            </w:r>
          </w:p>
        </w:tc>
        <w:tc>
          <w:tcPr>
            <w:tcW w:type="dxa" w:w="2520"/>
            <w:shd w:fill="0E3D32"/>
          </w:tcPr>
          <w:p>
            <w:r>
              <w:rPr>
                <w:b/>
                <w:color w:val="FFFFFF"/>
                <w:sz w:val="15"/>
              </w:rPr>
              <w:t>Light theme hypothesis</w:t>
            </w:r>
          </w:p>
        </w:tc>
        <w:tc>
          <w:tcPr>
            <w:tcW w:type="dxa" w:w="2520"/>
            <w:shd w:fill="0E3D32"/>
          </w:tcPr>
          <w:p>
            <w:r>
              <w:rPr>
                <w:b/>
                <w:color w:val="FFFFFF"/>
                <w:sz w:val="15"/>
              </w:rPr>
              <w:t>Dark theme hypothesis</w:t>
            </w:r>
          </w:p>
        </w:tc>
        <w:tc>
          <w:tcPr>
            <w:tcW w:type="dxa" w:w="2520"/>
            <w:shd w:fill="0E3D32"/>
          </w:tcPr>
          <w:p>
            <w:r>
              <w:rPr>
                <w:b/>
                <w:color w:val="FFFFFF"/>
                <w:sz w:val="15"/>
              </w:rPr>
              <w:t>Rule</w:t>
            </w:r>
          </w:p>
        </w:tc>
      </w:tr>
      <w:tr>
        <w:tc>
          <w:tcPr>
            <w:tcW w:type="dxa" w:w="2520"/>
            <w:vAlign w:val="center"/>
          </w:tcPr>
          <w:p>
            <w:pPr>
              <w:spacing w:after="20"/>
            </w:pPr>
            <w:r>
              <w:rPr>
                <w:rFonts w:ascii="Aptos" w:hAnsi="Aptos"/>
                <w:sz w:val="15"/>
              </w:rPr>
              <w:t>Canvas</w:t>
            </w:r>
          </w:p>
        </w:tc>
        <w:tc>
          <w:tcPr>
            <w:tcW w:type="dxa" w:w="2520"/>
            <w:vAlign w:val="center"/>
          </w:tcPr>
          <w:p>
            <w:pPr>
              <w:spacing w:after="20"/>
            </w:pPr>
            <w:r>
              <w:rPr>
                <w:rFonts w:ascii="Aptos" w:hAnsi="Aptos"/>
                <w:sz w:val="15"/>
              </w:rPr>
              <w:t>Ivory or white.</w:t>
            </w:r>
          </w:p>
        </w:tc>
        <w:tc>
          <w:tcPr>
            <w:tcW w:type="dxa" w:w="2520"/>
            <w:vAlign w:val="center"/>
          </w:tcPr>
          <w:p>
            <w:pPr>
              <w:spacing w:after="20"/>
            </w:pPr>
            <w:r>
              <w:rPr>
                <w:rFonts w:ascii="Aptos" w:hAnsi="Aptos"/>
                <w:sz w:val="15"/>
              </w:rPr>
              <w:t>Ink or deep Forest.</w:t>
            </w:r>
          </w:p>
        </w:tc>
        <w:tc>
          <w:tcPr>
            <w:tcW w:type="dxa" w:w="2520"/>
            <w:vAlign w:val="center"/>
          </w:tcPr>
          <w:p>
            <w:pPr>
              <w:spacing w:after="20"/>
            </w:pPr>
            <w:r>
              <w:rPr>
                <w:rFonts w:ascii="Aptos" w:hAnsi="Aptos"/>
                <w:sz w:val="15"/>
              </w:rPr>
              <w:t>Define canvas and elevated surface separately.</w:t>
            </w:r>
          </w:p>
        </w:tc>
      </w:tr>
      <w:tr>
        <w:tc>
          <w:tcPr>
            <w:tcW w:type="dxa" w:w="2520"/>
            <w:vAlign w:val="center"/>
            <w:shd w:fill="F2F5F3"/>
          </w:tcPr>
          <w:p>
            <w:pPr>
              <w:spacing w:after="20"/>
            </w:pPr>
            <w:r>
              <w:rPr>
                <w:rFonts w:ascii="Aptos" w:hAnsi="Aptos"/>
                <w:sz w:val="15"/>
              </w:rPr>
              <w:t>Primary text</w:t>
            </w:r>
          </w:p>
        </w:tc>
        <w:tc>
          <w:tcPr>
            <w:tcW w:type="dxa" w:w="2520"/>
            <w:vAlign w:val="center"/>
            <w:shd w:fill="F2F5F3"/>
          </w:tcPr>
          <w:p>
            <w:pPr>
              <w:spacing w:after="20"/>
            </w:pPr>
            <w:r>
              <w:rPr>
                <w:rFonts w:ascii="Aptos" w:hAnsi="Aptos"/>
                <w:sz w:val="15"/>
              </w:rPr>
              <w:t>Ink/Charcoal.</w:t>
            </w:r>
          </w:p>
        </w:tc>
        <w:tc>
          <w:tcPr>
            <w:tcW w:type="dxa" w:w="2520"/>
            <w:vAlign w:val="center"/>
            <w:shd w:fill="F2F5F3"/>
          </w:tcPr>
          <w:p>
            <w:pPr>
              <w:spacing w:after="20"/>
            </w:pPr>
            <w:r>
              <w:rPr>
                <w:rFonts w:ascii="Aptos" w:hAnsi="Aptos"/>
                <w:sz w:val="15"/>
              </w:rPr>
              <w:t>Ivory/validated near-white.</w:t>
            </w:r>
          </w:p>
        </w:tc>
        <w:tc>
          <w:tcPr>
            <w:tcW w:type="dxa" w:w="2520"/>
            <w:vAlign w:val="center"/>
            <w:shd w:fill="F2F5F3"/>
          </w:tcPr>
          <w:p>
            <w:pPr>
              <w:spacing w:after="20"/>
            </w:pPr>
            <w:r>
              <w:rPr>
                <w:rFonts w:ascii="Aptos" w:hAnsi="Aptos"/>
                <w:sz w:val="15"/>
              </w:rPr>
              <w:t>Do not simply invert every token.</w:t>
            </w:r>
          </w:p>
        </w:tc>
      </w:tr>
      <w:tr>
        <w:tc>
          <w:tcPr>
            <w:tcW w:type="dxa" w:w="2520"/>
            <w:vAlign w:val="center"/>
          </w:tcPr>
          <w:p>
            <w:pPr>
              <w:spacing w:after="20"/>
            </w:pPr>
            <w:r>
              <w:rPr>
                <w:rFonts w:ascii="Aptos" w:hAnsi="Aptos"/>
                <w:sz w:val="15"/>
              </w:rPr>
              <w:t>Secondary text</w:t>
            </w:r>
          </w:p>
        </w:tc>
        <w:tc>
          <w:tcPr>
            <w:tcW w:type="dxa" w:w="2520"/>
            <w:vAlign w:val="center"/>
          </w:tcPr>
          <w:p>
            <w:pPr>
              <w:spacing w:after="20"/>
            </w:pPr>
            <w:r>
              <w:rPr>
                <w:rFonts w:ascii="Aptos" w:hAnsi="Aptos"/>
                <w:sz w:val="15"/>
              </w:rPr>
              <w:t>Tested dark neutral.</w:t>
            </w:r>
          </w:p>
        </w:tc>
        <w:tc>
          <w:tcPr>
            <w:tcW w:type="dxa" w:w="2520"/>
            <w:vAlign w:val="center"/>
          </w:tcPr>
          <w:p>
            <w:pPr>
              <w:spacing w:after="20"/>
            </w:pPr>
            <w:r>
              <w:rPr>
                <w:rFonts w:ascii="Aptos" w:hAnsi="Aptos"/>
                <w:sz w:val="15"/>
              </w:rPr>
              <w:t>Tested light neutral.</w:t>
            </w:r>
          </w:p>
        </w:tc>
        <w:tc>
          <w:tcPr>
            <w:tcW w:type="dxa" w:w="2520"/>
            <w:vAlign w:val="center"/>
          </w:tcPr>
          <w:p>
            <w:pPr>
              <w:spacing w:after="20"/>
            </w:pPr>
            <w:r>
              <w:rPr>
                <w:rFonts w:ascii="Aptos" w:hAnsi="Aptos"/>
                <w:sz w:val="15"/>
              </w:rPr>
              <w:t>Metadata and sources remain readable.</w:t>
            </w:r>
          </w:p>
        </w:tc>
      </w:tr>
      <w:tr>
        <w:tc>
          <w:tcPr>
            <w:tcW w:type="dxa" w:w="2520"/>
            <w:vAlign w:val="center"/>
            <w:shd w:fill="F2F5F3"/>
          </w:tcPr>
          <w:p>
            <w:pPr>
              <w:spacing w:after="20"/>
            </w:pPr>
            <w:r>
              <w:rPr>
                <w:rFonts w:ascii="Aptos" w:hAnsi="Aptos"/>
                <w:sz w:val="15"/>
              </w:rPr>
              <w:t>Borders</w:t>
            </w:r>
          </w:p>
        </w:tc>
        <w:tc>
          <w:tcPr>
            <w:tcW w:type="dxa" w:w="2520"/>
            <w:vAlign w:val="center"/>
            <w:shd w:fill="F2F5F3"/>
          </w:tcPr>
          <w:p>
            <w:pPr>
              <w:spacing w:after="20"/>
            </w:pPr>
            <w:r>
              <w:rPr>
                <w:rFonts w:ascii="Aptos" w:hAnsi="Aptos"/>
                <w:sz w:val="15"/>
              </w:rPr>
              <w:t>Mist or tested neutral.</w:t>
            </w:r>
          </w:p>
        </w:tc>
        <w:tc>
          <w:tcPr>
            <w:tcW w:type="dxa" w:w="2520"/>
            <w:vAlign w:val="center"/>
            <w:shd w:fill="F2F5F3"/>
          </w:tcPr>
          <w:p>
            <w:pPr>
              <w:spacing w:after="20"/>
            </w:pPr>
            <w:r>
              <w:rPr>
                <w:rFonts w:ascii="Aptos" w:hAnsi="Aptos"/>
                <w:sz w:val="15"/>
              </w:rPr>
              <w:t>Dedicated lighter dark-surface border.</w:t>
            </w:r>
          </w:p>
        </w:tc>
        <w:tc>
          <w:tcPr>
            <w:tcW w:type="dxa" w:w="2520"/>
            <w:vAlign w:val="center"/>
            <w:shd w:fill="F2F5F3"/>
          </w:tcPr>
          <w:p>
            <w:pPr>
              <w:spacing w:after="20"/>
            </w:pPr>
            <w:r>
              <w:rPr>
                <w:rFonts w:ascii="Aptos" w:hAnsi="Aptos"/>
                <w:sz w:val="15"/>
              </w:rPr>
              <w:t>Boundaries remain visible.</w:t>
            </w:r>
          </w:p>
        </w:tc>
      </w:tr>
      <w:tr>
        <w:tc>
          <w:tcPr>
            <w:tcW w:type="dxa" w:w="2520"/>
            <w:vAlign w:val="center"/>
          </w:tcPr>
          <w:p>
            <w:pPr>
              <w:spacing w:after="20"/>
            </w:pPr>
            <w:r>
              <w:rPr>
                <w:rFonts w:ascii="Aptos" w:hAnsi="Aptos"/>
                <w:sz w:val="15"/>
              </w:rPr>
              <w:t>Primary action</w:t>
            </w:r>
          </w:p>
        </w:tc>
        <w:tc>
          <w:tcPr>
            <w:tcW w:type="dxa" w:w="2520"/>
            <w:vAlign w:val="center"/>
          </w:tcPr>
          <w:p>
            <w:pPr>
              <w:spacing w:after="20"/>
            </w:pPr>
            <w:r>
              <w:rPr>
                <w:rFonts w:ascii="Aptos" w:hAnsi="Aptos"/>
                <w:sz w:val="15"/>
              </w:rPr>
              <w:t>Forest fill with tested light label.</w:t>
            </w:r>
          </w:p>
        </w:tc>
        <w:tc>
          <w:tcPr>
            <w:tcW w:type="dxa" w:w="2520"/>
            <w:vAlign w:val="center"/>
          </w:tcPr>
          <w:p>
            <w:pPr>
              <w:spacing w:after="20"/>
            </w:pPr>
            <w:r>
              <w:rPr>
                <w:rFonts w:ascii="Aptos" w:hAnsi="Aptos"/>
                <w:sz w:val="15"/>
              </w:rPr>
              <w:t>Validated high-contrast action token.</w:t>
            </w:r>
          </w:p>
        </w:tc>
        <w:tc>
          <w:tcPr>
            <w:tcW w:type="dxa" w:w="2520"/>
            <w:vAlign w:val="center"/>
          </w:tcPr>
          <w:p>
            <w:pPr>
              <w:spacing w:after="20"/>
            </w:pPr>
            <w:r>
              <w:rPr>
                <w:rFonts w:ascii="Aptos" w:hAnsi="Aptos"/>
                <w:sz w:val="15"/>
              </w:rPr>
              <w:t>Same action hierarchy in both themes.</w:t>
            </w:r>
          </w:p>
        </w:tc>
      </w:tr>
      <w:tr>
        <w:tc>
          <w:tcPr>
            <w:tcW w:type="dxa" w:w="2520"/>
            <w:vAlign w:val="center"/>
            <w:shd w:fill="F2F5F3"/>
          </w:tcPr>
          <w:p>
            <w:pPr>
              <w:spacing w:after="20"/>
            </w:pPr>
            <w:r>
              <w:rPr>
                <w:rFonts w:ascii="Aptos" w:hAnsi="Aptos"/>
                <w:sz w:val="15"/>
              </w:rPr>
              <w:t>Focal accent</w:t>
            </w:r>
          </w:p>
        </w:tc>
        <w:tc>
          <w:tcPr>
            <w:tcW w:type="dxa" w:w="2520"/>
            <w:vAlign w:val="center"/>
            <w:shd w:fill="F2F5F3"/>
          </w:tcPr>
          <w:p>
            <w:pPr>
              <w:spacing w:after="20"/>
            </w:pPr>
            <w:r>
              <w:rPr>
                <w:rFonts w:ascii="Aptos" w:hAnsi="Aptos"/>
                <w:sz w:val="15"/>
              </w:rPr>
              <w:t>Small lime highlight.</w:t>
            </w:r>
          </w:p>
        </w:tc>
        <w:tc>
          <w:tcPr>
            <w:tcW w:type="dxa" w:w="2520"/>
            <w:vAlign w:val="center"/>
            <w:shd w:fill="F2F5F3"/>
          </w:tcPr>
          <w:p>
            <w:pPr>
              <w:spacing w:after="20"/>
            </w:pPr>
            <w:r>
              <w:rPr>
                <w:rFonts w:ascii="Aptos" w:hAnsi="Aptos"/>
                <w:sz w:val="15"/>
              </w:rPr>
              <w:t>Small lime highlight.</w:t>
            </w:r>
          </w:p>
        </w:tc>
        <w:tc>
          <w:tcPr>
            <w:tcW w:type="dxa" w:w="2520"/>
            <w:vAlign w:val="center"/>
            <w:shd w:fill="F2F5F3"/>
          </w:tcPr>
          <w:p>
            <w:pPr>
              <w:spacing w:after="20"/>
            </w:pPr>
            <w:r>
              <w:rPr>
                <w:rFonts w:ascii="Aptos" w:hAnsi="Aptos"/>
                <w:sz w:val="15"/>
              </w:rPr>
              <w:t>Never use as large glow or sole status cue.</w:t>
            </w:r>
          </w:p>
        </w:tc>
      </w:tr>
      <w:tr>
        <w:tc>
          <w:tcPr>
            <w:tcW w:type="dxa" w:w="2520"/>
            <w:vAlign w:val="center"/>
          </w:tcPr>
          <w:p>
            <w:pPr>
              <w:spacing w:after="20"/>
            </w:pPr>
            <w:r>
              <w:rPr>
                <w:rFonts w:ascii="Aptos" w:hAnsi="Aptos"/>
                <w:sz w:val="15"/>
              </w:rPr>
              <w:t>Charts</w:t>
            </w:r>
          </w:p>
        </w:tc>
        <w:tc>
          <w:tcPr>
            <w:tcW w:type="dxa" w:w="2520"/>
            <w:vAlign w:val="center"/>
          </w:tcPr>
          <w:p>
            <w:pPr>
              <w:spacing w:after="20"/>
            </w:pPr>
            <w:r>
              <w:rPr>
                <w:rFonts w:ascii="Aptos" w:hAnsi="Aptos"/>
                <w:sz w:val="15"/>
              </w:rPr>
              <w:t>Neutral grid, explicit labels.</w:t>
            </w:r>
          </w:p>
        </w:tc>
        <w:tc>
          <w:tcPr>
            <w:tcW w:type="dxa" w:w="2520"/>
            <w:vAlign w:val="center"/>
          </w:tcPr>
          <w:p>
            <w:pPr>
              <w:spacing w:after="20"/>
            </w:pPr>
            <w:r>
              <w:rPr>
                <w:rFonts w:ascii="Aptos" w:hAnsi="Aptos"/>
                <w:sz w:val="15"/>
              </w:rPr>
              <w:t>Theme-adjusted neutral grid.</w:t>
            </w:r>
          </w:p>
        </w:tc>
        <w:tc>
          <w:tcPr>
            <w:tcW w:type="dxa" w:w="2520"/>
            <w:vAlign w:val="center"/>
          </w:tcPr>
          <w:p>
            <w:pPr>
              <w:spacing w:after="20"/>
            </w:pPr>
            <w:r>
              <w:rPr>
                <w:rFonts w:ascii="Aptos" w:hAnsi="Aptos"/>
                <w:sz w:val="15"/>
              </w:rPr>
              <w:t>Test series independently in each theme.</w:t>
            </w:r>
          </w:p>
        </w:tc>
      </w:tr>
    </w:tbl>
    <w:p>
      <w:pPr>
        <w:spacing w:after="20"/>
      </w:pPr>
    </w:p>
    <w:p>
      <w:pPr>
        <w:pStyle w:val="Heading2"/>
      </w:pPr>
      <w:r>
        <w:t>3.1 Semantic status tokens</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Token</w:t>
            </w:r>
          </w:p>
        </w:tc>
        <w:tc>
          <w:tcPr>
            <w:tcW w:type="dxa" w:w="5040"/>
            <w:shd w:fill="0E3D32"/>
          </w:tcPr>
          <w:p>
            <w:r>
              <w:rPr>
                <w:b/>
                <w:color w:val="FFFFFF"/>
                <w:sz w:val="15"/>
              </w:rPr>
              <w:t>Required behaviour</w:t>
            </w:r>
          </w:p>
        </w:tc>
      </w:tr>
      <w:tr>
        <w:tc>
          <w:tcPr>
            <w:tcW w:type="dxa" w:w="5040"/>
            <w:vAlign w:val="center"/>
          </w:tcPr>
          <w:p>
            <w:pPr>
              <w:spacing w:after="20"/>
            </w:pPr>
            <w:r>
              <w:rPr>
                <w:rFonts w:ascii="Aptos" w:hAnsi="Aptos"/>
                <w:sz w:val="15"/>
              </w:rPr>
              <w:t>Positive / favourable</w:t>
            </w:r>
          </w:p>
        </w:tc>
        <w:tc>
          <w:tcPr>
            <w:tcW w:type="dxa" w:w="5040"/>
            <w:vAlign w:val="center"/>
          </w:tcPr>
          <w:p>
            <w:pPr>
              <w:spacing w:after="20"/>
            </w:pPr>
            <w:r>
              <w:rPr>
                <w:rFonts w:ascii="Aptos" w:hAnsi="Aptos"/>
                <w:sz w:val="15"/>
              </w:rPr>
              <w:t>Dedicated token plus label/icon; distinct from generic brand green.</w:t>
            </w:r>
          </w:p>
        </w:tc>
      </w:tr>
      <w:tr>
        <w:tc>
          <w:tcPr>
            <w:tcW w:type="dxa" w:w="5040"/>
            <w:vAlign w:val="center"/>
            <w:shd w:fill="F2F5F3"/>
          </w:tcPr>
          <w:p>
            <w:pPr>
              <w:spacing w:after="20"/>
            </w:pPr>
            <w:r>
              <w:rPr>
                <w:rFonts w:ascii="Aptos" w:hAnsi="Aptos"/>
                <w:sz w:val="15"/>
              </w:rPr>
              <w:t>Negative / adverse</w:t>
            </w:r>
          </w:p>
        </w:tc>
        <w:tc>
          <w:tcPr>
            <w:tcW w:type="dxa" w:w="5040"/>
            <w:vAlign w:val="center"/>
            <w:shd w:fill="F2F5F3"/>
          </w:tcPr>
          <w:p>
            <w:pPr>
              <w:spacing w:after="20"/>
            </w:pPr>
            <w:r>
              <w:rPr>
                <w:rFonts w:ascii="Aptos" w:hAnsi="Aptos"/>
                <w:sz w:val="15"/>
              </w:rPr>
              <w:t>Dedicated token plus text, sign or line style; never red/green alone.</w:t>
            </w:r>
          </w:p>
        </w:tc>
      </w:tr>
      <w:tr>
        <w:tc>
          <w:tcPr>
            <w:tcW w:type="dxa" w:w="5040"/>
            <w:vAlign w:val="center"/>
          </w:tcPr>
          <w:p>
            <w:pPr>
              <w:spacing w:after="20"/>
            </w:pPr>
            <w:r>
              <w:rPr>
                <w:rFonts w:ascii="Aptos" w:hAnsi="Aptos"/>
                <w:sz w:val="15"/>
              </w:rPr>
              <w:t>Caution</w:t>
            </w:r>
          </w:p>
        </w:tc>
        <w:tc>
          <w:tcPr>
            <w:tcW w:type="dxa" w:w="5040"/>
            <w:vAlign w:val="center"/>
          </w:tcPr>
          <w:p>
            <w:pPr>
              <w:spacing w:after="20"/>
            </w:pPr>
            <w:r>
              <w:rPr>
                <w:rFonts w:ascii="Aptos" w:hAnsi="Aptos"/>
                <w:sz w:val="15"/>
              </w:rPr>
              <w:t>Distinct from error and ordinary highlight.</w:t>
            </w:r>
          </w:p>
        </w:tc>
      </w:tr>
      <w:tr>
        <w:tc>
          <w:tcPr>
            <w:tcW w:type="dxa" w:w="5040"/>
            <w:vAlign w:val="center"/>
            <w:shd w:fill="F2F5F3"/>
          </w:tcPr>
          <w:p>
            <w:pPr>
              <w:spacing w:after="20"/>
            </w:pPr>
            <w:r>
              <w:rPr>
                <w:rFonts w:ascii="Aptos" w:hAnsi="Aptos"/>
                <w:sz w:val="15"/>
              </w:rPr>
              <w:t>Error</w:t>
            </w:r>
          </w:p>
        </w:tc>
        <w:tc>
          <w:tcPr>
            <w:tcW w:type="dxa" w:w="5040"/>
            <w:vAlign w:val="center"/>
            <w:shd w:fill="F2F5F3"/>
          </w:tcPr>
          <w:p>
            <w:pPr>
              <w:spacing w:after="20"/>
            </w:pPr>
            <w:r>
              <w:rPr>
                <w:rFonts w:ascii="Aptos" w:hAnsi="Aptos"/>
                <w:sz w:val="15"/>
              </w:rPr>
              <w:t>High-salience state with actionable recovery copy.</w:t>
            </w:r>
          </w:p>
        </w:tc>
      </w:tr>
      <w:tr>
        <w:tc>
          <w:tcPr>
            <w:tcW w:type="dxa" w:w="5040"/>
            <w:vAlign w:val="center"/>
          </w:tcPr>
          <w:p>
            <w:pPr>
              <w:spacing w:after="20"/>
            </w:pPr>
            <w:r>
              <w:rPr>
                <w:rFonts w:ascii="Aptos" w:hAnsi="Aptos"/>
                <w:sz w:val="15"/>
              </w:rPr>
              <w:t>Information</w:t>
            </w:r>
          </w:p>
        </w:tc>
        <w:tc>
          <w:tcPr>
            <w:tcW w:type="dxa" w:w="5040"/>
            <w:vAlign w:val="center"/>
          </w:tcPr>
          <w:p>
            <w:pPr>
              <w:spacing w:after="20"/>
            </w:pPr>
            <w:r>
              <w:rPr>
                <w:rFonts w:ascii="Aptos" w:hAnsi="Aptos"/>
                <w:sz w:val="15"/>
              </w:rPr>
              <w:t>Neutral explanatory state, not a recommendation.</w:t>
            </w:r>
          </w:p>
        </w:tc>
      </w:tr>
      <w:tr>
        <w:tc>
          <w:tcPr>
            <w:tcW w:type="dxa" w:w="5040"/>
            <w:vAlign w:val="center"/>
            <w:shd w:fill="F2F5F3"/>
          </w:tcPr>
          <w:p>
            <w:pPr>
              <w:spacing w:after="20"/>
            </w:pPr>
            <w:r>
              <w:rPr>
                <w:rFonts w:ascii="Aptos" w:hAnsi="Aptos"/>
                <w:sz w:val="15"/>
              </w:rPr>
              <w:t>Focus</w:t>
            </w:r>
          </w:p>
        </w:tc>
        <w:tc>
          <w:tcPr>
            <w:tcW w:type="dxa" w:w="5040"/>
            <w:vAlign w:val="center"/>
            <w:shd w:fill="F2F5F3"/>
          </w:tcPr>
          <w:p>
            <w:pPr>
              <w:spacing w:after="20"/>
            </w:pPr>
            <w:r>
              <w:rPr>
                <w:rFonts w:ascii="Aptos" w:hAnsi="Aptos"/>
                <w:sz w:val="15"/>
              </w:rPr>
              <w:t>Visible focus ring in both themes.</w:t>
            </w:r>
          </w:p>
        </w:tc>
      </w:tr>
      <w:tr>
        <w:tc>
          <w:tcPr>
            <w:tcW w:type="dxa" w:w="5040"/>
            <w:vAlign w:val="center"/>
          </w:tcPr>
          <w:p>
            <w:pPr>
              <w:spacing w:after="20"/>
            </w:pPr>
            <w:r>
              <w:rPr>
                <w:rFonts w:ascii="Aptos" w:hAnsi="Aptos"/>
                <w:sz w:val="15"/>
              </w:rPr>
              <w:t>Disabled / selected</w:t>
            </w:r>
          </w:p>
        </w:tc>
        <w:tc>
          <w:tcPr>
            <w:tcW w:type="dxa" w:w="5040"/>
            <w:vAlign w:val="center"/>
          </w:tcPr>
          <w:p>
            <w:pPr>
              <w:spacing w:after="20"/>
            </w:pPr>
            <w:r>
              <w:rPr>
                <w:rFonts w:ascii="Aptos" w:hAnsi="Aptos"/>
                <w:sz w:val="15"/>
              </w:rPr>
              <w:t>Clear non-colour cue; retain readable text where possible.</w:t>
            </w:r>
          </w:p>
        </w:tc>
      </w:tr>
    </w:tbl>
    <w:p>
      <w:pPr>
        <w:spacing w:after="20"/>
      </w:pPr>
    </w:p>
    <w:p>
      <w:pPr>
        <w:pStyle w:val="Caption"/>
      </w:pPr>
      <w:r>
        <w:rPr>
          <w:b w:val="0"/>
        </w:rPr>
        <w:t>Acceptance: test applicable WCAG 2.2 AA contrast requirements for text, meaningful graphics, controls and focus indicators. Record the tested pair, theme, size and result. Confirm CMYK conversions with the printer.</w:t>
      </w:r>
    </w:p>
    <w:p>
      <w:pPr>
        <w:pStyle w:val="Heading1"/>
      </w:pPr>
      <w:r>
        <w:t>4. Typography and multilingual readiness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Role</w:t>
            </w:r>
          </w:p>
        </w:tc>
        <w:tc>
          <w:tcPr>
            <w:tcW w:type="dxa" w:w="3360"/>
            <w:shd w:fill="0E3D32"/>
          </w:tcPr>
          <w:p>
            <w:r>
              <w:rPr>
                <w:b/>
                <w:color w:val="FFFFFF"/>
                <w:sz w:val="15"/>
              </w:rPr>
              <w:t>Direction</w:t>
            </w:r>
          </w:p>
        </w:tc>
        <w:tc>
          <w:tcPr>
            <w:tcW w:type="dxa" w:w="3360"/>
            <w:shd w:fill="0E3D32"/>
          </w:tcPr>
          <w:p>
            <w:r>
              <w:rPr>
                <w:b/>
                <w:color w:val="FFFFFF"/>
                <w:sz w:val="15"/>
              </w:rPr>
              <w:t>Rules</w:t>
            </w:r>
          </w:p>
        </w:tc>
      </w:tr>
      <w:tr>
        <w:tc>
          <w:tcPr>
            <w:tcW w:type="dxa" w:w="3360"/>
            <w:vAlign w:val="center"/>
          </w:tcPr>
          <w:p>
            <w:pPr>
              <w:spacing w:after="20"/>
            </w:pPr>
            <w:r>
              <w:rPr>
                <w:rFonts w:ascii="Aptos" w:hAnsi="Aptos"/>
                <w:sz w:val="15"/>
              </w:rPr>
              <w:t>Display / editorial</w:t>
            </w:r>
          </w:p>
        </w:tc>
        <w:tc>
          <w:tcPr>
            <w:tcW w:type="dxa" w:w="3360"/>
            <w:vAlign w:val="center"/>
          </w:tcPr>
          <w:p>
            <w:pPr>
              <w:spacing w:after="20"/>
            </w:pPr>
            <w:r>
              <w:rPr>
                <w:rFonts w:ascii="Aptos" w:hAnsi="Aptos"/>
                <w:sz w:val="15"/>
              </w:rPr>
              <w:t>Serif, Tiempos-like direction only.</w:t>
            </w:r>
          </w:p>
        </w:tc>
        <w:tc>
          <w:tcPr>
            <w:tcW w:type="dxa" w:w="3360"/>
            <w:vAlign w:val="center"/>
          </w:tcPr>
          <w:p>
            <w:pPr>
              <w:spacing w:after="20"/>
            </w:pPr>
            <w:r>
              <w:rPr>
                <w:rFonts w:ascii="Aptos" w:hAnsi="Aptos"/>
                <w:sz w:val="15"/>
              </w:rPr>
              <w:t>Major titles and selected campaign headlines; verify licence and script coverage.</w:t>
            </w:r>
          </w:p>
        </w:tc>
      </w:tr>
      <w:tr>
        <w:tc>
          <w:tcPr>
            <w:tcW w:type="dxa" w:w="3360"/>
            <w:vAlign w:val="center"/>
            <w:shd w:fill="F2F5F3"/>
          </w:tcPr>
          <w:p>
            <w:pPr>
              <w:spacing w:after="20"/>
            </w:pPr>
            <w:r>
              <w:rPr>
                <w:rFonts w:ascii="Aptos" w:hAnsi="Aptos"/>
                <w:sz w:val="15"/>
              </w:rPr>
              <w:t>Product / body</w:t>
            </w:r>
          </w:p>
        </w:tc>
        <w:tc>
          <w:tcPr>
            <w:tcW w:type="dxa" w:w="3360"/>
            <w:vAlign w:val="center"/>
            <w:shd w:fill="F2F5F3"/>
          </w:tcPr>
          <w:p>
            <w:pPr>
              <w:spacing w:after="20"/>
            </w:pPr>
            <w:r>
              <w:rPr>
                <w:rFonts w:ascii="Aptos" w:hAnsi="Aptos"/>
                <w:sz w:val="15"/>
              </w:rPr>
              <w:t>Neutral sans, Inter-like direction only.</w:t>
            </w:r>
          </w:p>
        </w:tc>
        <w:tc>
          <w:tcPr>
            <w:tcW w:type="dxa" w:w="3360"/>
            <w:vAlign w:val="center"/>
            <w:shd w:fill="F2F5F3"/>
          </w:tcPr>
          <w:p>
            <w:pPr>
              <w:spacing w:after="20"/>
            </w:pPr>
            <w:r>
              <w:rPr>
                <w:rFonts w:ascii="Aptos" w:hAnsi="Aptos"/>
                <w:sz w:val="15"/>
              </w:rPr>
              <w:t>UI, body, labels, tables and annotations.</w:t>
            </w:r>
          </w:p>
        </w:tc>
      </w:tr>
      <w:tr>
        <w:tc>
          <w:tcPr>
            <w:tcW w:type="dxa" w:w="3360"/>
            <w:vAlign w:val="center"/>
          </w:tcPr>
          <w:p>
            <w:pPr>
              <w:spacing w:after="20"/>
            </w:pPr>
            <w:r>
              <w:rPr>
                <w:rFonts w:ascii="Aptos" w:hAnsi="Aptos"/>
                <w:sz w:val="15"/>
              </w:rPr>
              <w:t>Numeric / data</w:t>
            </w:r>
          </w:p>
        </w:tc>
        <w:tc>
          <w:tcPr>
            <w:tcW w:type="dxa" w:w="3360"/>
            <w:vAlign w:val="center"/>
          </w:tcPr>
          <w:p>
            <w:pPr>
              <w:spacing w:after="20"/>
            </w:pPr>
            <w:r>
              <w:rPr>
                <w:rFonts w:ascii="Aptos" w:hAnsi="Aptos"/>
                <w:sz w:val="15"/>
              </w:rPr>
              <w:t>Sans with tabular figures.</w:t>
            </w:r>
          </w:p>
        </w:tc>
        <w:tc>
          <w:tcPr>
            <w:tcW w:type="dxa" w:w="3360"/>
            <w:vAlign w:val="center"/>
          </w:tcPr>
          <w:p>
            <w:pPr>
              <w:spacing w:after="20"/>
            </w:pPr>
            <w:r>
              <w:rPr>
                <w:rFonts w:ascii="Aptos" w:hAnsi="Aptos"/>
                <w:sz w:val="15"/>
              </w:rPr>
              <w:t>Prices, returns, ratios, dates and aligned comparisons.</w:t>
            </w:r>
          </w:p>
        </w:tc>
      </w:tr>
      <w:tr>
        <w:tc>
          <w:tcPr>
            <w:tcW w:type="dxa" w:w="3360"/>
            <w:vAlign w:val="center"/>
            <w:shd w:fill="F2F5F3"/>
          </w:tcPr>
          <w:p>
            <w:pPr>
              <w:spacing w:after="20"/>
            </w:pPr>
            <w:r>
              <w:rPr>
                <w:rFonts w:ascii="Aptos" w:hAnsi="Aptos"/>
                <w:sz w:val="15"/>
              </w:rPr>
              <w:t>Micro-labels</w:t>
            </w:r>
          </w:p>
        </w:tc>
        <w:tc>
          <w:tcPr>
            <w:tcW w:type="dxa" w:w="3360"/>
            <w:vAlign w:val="center"/>
            <w:shd w:fill="F2F5F3"/>
          </w:tcPr>
          <w:p>
            <w:pPr>
              <w:spacing w:after="20"/>
            </w:pPr>
            <w:r>
              <w:rPr>
                <w:rFonts w:ascii="Aptos" w:hAnsi="Aptos"/>
                <w:sz w:val="15"/>
              </w:rPr>
              <w:t>Same sans family, restrained tracking.</w:t>
            </w:r>
          </w:p>
        </w:tc>
        <w:tc>
          <w:tcPr>
            <w:tcW w:type="dxa" w:w="3360"/>
            <w:vAlign w:val="center"/>
            <w:shd w:fill="F2F5F3"/>
          </w:tcPr>
          <w:p>
            <w:pPr>
              <w:spacing w:after="20"/>
            </w:pPr>
            <w:r>
              <w:rPr>
                <w:rFonts w:ascii="Aptos" w:hAnsi="Aptos"/>
                <w:sz w:val="15"/>
              </w:rPr>
              <w:t>Short metadata only; avoid uppercase tracking in long translated copy.</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Type token</w:t>
            </w:r>
          </w:p>
        </w:tc>
        <w:tc>
          <w:tcPr>
            <w:tcW w:type="dxa" w:w="3360"/>
            <w:shd w:fill="0E3D32"/>
          </w:tcPr>
          <w:p>
            <w:r>
              <w:rPr>
                <w:b/>
                <w:color w:val="FFFFFF"/>
                <w:sz w:val="15"/>
              </w:rPr>
              <w:t>Starting range</w:t>
            </w:r>
          </w:p>
        </w:tc>
        <w:tc>
          <w:tcPr>
            <w:tcW w:type="dxa" w:w="3360"/>
            <w:shd w:fill="0E3D32"/>
          </w:tcPr>
          <w:p>
            <w:r>
              <w:rPr>
                <w:b/>
                <w:color w:val="FFFFFF"/>
                <w:sz w:val="15"/>
              </w:rPr>
              <w:t>Use</w:t>
            </w:r>
          </w:p>
        </w:tc>
      </w:tr>
      <w:tr>
        <w:tc>
          <w:tcPr>
            <w:tcW w:type="dxa" w:w="3360"/>
            <w:vAlign w:val="center"/>
          </w:tcPr>
          <w:p>
            <w:pPr>
              <w:spacing w:after="20"/>
            </w:pPr>
            <w:r>
              <w:rPr>
                <w:rFonts w:ascii="Aptos" w:hAnsi="Aptos"/>
                <w:sz w:val="15"/>
              </w:rPr>
              <w:t>Display XL</w:t>
            </w:r>
          </w:p>
        </w:tc>
        <w:tc>
          <w:tcPr>
            <w:tcW w:type="dxa" w:w="3360"/>
            <w:vAlign w:val="center"/>
          </w:tcPr>
          <w:p>
            <w:pPr>
              <w:spacing w:after="20"/>
            </w:pPr>
            <w:r>
              <w:rPr>
                <w:rFonts w:ascii="Aptos" w:hAnsi="Aptos"/>
                <w:sz w:val="15"/>
              </w:rPr>
              <w:t>40–56 px responsive</w:t>
            </w:r>
          </w:p>
        </w:tc>
        <w:tc>
          <w:tcPr>
            <w:tcW w:type="dxa" w:w="3360"/>
            <w:vAlign w:val="center"/>
          </w:tcPr>
          <w:p>
            <w:pPr>
              <w:spacing w:after="20"/>
            </w:pPr>
            <w:r>
              <w:rPr>
                <w:rFonts w:ascii="Aptos" w:hAnsi="Aptos"/>
                <w:sz w:val="15"/>
              </w:rPr>
              <w:t>Campaign/landing headline.</w:t>
            </w:r>
          </w:p>
        </w:tc>
      </w:tr>
      <w:tr>
        <w:tc>
          <w:tcPr>
            <w:tcW w:type="dxa" w:w="3360"/>
            <w:vAlign w:val="center"/>
            <w:shd w:fill="F2F5F3"/>
          </w:tcPr>
          <w:p>
            <w:pPr>
              <w:spacing w:after="20"/>
            </w:pPr>
            <w:r>
              <w:rPr>
                <w:rFonts w:ascii="Aptos" w:hAnsi="Aptos"/>
                <w:sz w:val="15"/>
              </w:rPr>
              <w:t>H1</w:t>
            </w:r>
          </w:p>
        </w:tc>
        <w:tc>
          <w:tcPr>
            <w:tcW w:type="dxa" w:w="3360"/>
            <w:vAlign w:val="center"/>
            <w:shd w:fill="F2F5F3"/>
          </w:tcPr>
          <w:p>
            <w:pPr>
              <w:spacing w:after="20"/>
            </w:pPr>
            <w:r>
              <w:rPr>
                <w:rFonts w:ascii="Aptos" w:hAnsi="Aptos"/>
                <w:sz w:val="15"/>
              </w:rPr>
              <w:t>30–40 px</w:t>
            </w:r>
          </w:p>
        </w:tc>
        <w:tc>
          <w:tcPr>
            <w:tcW w:type="dxa" w:w="3360"/>
            <w:vAlign w:val="center"/>
            <w:shd w:fill="F2F5F3"/>
          </w:tcPr>
          <w:p>
            <w:pPr>
              <w:spacing w:after="20"/>
            </w:pPr>
            <w:r>
              <w:rPr>
                <w:rFonts w:ascii="Aptos" w:hAnsi="Aptos"/>
                <w:sz w:val="15"/>
              </w:rPr>
              <w:t>Page/report title.</w:t>
            </w:r>
          </w:p>
        </w:tc>
      </w:tr>
      <w:tr>
        <w:tc>
          <w:tcPr>
            <w:tcW w:type="dxa" w:w="3360"/>
            <w:vAlign w:val="center"/>
          </w:tcPr>
          <w:p>
            <w:pPr>
              <w:spacing w:after="20"/>
            </w:pPr>
            <w:r>
              <w:rPr>
                <w:rFonts w:ascii="Aptos" w:hAnsi="Aptos"/>
                <w:sz w:val="15"/>
              </w:rPr>
              <w:t>H2</w:t>
            </w:r>
          </w:p>
        </w:tc>
        <w:tc>
          <w:tcPr>
            <w:tcW w:type="dxa" w:w="3360"/>
            <w:vAlign w:val="center"/>
          </w:tcPr>
          <w:p>
            <w:pPr>
              <w:spacing w:after="20"/>
            </w:pPr>
            <w:r>
              <w:rPr>
                <w:rFonts w:ascii="Aptos" w:hAnsi="Aptos"/>
                <w:sz w:val="15"/>
              </w:rPr>
              <w:t>22–28 px</w:t>
            </w:r>
          </w:p>
        </w:tc>
        <w:tc>
          <w:tcPr>
            <w:tcW w:type="dxa" w:w="3360"/>
            <w:vAlign w:val="center"/>
          </w:tcPr>
          <w:p>
            <w:pPr>
              <w:spacing w:after="20"/>
            </w:pPr>
            <w:r>
              <w:rPr>
                <w:rFonts w:ascii="Aptos" w:hAnsi="Aptos"/>
                <w:sz w:val="15"/>
              </w:rPr>
              <w:t>Major section.</w:t>
            </w:r>
          </w:p>
        </w:tc>
      </w:tr>
      <w:tr>
        <w:tc>
          <w:tcPr>
            <w:tcW w:type="dxa" w:w="3360"/>
            <w:vAlign w:val="center"/>
            <w:shd w:fill="F2F5F3"/>
          </w:tcPr>
          <w:p>
            <w:pPr>
              <w:spacing w:after="20"/>
            </w:pPr>
            <w:r>
              <w:rPr>
                <w:rFonts w:ascii="Aptos" w:hAnsi="Aptos"/>
                <w:sz w:val="15"/>
              </w:rPr>
              <w:t>H3</w:t>
            </w:r>
          </w:p>
        </w:tc>
        <w:tc>
          <w:tcPr>
            <w:tcW w:type="dxa" w:w="3360"/>
            <w:vAlign w:val="center"/>
            <w:shd w:fill="F2F5F3"/>
          </w:tcPr>
          <w:p>
            <w:pPr>
              <w:spacing w:after="20"/>
            </w:pPr>
            <w:r>
              <w:rPr>
                <w:rFonts w:ascii="Aptos" w:hAnsi="Aptos"/>
                <w:sz w:val="15"/>
              </w:rPr>
              <w:t>17–21 px</w:t>
            </w:r>
          </w:p>
        </w:tc>
        <w:tc>
          <w:tcPr>
            <w:tcW w:type="dxa" w:w="3360"/>
            <w:vAlign w:val="center"/>
            <w:shd w:fill="F2F5F3"/>
          </w:tcPr>
          <w:p>
            <w:pPr>
              <w:spacing w:after="20"/>
            </w:pPr>
            <w:r>
              <w:rPr>
                <w:rFonts w:ascii="Aptos" w:hAnsi="Aptos"/>
                <w:sz w:val="15"/>
              </w:rPr>
              <w:t>Subsection/card title.</w:t>
            </w:r>
          </w:p>
        </w:tc>
      </w:tr>
      <w:tr>
        <w:tc>
          <w:tcPr>
            <w:tcW w:type="dxa" w:w="3360"/>
            <w:vAlign w:val="center"/>
          </w:tcPr>
          <w:p>
            <w:pPr>
              <w:spacing w:after="20"/>
            </w:pPr>
            <w:r>
              <w:rPr>
                <w:rFonts w:ascii="Aptos" w:hAnsi="Aptos"/>
                <w:sz w:val="15"/>
              </w:rPr>
              <w:t>Body</w:t>
            </w:r>
          </w:p>
        </w:tc>
        <w:tc>
          <w:tcPr>
            <w:tcW w:type="dxa" w:w="3360"/>
            <w:vAlign w:val="center"/>
          </w:tcPr>
          <w:p>
            <w:pPr>
              <w:spacing w:after="20"/>
            </w:pPr>
            <w:r>
              <w:rPr>
                <w:rFonts w:ascii="Aptos" w:hAnsi="Aptos"/>
                <w:sz w:val="15"/>
              </w:rPr>
              <w:t>15–18 px web; 10–11 pt report</w:t>
            </w:r>
          </w:p>
        </w:tc>
        <w:tc>
          <w:tcPr>
            <w:tcW w:type="dxa" w:w="3360"/>
            <w:vAlign w:val="center"/>
          </w:tcPr>
          <w:p>
            <w:pPr>
              <w:spacing w:after="20"/>
            </w:pPr>
            <w:r>
              <w:rPr>
                <w:rFonts w:ascii="Aptos" w:hAnsi="Aptos"/>
                <w:sz w:val="15"/>
              </w:rPr>
              <w:t>Sustained reading; validate density.</w:t>
            </w:r>
          </w:p>
        </w:tc>
      </w:tr>
      <w:tr>
        <w:tc>
          <w:tcPr>
            <w:tcW w:type="dxa" w:w="3360"/>
            <w:vAlign w:val="center"/>
            <w:shd w:fill="F2F5F3"/>
          </w:tcPr>
          <w:p>
            <w:pPr>
              <w:spacing w:after="20"/>
            </w:pPr>
            <w:r>
              <w:rPr>
                <w:rFonts w:ascii="Aptos" w:hAnsi="Aptos"/>
                <w:sz w:val="15"/>
              </w:rPr>
              <w:t>Compact body</w:t>
            </w:r>
          </w:p>
        </w:tc>
        <w:tc>
          <w:tcPr>
            <w:tcW w:type="dxa" w:w="3360"/>
            <w:vAlign w:val="center"/>
            <w:shd w:fill="F2F5F3"/>
          </w:tcPr>
          <w:p>
            <w:pPr>
              <w:spacing w:after="20"/>
            </w:pPr>
            <w:r>
              <w:rPr>
                <w:rFonts w:ascii="Aptos" w:hAnsi="Aptos"/>
                <w:sz w:val="15"/>
              </w:rPr>
              <w:t>13–14 px web</w:t>
            </w:r>
          </w:p>
        </w:tc>
        <w:tc>
          <w:tcPr>
            <w:tcW w:type="dxa" w:w="3360"/>
            <w:vAlign w:val="center"/>
            <w:shd w:fill="F2F5F3"/>
          </w:tcPr>
          <w:p>
            <w:pPr>
              <w:spacing w:after="20"/>
            </w:pPr>
            <w:r>
              <w:rPr>
                <w:rFonts w:ascii="Aptos" w:hAnsi="Aptos"/>
                <w:sz w:val="15"/>
              </w:rPr>
              <w:t>Dense tables only after testing.</w:t>
            </w:r>
          </w:p>
        </w:tc>
      </w:tr>
      <w:tr>
        <w:tc>
          <w:tcPr>
            <w:tcW w:type="dxa" w:w="3360"/>
            <w:vAlign w:val="center"/>
          </w:tcPr>
          <w:p>
            <w:pPr>
              <w:spacing w:after="20"/>
            </w:pPr>
            <w:r>
              <w:rPr>
                <w:rFonts w:ascii="Aptos" w:hAnsi="Aptos"/>
                <w:sz w:val="15"/>
              </w:rPr>
              <w:t>Caption / metadata</w:t>
            </w:r>
          </w:p>
        </w:tc>
        <w:tc>
          <w:tcPr>
            <w:tcW w:type="dxa" w:w="3360"/>
            <w:vAlign w:val="center"/>
          </w:tcPr>
          <w:p>
            <w:pPr>
              <w:spacing w:after="20"/>
            </w:pPr>
            <w:r>
              <w:rPr>
                <w:rFonts w:ascii="Aptos" w:hAnsi="Aptos"/>
                <w:sz w:val="15"/>
              </w:rPr>
              <w:t>12–14 px web; 8–9 pt print</w:t>
            </w:r>
          </w:p>
        </w:tc>
        <w:tc>
          <w:tcPr>
            <w:tcW w:type="dxa" w:w="3360"/>
            <w:vAlign w:val="center"/>
          </w:tcPr>
          <w:p>
            <w:pPr>
              <w:spacing w:after="20"/>
            </w:pPr>
            <w:r>
              <w:rPr>
                <w:rFonts w:ascii="Aptos" w:hAnsi="Aptos"/>
                <w:sz w:val="15"/>
              </w:rPr>
              <w:t>Sources/dates must remain legible.</w:t>
            </w:r>
          </w:p>
        </w:tc>
      </w:tr>
    </w:tbl>
    <w:p>
      <w:pPr>
        <w:spacing w:after="20"/>
      </w:pPr>
    </w:p>
    <w:p>
      <w:pPr>
        <w:pStyle w:val="Heading2"/>
      </w:pPr>
      <w:r>
        <w:t>4.1 Multilingual rules</w:t>
      </w:r>
    </w:p>
    <w:p>
      <w:pPr>
        <w:pStyle w:val="ListBullet"/>
        <w:spacing w:after="20"/>
      </w:pPr>
      <w:r>
        <w:t>Choose fonts only after testing all intended scripts, punctuation, currencies, numerals, combining marks and fallback behaviour. One family may not cover every script.</w:t>
      </w:r>
    </w:p>
    <w:p>
      <w:pPr>
        <w:pStyle w:val="ListBullet"/>
        <w:spacing w:after="20"/>
      </w:pPr>
      <w:r>
        <w:t>Use locale-aware date, number, percentage, currency and unit formatting. Preserve source currency and reporting period when financially material.</w:t>
      </w:r>
    </w:p>
    <w:p>
      <w:pPr>
        <w:pStyle w:val="ListBullet"/>
        <w:spacing w:after="20"/>
      </w:pPr>
      <w:r>
        <w:t>Stress-test 30–40% text expansion as a planning scenario, not a universal prediction. Use real translations before locking component widths.</w:t>
      </w:r>
    </w:p>
    <w:p>
      <w:pPr>
        <w:pStyle w:val="ListBullet"/>
        <w:spacing w:after="20"/>
      </w:pPr>
      <w:r>
        <w:t>Keep critical text editable; allow line wraps and component heights to grow. Never auto-shrink translated text until it becomes hard to read.</w:t>
      </w:r>
    </w:p>
    <w:p>
      <w:pPr>
        <w:pStyle w:val="ListBullet"/>
        <w:spacing w:after="20"/>
      </w:pPr>
      <w:r>
        <w:t>Support appropriate direction and bidirectional handling for right-to-left languages in scope. Mirror directional UI only where convention requires it; do not mirror the logo by default.</w:t>
      </w:r>
    </w:p>
    <w:p>
      <w:pPr>
        <w:pStyle w:val="ListBullet"/>
        <w:spacing w:after="20"/>
      </w:pPr>
      <w:r>
        <w:t>Review language-specific line height, punctuation, quotes, hyphenation and line breaks with a qualified language reviewer. Localise idioms, examples and financial terminology rather than translating mechanically.</w:t>
      </w:r>
    </w:p>
    <w:p>
      <w:pPr>
        <w:pStyle w:val="ListBullet"/>
        <w:spacing w:after="20"/>
      </w:pPr>
      <w:r>
        <w:t>For multilingual video, provide separate subtitle/caption files and, when required, voice tracks and title cards. Do not cram multiple languages onto one frame.</w:t>
      </w:r>
    </w:p>
    <w:p>
      <w:pPr>
        <w:pStyle w:val="Heading1"/>
      </w:pPr>
      <w:r>
        <w:t>5. Layout and responsive behaviour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Element</w:t>
            </w:r>
          </w:p>
        </w:tc>
        <w:tc>
          <w:tcPr>
            <w:tcW w:type="dxa" w:w="3360"/>
            <w:shd w:fill="0E3D32"/>
          </w:tcPr>
          <w:p>
            <w:r>
              <w:rPr>
                <w:b/>
                <w:color w:val="FFFFFF"/>
                <w:sz w:val="15"/>
              </w:rPr>
              <w:t>Starting hypothesis</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Spacing</w:t>
            </w:r>
          </w:p>
        </w:tc>
        <w:tc>
          <w:tcPr>
            <w:tcW w:type="dxa" w:w="3360"/>
            <w:vAlign w:val="center"/>
          </w:tcPr>
          <w:p>
            <w:pPr>
              <w:spacing w:after="20"/>
            </w:pPr>
            <w:r>
              <w:rPr>
                <w:rFonts w:ascii="Aptos" w:hAnsi="Aptos"/>
                <w:sz w:val="15"/>
              </w:rPr>
              <w:t>4 px scale.</w:t>
            </w:r>
          </w:p>
        </w:tc>
        <w:tc>
          <w:tcPr>
            <w:tcW w:type="dxa" w:w="3360"/>
            <w:vAlign w:val="center"/>
          </w:tcPr>
          <w:p>
            <w:pPr>
              <w:spacing w:after="20"/>
            </w:pPr>
            <w:r>
              <w:rPr>
                <w:rFonts w:ascii="Aptos" w:hAnsi="Aptos"/>
                <w:sz w:val="15"/>
              </w:rPr>
              <w:t>Use semantic tokens, not arbitrary one-off values.</w:t>
            </w:r>
          </w:p>
        </w:tc>
      </w:tr>
      <w:tr>
        <w:tc>
          <w:tcPr>
            <w:tcW w:type="dxa" w:w="3360"/>
            <w:vAlign w:val="center"/>
            <w:shd w:fill="F2F5F3"/>
          </w:tcPr>
          <w:p>
            <w:pPr>
              <w:spacing w:after="20"/>
            </w:pPr>
            <w:r>
              <w:rPr>
                <w:rFonts w:ascii="Aptos" w:hAnsi="Aptos"/>
                <w:sz w:val="15"/>
              </w:rPr>
              <w:t>Desktop grid</w:t>
            </w:r>
          </w:p>
        </w:tc>
        <w:tc>
          <w:tcPr>
            <w:tcW w:type="dxa" w:w="3360"/>
            <w:vAlign w:val="center"/>
            <w:shd w:fill="F2F5F3"/>
          </w:tcPr>
          <w:p>
            <w:pPr>
              <w:spacing w:after="20"/>
            </w:pPr>
            <w:r>
              <w:rPr>
                <w:rFonts w:ascii="Aptos" w:hAnsi="Aptos"/>
                <w:sz w:val="15"/>
              </w:rPr>
              <w:t>12 columns.</w:t>
            </w:r>
          </w:p>
        </w:tc>
        <w:tc>
          <w:tcPr>
            <w:tcW w:type="dxa" w:w="3360"/>
            <w:vAlign w:val="center"/>
            <w:shd w:fill="F2F5F3"/>
          </w:tcPr>
          <w:p>
            <w:pPr>
              <w:spacing w:after="20"/>
            </w:pPr>
            <w:r>
              <w:rPr>
                <w:rFonts w:ascii="Aptos" w:hAnsi="Aptos"/>
                <w:sz w:val="15"/>
              </w:rPr>
              <w:t>Record max width, gutters and breakpoints in tokens.</w:t>
            </w:r>
          </w:p>
        </w:tc>
      </w:tr>
      <w:tr>
        <w:tc>
          <w:tcPr>
            <w:tcW w:type="dxa" w:w="3360"/>
            <w:vAlign w:val="center"/>
          </w:tcPr>
          <w:p>
            <w:pPr>
              <w:spacing w:after="20"/>
            </w:pPr>
            <w:r>
              <w:rPr>
                <w:rFonts w:ascii="Aptos" w:hAnsi="Aptos"/>
                <w:sz w:val="15"/>
              </w:rPr>
              <w:t>Mobile grid</w:t>
            </w:r>
          </w:p>
        </w:tc>
        <w:tc>
          <w:tcPr>
            <w:tcW w:type="dxa" w:w="3360"/>
            <w:vAlign w:val="center"/>
          </w:tcPr>
          <w:p>
            <w:pPr>
              <w:spacing w:after="20"/>
            </w:pPr>
            <w:r>
              <w:rPr>
                <w:rFonts w:ascii="Aptos" w:hAnsi="Aptos"/>
                <w:sz w:val="15"/>
              </w:rPr>
              <w:t>4 columns.</w:t>
            </w:r>
          </w:p>
        </w:tc>
        <w:tc>
          <w:tcPr>
            <w:tcW w:type="dxa" w:w="3360"/>
            <w:vAlign w:val="center"/>
          </w:tcPr>
          <w:p>
            <w:pPr>
              <w:spacing w:after="20"/>
            </w:pPr>
            <w:r>
              <w:rPr>
                <w:rFonts w:ascii="Aptos" w:hAnsi="Aptos"/>
                <w:sz w:val="15"/>
              </w:rPr>
              <w:t>Let research content reflow; do not compress desktop tables indiscriminately.</w:t>
            </w:r>
          </w:p>
        </w:tc>
      </w:tr>
      <w:tr>
        <w:tc>
          <w:tcPr>
            <w:tcW w:type="dxa" w:w="3360"/>
            <w:vAlign w:val="center"/>
            <w:shd w:fill="F2F5F3"/>
          </w:tcPr>
          <w:p>
            <w:pPr>
              <w:spacing w:after="20"/>
            </w:pPr>
            <w:r>
              <w:rPr>
                <w:rFonts w:ascii="Aptos" w:hAnsi="Aptos"/>
                <w:sz w:val="15"/>
              </w:rPr>
              <w:t>Line length</w:t>
            </w:r>
          </w:p>
        </w:tc>
        <w:tc>
          <w:tcPr>
            <w:tcW w:type="dxa" w:w="3360"/>
            <w:vAlign w:val="center"/>
            <w:shd w:fill="F2F5F3"/>
          </w:tcPr>
          <w:p>
            <w:pPr>
              <w:spacing w:after="20"/>
            </w:pPr>
            <w:r>
              <w:rPr>
                <w:rFonts w:ascii="Aptos" w:hAnsi="Aptos"/>
                <w:sz w:val="15"/>
              </w:rPr>
              <w:t>About 60–80 characters where practical.</w:t>
            </w:r>
          </w:p>
        </w:tc>
        <w:tc>
          <w:tcPr>
            <w:tcW w:type="dxa" w:w="3360"/>
            <w:vAlign w:val="center"/>
            <w:shd w:fill="F2F5F3"/>
          </w:tcPr>
          <w:p>
            <w:pPr>
              <w:spacing w:after="20"/>
            </w:pPr>
            <w:r>
              <w:rPr>
                <w:rFonts w:ascii="Aptos" w:hAnsi="Aptos"/>
                <w:sz w:val="15"/>
              </w:rPr>
              <w:t>Prioritise reading; data tables may be wider.</w:t>
            </w:r>
          </w:p>
        </w:tc>
      </w:tr>
      <w:tr>
        <w:tc>
          <w:tcPr>
            <w:tcW w:type="dxa" w:w="3360"/>
            <w:vAlign w:val="center"/>
          </w:tcPr>
          <w:p>
            <w:pPr>
              <w:spacing w:after="20"/>
            </w:pPr>
            <w:r>
              <w:rPr>
                <w:rFonts w:ascii="Aptos" w:hAnsi="Aptos"/>
                <w:sz w:val="15"/>
              </w:rPr>
              <w:t>Touch target</w:t>
            </w:r>
          </w:p>
        </w:tc>
        <w:tc>
          <w:tcPr>
            <w:tcW w:type="dxa" w:w="3360"/>
            <w:vAlign w:val="center"/>
          </w:tcPr>
          <w:p>
            <w:pPr>
              <w:spacing w:after="20"/>
            </w:pPr>
            <w:r>
              <w:rPr>
                <w:rFonts w:ascii="Aptos" w:hAnsi="Aptos"/>
                <w:sz w:val="15"/>
              </w:rPr>
              <w:t>Aim for 44 × 44 px where feasible.</w:t>
            </w:r>
          </w:p>
        </w:tc>
        <w:tc>
          <w:tcPr>
            <w:tcW w:type="dxa" w:w="3360"/>
            <w:vAlign w:val="center"/>
          </w:tcPr>
          <w:p>
            <w:pPr>
              <w:spacing w:after="20"/>
            </w:pPr>
            <w:r>
              <w:rPr>
                <w:rFonts w:ascii="Aptos" w:hAnsi="Aptos"/>
                <w:sz w:val="15"/>
              </w:rPr>
              <w:t>Separate hit area from 20–24 px artwork.</w:t>
            </w:r>
          </w:p>
        </w:tc>
      </w:tr>
      <w:tr>
        <w:tc>
          <w:tcPr>
            <w:tcW w:type="dxa" w:w="3360"/>
            <w:vAlign w:val="center"/>
            <w:shd w:fill="F2F5F3"/>
          </w:tcPr>
          <w:p>
            <w:pPr>
              <w:spacing w:after="20"/>
            </w:pPr>
            <w:r>
              <w:rPr>
                <w:rFonts w:ascii="Aptos" w:hAnsi="Aptos"/>
                <w:sz w:val="15"/>
              </w:rPr>
              <w:t>Radii</w:t>
            </w:r>
          </w:p>
        </w:tc>
        <w:tc>
          <w:tcPr>
            <w:tcW w:type="dxa" w:w="3360"/>
            <w:vAlign w:val="center"/>
            <w:shd w:fill="F2F5F3"/>
          </w:tcPr>
          <w:p>
            <w:pPr>
              <w:spacing w:after="20"/>
            </w:pPr>
            <w:r>
              <w:rPr>
                <w:rFonts w:ascii="Aptos" w:hAnsi="Aptos"/>
                <w:sz w:val="15"/>
              </w:rPr>
              <w:t>Small restrained family.</w:t>
            </w:r>
          </w:p>
        </w:tc>
        <w:tc>
          <w:tcPr>
            <w:tcW w:type="dxa" w:w="3360"/>
            <w:vAlign w:val="center"/>
            <w:shd w:fill="F2F5F3"/>
          </w:tcPr>
          <w:p>
            <w:pPr>
              <w:spacing w:after="20"/>
            </w:pPr>
            <w:r>
              <w:rPr>
                <w:rFonts w:ascii="Aptos" w:hAnsi="Aptos"/>
                <w:sz w:val="15"/>
              </w:rPr>
              <w:t>Provisional until tested; do not round every element equally.</w:t>
            </w:r>
          </w:p>
        </w:tc>
      </w:tr>
    </w:tbl>
    <w:p>
      <w:pPr>
        <w:spacing w:after="20"/>
      </w:pPr>
    </w:p>
    <w:p>
      <w:pPr>
        <w:pStyle w:val="ListBullet"/>
        <w:spacing w:after="20"/>
      </w:pPr>
      <w:r>
        <w:t>Align headings, body, charts, source notes and cards to a shared grid.</w:t>
      </w:r>
    </w:p>
    <w:p>
      <w:pPr>
        <w:pStyle w:val="ListBullet"/>
        <w:spacing w:after="20"/>
      </w:pPr>
      <w:r>
        <w:t>Use whitespace before adding boxes. Keep source notes close to the claim/chart they qualify.</w:t>
      </w:r>
    </w:p>
    <w:p>
      <w:pPr>
        <w:pStyle w:val="ListBullet"/>
        <w:spacing w:after="20"/>
      </w:pPr>
      <w:r>
        <w:t>At narrow widths, reorder only if the reading logic remains correct; never detach units, legends or caveats from charts.</w:t>
      </w:r>
    </w:p>
    <w:p>
      <w:pPr>
        <w:pStyle w:val="ListBullet"/>
        <w:spacing w:after="20"/>
      </w:pPr>
      <w:r>
        <w:t>Test 200% zoom and larger text without clipping critical information.</w:t>
      </w:r>
    </w:p>
    <w:p>
      <w:pPr>
        <w:pStyle w:val="Heading1"/>
      </w:pPr>
      <w:r>
        <w:t>6. Graphic language, imagery and texture</w:t>
      </w:r>
    </w:p>
    <w:p>
      <w:pPr>
        <w:pStyle w:val="ListBullet"/>
        <w:spacing w:after="20"/>
      </w:pPr>
      <w:r>
        <w:t>Use layered portal forms, perspective crops, rules and framed reveals to express looking through to context. The portal is a signature device, not a mandatory background.</w:t>
      </w:r>
    </w:p>
    <w:p>
      <w:pPr>
        <w:pStyle w:val="ListBullet"/>
        <w:spacing w:after="20"/>
      </w:pPr>
      <w:r>
        <w:t>Use portal art for campaign heroes, report covers, section openers and selected video transitions; keep dense UI and report interiors flat.</w:t>
      </w:r>
    </w:p>
    <w:p>
      <w:pPr>
        <w:pStyle w:val="ListBullet"/>
        <w:spacing w:after="20"/>
      </w:pPr>
      <w:r>
        <w:t>One dominant perspective gesture per composition. Do not stack portal, gradient, texture, chart and photography without a clear hierarchy.</w:t>
      </w:r>
    </w:p>
    <w:p>
      <w:pPr>
        <w:pStyle w:val="ListBullet"/>
        <w:spacing w:after="20"/>
      </w:pPr>
      <w:r>
        <w:t>Prefer depth, natural texture and a clear focal point where mood supports the message. Grade toward deep greens, warm neutrals and restrained cool shadows while preserving believable skin tones.</w:t>
      </w:r>
    </w:p>
    <w:p>
      <w:pPr>
        <w:pStyle w:val="ListBullet"/>
        <w:spacing w:after="20"/>
      </w:pPr>
      <w:r>
        <w:t>Do not green-wash every image or use generic skyscrapers/market screens as a substitute for explanation. Research visuals must not imply a false location, event, company or investment context.</w:t>
      </w:r>
    </w:p>
    <w:p>
      <w:pPr>
        <w:pStyle w:val="ListBullet"/>
        <w:spacing w:after="20"/>
      </w:pPr>
      <w:r>
        <w:t>Track source, licence, release, usage scope and expiry for imagery. Factual accuracy outranks mood.</w:t>
      </w:r>
    </w:p>
    <w:p>
      <w:pPr>
        <w:pStyle w:val="Heading1"/>
      </w:pPr>
      <w:r>
        <w:t>7. Iconography and illustration</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Rule</w:t>
            </w:r>
          </w:p>
        </w:tc>
        <w:tc>
          <w:tcPr>
            <w:tcW w:type="dxa" w:w="5040"/>
            <w:shd w:fill="0E3D32"/>
          </w:tcPr>
          <w:p>
            <w:r>
              <w:rPr>
                <w:b/>
                <w:color w:val="FFFFFF"/>
                <w:sz w:val="15"/>
              </w:rPr>
              <w:t>Working standard</w:t>
            </w:r>
          </w:p>
        </w:tc>
      </w:tr>
      <w:tr>
        <w:tc>
          <w:tcPr>
            <w:tcW w:type="dxa" w:w="5040"/>
            <w:vAlign w:val="center"/>
          </w:tcPr>
          <w:p>
            <w:pPr>
              <w:spacing w:after="20"/>
            </w:pPr>
            <w:r>
              <w:rPr>
                <w:rFonts w:ascii="Aptos" w:hAnsi="Aptos"/>
                <w:sz w:val="15"/>
              </w:rPr>
              <w:t>Grid</w:t>
            </w:r>
          </w:p>
        </w:tc>
        <w:tc>
          <w:tcPr>
            <w:tcW w:type="dxa" w:w="5040"/>
            <w:vAlign w:val="center"/>
          </w:tcPr>
          <w:p>
            <w:pPr>
              <w:spacing w:after="20"/>
            </w:pPr>
            <w:r>
              <w:rPr>
                <w:rFonts w:ascii="Aptos" w:hAnsi="Aptos"/>
                <w:sz w:val="15"/>
              </w:rPr>
              <w:t>24 × 24 px starting grid; optical adjustments at 16/20 px.</w:t>
            </w:r>
          </w:p>
        </w:tc>
      </w:tr>
      <w:tr>
        <w:tc>
          <w:tcPr>
            <w:tcW w:type="dxa" w:w="5040"/>
            <w:vAlign w:val="center"/>
            <w:shd w:fill="F2F5F3"/>
          </w:tcPr>
          <w:p>
            <w:pPr>
              <w:spacing w:after="20"/>
            </w:pPr>
            <w:r>
              <w:rPr>
                <w:rFonts w:ascii="Aptos" w:hAnsi="Aptos"/>
                <w:sz w:val="15"/>
              </w:rPr>
              <w:t>Stroke</w:t>
            </w:r>
          </w:p>
        </w:tc>
        <w:tc>
          <w:tcPr>
            <w:tcW w:type="dxa" w:w="5040"/>
            <w:vAlign w:val="center"/>
            <w:shd w:fill="F2F5F3"/>
          </w:tcPr>
          <w:p>
            <w:pPr>
              <w:spacing w:after="20"/>
            </w:pPr>
            <w:r>
              <w:rPr>
                <w:rFonts w:ascii="Aptos" w:hAnsi="Aptos"/>
                <w:sz w:val="15"/>
              </w:rPr>
              <w:t>1.75–2 px at 24 px as a starting hypothesis; test at real size.</w:t>
            </w:r>
          </w:p>
        </w:tc>
      </w:tr>
      <w:tr>
        <w:tc>
          <w:tcPr>
            <w:tcW w:type="dxa" w:w="5040"/>
            <w:vAlign w:val="center"/>
          </w:tcPr>
          <w:p>
            <w:pPr>
              <w:spacing w:after="20"/>
            </w:pPr>
            <w:r>
              <w:rPr>
                <w:rFonts w:ascii="Aptos" w:hAnsi="Aptos"/>
                <w:sz w:val="15"/>
              </w:rPr>
              <w:t>Geometry</w:t>
            </w:r>
          </w:p>
        </w:tc>
        <w:tc>
          <w:tcPr>
            <w:tcW w:type="dxa" w:w="5040"/>
            <w:vAlign w:val="center"/>
          </w:tcPr>
          <w:p>
            <w:pPr>
              <w:spacing w:after="20"/>
            </w:pPr>
            <w:r>
              <w:rPr>
                <w:rFonts w:ascii="Aptos" w:hAnsi="Aptos"/>
                <w:sz w:val="15"/>
              </w:rPr>
              <w:t>Consistent joins, corner language and optical weight.</w:t>
            </w:r>
          </w:p>
        </w:tc>
      </w:tr>
      <w:tr>
        <w:tc>
          <w:tcPr>
            <w:tcW w:type="dxa" w:w="5040"/>
            <w:vAlign w:val="center"/>
            <w:shd w:fill="F2F5F3"/>
          </w:tcPr>
          <w:p>
            <w:pPr>
              <w:spacing w:after="20"/>
            </w:pPr>
            <w:r>
              <w:rPr>
                <w:rFonts w:ascii="Aptos" w:hAnsi="Aptos"/>
                <w:sz w:val="15"/>
              </w:rPr>
              <w:t>Metaphors</w:t>
            </w:r>
          </w:p>
        </w:tc>
        <w:tc>
          <w:tcPr>
            <w:tcW w:type="dxa" w:w="5040"/>
            <w:vAlign w:val="center"/>
            <w:shd w:fill="F2F5F3"/>
          </w:tcPr>
          <w:p>
            <w:pPr>
              <w:spacing w:after="20"/>
            </w:pPr>
            <w:r>
              <w:rPr>
                <w:rFonts w:ascii="Aptos" w:hAnsi="Aptos"/>
                <w:sz w:val="15"/>
              </w:rPr>
              <w:t>Familiar, unambiguous; do not force portal motif into every icon.</w:t>
            </w:r>
          </w:p>
        </w:tc>
      </w:tr>
      <w:tr>
        <w:tc>
          <w:tcPr>
            <w:tcW w:type="dxa" w:w="5040"/>
            <w:vAlign w:val="center"/>
          </w:tcPr>
          <w:p>
            <w:pPr>
              <w:spacing w:after="20"/>
            </w:pPr>
            <w:r>
              <w:rPr>
                <w:rFonts w:ascii="Aptos" w:hAnsi="Aptos"/>
                <w:sz w:val="15"/>
              </w:rPr>
              <w:t>Custom icons</w:t>
            </w:r>
          </w:p>
        </w:tc>
        <w:tc>
          <w:tcPr>
            <w:tcW w:type="dxa" w:w="5040"/>
            <w:vAlign w:val="center"/>
          </w:tcPr>
          <w:p>
            <w:pPr>
              <w:spacing w:after="20"/>
            </w:pPr>
            <w:r>
              <w:rPr>
                <w:rFonts w:ascii="Aptos" w:hAnsi="Aptos"/>
                <w:sz w:val="15"/>
              </w:rPr>
              <w:t>Only when standard icons cannot express a meaningful concept; document meaning.</w:t>
            </w:r>
          </w:p>
        </w:tc>
      </w:tr>
      <w:tr>
        <w:tc>
          <w:tcPr>
            <w:tcW w:type="dxa" w:w="5040"/>
            <w:vAlign w:val="center"/>
            <w:shd w:fill="F2F5F3"/>
          </w:tcPr>
          <w:p>
            <w:pPr>
              <w:spacing w:after="20"/>
            </w:pPr>
            <w:r>
              <w:rPr>
                <w:rFonts w:ascii="Aptos" w:hAnsi="Aptos"/>
                <w:sz w:val="15"/>
              </w:rPr>
              <w:t>Accessibility</w:t>
            </w:r>
          </w:p>
        </w:tc>
        <w:tc>
          <w:tcPr>
            <w:tcW w:type="dxa" w:w="5040"/>
            <w:vAlign w:val="center"/>
            <w:shd w:fill="F2F5F3"/>
          </w:tcPr>
          <w:p>
            <w:pPr>
              <w:spacing w:after="20"/>
            </w:pPr>
            <w:r>
              <w:rPr>
                <w:rFonts w:ascii="Aptos" w:hAnsi="Aptos"/>
                <w:sz w:val="15"/>
              </w:rPr>
              <w:t>Icon-only controls need accessible names, visible focus and adequate hit areas; status icons need text/another cue.</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Function</w:t>
            </w:r>
          </w:p>
        </w:tc>
        <w:tc>
          <w:tcPr>
            <w:tcW w:type="dxa" w:w="3360"/>
            <w:shd w:fill="0E3D32"/>
          </w:tcPr>
          <w:p>
            <w:r>
              <w:rPr>
                <w:b/>
                <w:color w:val="FFFFFF"/>
                <w:sz w:val="15"/>
              </w:rPr>
              <w:t>Metaphor</w:t>
            </w:r>
          </w:p>
        </w:tc>
        <w:tc>
          <w:tcPr>
            <w:tcW w:type="dxa" w:w="3360"/>
            <w:shd w:fill="0E3D32"/>
          </w:tcPr>
          <w:p>
            <w:r>
              <w:rPr>
                <w:b/>
                <w:color w:val="FFFFFF"/>
                <w:sz w:val="15"/>
              </w:rPr>
              <w:t>Caution</w:t>
            </w:r>
          </w:p>
        </w:tc>
      </w:tr>
      <w:tr>
        <w:tc>
          <w:tcPr>
            <w:tcW w:type="dxa" w:w="3360"/>
            <w:vAlign w:val="center"/>
          </w:tcPr>
          <w:p>
            <w:pPr>
              <w:spacing w:after="20"/>
            </w:pPr>
            <w:r>
              <w:rPr>
                <w:rFonts w:ascii="Aptos" w:hAnsi="Aptos"/>
                <w:sz w:val="15"/>
              </w:rPr>
              <w:t>Research dossier</w:t>
            </w:r>
          </w:p>
        </w:tc>
        <w:tc>
          <w:tcPr>
            <w:tcW w:type="dxa" w:w="3360"/>
            <w:vAlign w:val="center"/>
          </w:tcPr>
          <w:p>
            <w:pPr>
              <w:spacing w:after="20"/>
            </w:pPr>
            <w:r>
              <w:rPr>
                <w:rFonts w:ascii="Aptos" w:hAnsi="Aptos"/>
                <w:sz w:val="15"/>
              </w:rPr>
              <w:t>Document + search.</w:t>
            </w:r>
          </w:p>
        </w:tc>
        <w:tc>
          <w:tcPr>
            <w:tcW w:type="dxa" w:w="3360"/>
            <w:vAlign w:val="center"/>
          </w:tcPr>
          <w:p>
            <w:pPr>
              <w:spacing w:after="20"/>
            </w:pPr>
            <w:r>
              <w:rPr>
                <w:rFonts w:ascii="Aptos" w:hAnsi="Aptos"/>
                <w:sz w:val="15"/>
              </w:rPr>
              <w:t>Not a generic download.</w:t>
            </w:r>
          </w:p>
        </w:tc>
      </w:tr>
      <w:tr>
        <w:tc>
          <w:tcPr>
            <w:tcW w:type="dxa" w:w="3360"/>
            <w:vAlign w:val="center"/>
            <w:shd w:fill="F2F5F3"/>
          </w:tcPr>
          <w:p>
            <w:pPr>
              <w:spacing w:after="20"/>
            </w:pPr>
            <w:r>
              <w:rPr>
                <w:rFonts w:ascii="Aptos" w:hAnsi="Aptos"/>
                <w:sz w:val="15"/>
              </w:rPr>
              <w:t>Markets</w:t>
            </w:r>
          </w:p>
        </w:tc>
        <w:tc>
          <w:tcPr>
            <w:tcW w:type="dxa" w:w="3360"/>
            <w:vAlign w:val="center"/>
            <w:shd w:fill="F2F5F3"/>
          </w:tcPr>
          <w:p>
            <w:pPr>
              <w:spacing w:after="20"/>
            </w:pPr>
            <w:r>
              <w:rPr>
                <w:rFonts w:ascii="Aptos" w:hAnsi="Aptos"/>
                <w:sz w:val="15"/>
              </w:rPr>
              <w:t>Chart/trend.</w:t>
            </w:r>
          </w:p>
        </w:tc>
        <w:tc>
          <w:tcPr>
            <w:tcW w:type="dxa" w:w="3360"/>
            <w:vAlign w:val="center"/>
            <w:shd w:fill="F2F5F3"/>
          </w:tcPr>
          <w:p>
            <w:pPr>
              <w:spacing w:after="20"/>
            </w:pPr>
            <w:r>
              <w:rPr>
                <w:rFonts w:ascii="Aptos" w:hAnsi="Aptos"/>
                <w:sz w:val="15"/>
              </w:rPr>
              <w:t>Label asset class if ambiguous.</w:t>
            </w:r>
          </w:p>
        </w:tc>
      </w:tr>
      <w:tr>
        <w:tc>
          <w:tcPr>
            <w:tcW w:type="dxa" w:w="3360"/>
            <w:vAlign w:val="center"/>
          </w:tcPr>
          <w:p>
            <w:pPr>
              <w:spacing w:after="20"/>
            </w:pPr>
            <w:r>
              <w:rPr>
                <w:rFonts w:ascii="Aptos" w:hAnsi="Aptos"/>
                <w:sz w:val="15"/>
              </w:rPr>
              <w:t>Compare</w:t>
            </w:r>
          </w:p>
        </w:tc>
        <w:tc>
          <w:tcPr>
            <w:tcW w:type="dxa" w:w="3360"/>
            <w:vAlign w:val="center"/>
          </w:tcPr>
          <w:p>
            <w:pPr>
              <w:spacing w:after="20"/>
            </w:pPr>
            <w:r>
              <w:rPr>
                <w:rFonts w:ascii="Aptos" w:hAnsi="Aptos"/>
                <w:sz w:val="15"/>
              </w:rPr>
              <w:t>Side-by-side panels/balance.</w:t>
            </w:r>
          </w:p>
        </w:tc>
        <w:tc>
          <w:tcPr>
            <w:tcW w:type="dxa" w:w="3360"/>
            <w:vAlign w:val="center"/>
          </w:tcPr>
          <w:p>
            <w:pPr>
              <w:spacing w:after="20"/>
            </w:pPr>
            <w:r>
              <w:rPr>
                <w:rFonts w:ascii="Aptos" w:hAnsi="Aptos"/>
                <w:sz w:val="15"/>
              </w:rPr>
              <w:t>Keep semantics consistent.</w:t>
            </w:r>
          </w:p>
        </w:tc>
      </w:tr>
      <w:tr>
        <w:tc>
          <w:tcPr>
            <w:tcW w:type="dxa" w:w="3360"/>
            <w:vAlign w:val="center"/>
            <w:shd w:fill="F2F5F3"/>
          </w:tcPr>
          <w:p>
            <w:pPr>
              <w:spacing w:after="20"/>
            </w:pPr>
            <w:r>
              <w:rPr>
                <w:rFonts w:ascii="Aptos" w:hAnsi="Aptos"/>
                <w:sz w:val="15"/>
              </w:rPr>
              <w:t>Watchlist</w:t>
            </w:r>
          </w:p>
        </w:tc>
        <w:tc>
          <w:tcPr>
            <w:tcW w:type="dxa" w:w="3360"/>
            <w:vAlign w:val="center"/>
            <w:shd w:fill="F2F5F3"/>
          </w:tcPr>
          <w:p>
            <w:pPr>
              <w:spacing w:after="20"/>
            </w:pPr>
            <w:r>
              <w:rPr>
                <w:rFonts w:ascii="Aptos" w:hAnsi="Aptos"/>
                <w:sz w:val="15"/>
              </w:rPr>
              <w:t>Bookmark.</w:t>
            </w:r>
          </w:p>
        </w:tc>
        <w:tc>
          <w:tcPr>
            <w:tcW w:type="dxa" w:w="3360"/>
            <w:vAlign w:val="center"/>
            <w:shd w:fill="F2F5F3"/>
          </w:tcPr>
          <w:p>
            <w:pPr>
              <w:spacing w:after="20"/>
            </w:pPr>
            <w:r>
              <w:rPr>
                <w:rFonts w:ascii="Aptos" w:hAnsi="Aptos"/>
                <w:sz w:val="15"/>
              </w:rPr>
              <w:t>Differentiate from alerts and saved reports.</w:t>
            </w:r>
          </w:p>
        </w:tc>
      </w:tr>
      <w:tr>
        <w:tc>
          <w:tcPr>
            <w:tcW w:type="dxa" w:w="3360"/>
            <w:vAlign w:val="center"/>
          </w:tcPr>
          <w:p>
            <w:pPr>
              <w:spacing w:after="20"/>
            </w:pPr>
            <w:r>
              <w:rPr>
                <w:rFonts w:ascii="Aptos" w:hAnsi="Aptos"/>
                <w:sz w:val="15"/>
              </w:rPr>
              <w:t>Alerts</w:t>
            </w:r>
          </w:p>
        </w:tc>
        <w:tc>
          <w:tcPr>
            <w:tcW w:type="dxa" w:w="3360"/>
            <w:vAlign w:val="center"/>
          </w:tcPr>
          <w:p>
            <w:pPr>
              <w:spacing w:after="20"/>
            </w:pPr>
            <w:r>
              <w:rPr>
                <w:rFonts w:ascii="Aptos" w:hAnsi="Aptos"/>
                <w:sz w:val="15"/>
              </w:rPr>
              <w:t>Bell for notification; trend for thesis monitoring.</w:t>
            </w:r>
          </w:p>
        </w:tc>
        <w:tc>
          <w:tcPr>
            <w:tcW w:type="dxa" w:w="3360"/>
            <w:vAlign w:val="center"/>
          </w:tcPr>
          <w:p>
            <w:pPr>
              <w:spacing w:after="20"/>
            </w:pPr>
            <w:r>
              <w:rPr>
                <w:rFonts w:ascii="Aptos" w:hAnsi="Aptos"/>
                <w:sz w:val="15"/>
              </w:rPr>
              <w:t>Do not conflate routine alerts with thesis drift.</w:t>
            </w:r>
          </w:p>
        </w:tc>
      </w:tr>
      <w:tr>
        <w:tc>
          <w:tcPr>
            <w:tcW w:type="dxa" w:w="3360"/>
            <w:vAlign w:val="center"/>
            <w:shd w:fill="F2F5F3"/>
          </w:tcPr>
          <w:p>
            <w:pPr>
              <w:spacing w:after="20"/>
            </w:pPr>
            <w:r>
              <w:rPr>
                <w:rFonts w:ascii="Aptos" w:hAnsi="Aptos"/>
                <w:sz w:val="15"/>
              </w:rPr>
              <w:t>Risk</w:t>
            </w:r>
          </w:p>
        </w:tc>
        <w:tc>
          <w:tcPr>
            <w:tcW w:type="dxa" w:w="3360"/>
            <w:vAlign w:val="center"/>
            <w:shd w:fill="F2F5F3"/>
          </w:tcPr>
          <w:p>
            <w:pPr>
              <w:spacing w:after="20"/>
            </w:pPr>
            <w:r>
              <w:rPr>
                <w:rFonts w:ascii="Aptos" w:hAnsi="Aptos"/>
                <w:sz w:val="15"/>
              </w:rPr>
              <w:t>Shield/gauge.</w:t>
            </w:r>
          </w:p>
        </w:tc>
        <w:tc>
          <w:tcPr>
            <w:tcW w:type="dxa" w:w="3360"/>
            <w:vAlign w:val="center"/>
            <w:shd w:fill="F2F5F3"/>
          </w:tcPr>
          <w:p>
            <w:pPr>
              <w:spacing w:after="20"/>
            </w:pPr>
            <w:r>
              <w:rPr>
                <w:rFonts w:ascii="Aptos" w:hAnsi="Aptos"/>
                <w:sz w:val="15"/>
              </w:rPr>
              <w:t>Never imply risk can be eliminated.</w:t>
            </w:r>
          </w:p>
        </w:tc>
      </w:tr>
      <w:tr>
        <w:tc>
          <w:tcPr>
            <w:tcW w:type="dxa" w:w="3360"/>
            <w:vAlign w:val="center"/>
          </w:tcPr>
          <w:p>
            <w:pPr>
              <w:spacing w:after="20"/>
            </w:pPr>
            <w:r>
              <w:rPr>
                <w:rFonts w:ascii="Aptos" w:hAnsi="Aptos"/>
                <w:sz w:val="15"/>
              </w:rPr>
              <w:t>Valuation</w:t>
            </w:r>
          </w:p>
        </w:tc>
        <w:tc>
          <w:tcPr>
            <w:tcW w:type="dxa" w:w="3360"/>
            <w:vAlign w:val="center"/>
          </w:tcPr>
          <w:p>
            <w:pPr>
              <w:spacing w:after="20"/>
            </w:pPr>
            <w:r>
              <w:rPr>
                <w:rFonts w:ascii="Aptos" w:hAnsi="Aptos"/>
                <w:sz w:val="15"/>
              </w:rPr>
              <w:t>Calculator/scale.</w:t>
            </w:r>
          </w:p>
        </w:tc>
        <w:tc>
          <w:tcPr>
            <w:tcW w:type="dxa" w:w="3360"/>
            <w:vAlign w:val="center"/>
          </w:tcPr>
          <w:p>
            <w:pPr>
              <w:spacing w:after="20"/>
            </w:pPr>
            <w:r>
              <w:rPr>
                <w:rFonts w:ascii="Aptos" w:hAnsi="Aptos"/>
                <w:sz w:val="15"/>
              </w:rPr>
              <w:t>Do not imply precision beyond assumptions.</w:t>
            </w:r>
          </w:p>
        </w:tc>
      </w:tr>
      <w:tr>
        <w:tc>
          <w:tcPr>
            <w:tcW w:type="dxa" w:w="3360"/>
            <w:vAlign w:val="center"/>
            <w:shd w:fill="F2F5F3"/>
          </w:tcPr>
          <w:p>
            <w:pPr>
              <w:spacing w:after="20"/>
            </w:pPr>
            <w:r>
              <w:rPr>
                <w:rFonts w:ascii="Aptos" w:hAnsi="Aptos"/>
                <w:sz w:val="15"/>
              </w:rPr>
              <w:t>Sources</w:t>
            </w:r>
          </w:p>
        </w:tc>
        <w:tc>
          <w:tcPr>
            <w:tcW w:type="dxa" w:w="3360"/>
            <w:vAlign w:val="center"/>
            <w:shd w:fill="F2F5F3"/>
          </w:tcPr>
          <w:p>
            <w:pPr>
              <w:spacing w:after="20"/>
            </w:pPr>
            <w:r>
              <w:rPr>
                <w:rFonts w:ascii="Aptos" w:hAnsi="Aptos"/>
                <w:sz w:val="15"/>
              </w:rPr>
              <w:t>Document/link/check.</w:t>
            </w:r>
          </w:p>
        </w:tc>
        <w:tc>
          <w:tcPr>
            <w:tcW w:type="dxa" w:w="3360"/>
            <w:vAlign w:val="center"/>
            <w:shd w:fill="F2F5F3"/>
          </w:tcPr>
          <w:p>
            <w:pPr>
              <w:spacing w:after="20"/>
            </w:pPr>
            <w:r>
              <w:rPr>
                <w:rFonts w:ascii="Aptos" w:hAnsi="Aptos"/>
                <w:sz w:val="15"/>
              </w:rPr>
              <w:t>Do not imply verification unless performed.</w:t>
            </w:r>
          </w:p>
        </w:tc>
      </w:tr>
      <w:tr>
        <w:tc>
          <w:tcPr>
            <w:tcW w:type="dxa" w:w="3360"/>
            <w:vAlign w:val="center"/>
          </w:tcPr>
          <w:p>
            <w:pPr>
              <w:spacing w:after="20"/>
            </w:pPr>
            <w:r>
              <w:rPr>
                <w:rFonts w:ascii="Aptos" w:hAnsi="Aptos"/>
                <w:sz w:val="15"/>
              </w:rPr>
              <w:t>Multi-asset</w:t>
            </w:r>
          </w:p>
        </w:tc>
        <w:tc>
          <w:tcPr>
            <w:tcW w:type="dxa" w:w="3360"/>
            <w:vAlign w:val="center"/>
          </w:tcPr>
          <w:p>
            <w:pPr>
              <w:spacing w:after="20"/>
            </w:pPr>
            <w:r>
              <w:rPr>
                <w:rFonts w:ascii="Aptos" w:hAnsi="Aptos"/>
                <w:sz w:val="15"/>
              </w:rPr>
              <w:t>Layered cards.</w:t>
            </w:r>
          </w:p>
        </w:tc>
        <w:tc>
          <w:tcPr>
            <w:tcW w:type="dxa" w:w="3360"/>
            <w:vAlign w:val="center"/>
          </w:tcPr>
          <w:p>
            <w:pPr>
              <w:spacing w:after="20"/>
            </w:pPr>
            <w:r>
              <w:rPr>
                <w:rFonts w:ascii="Aptos" w:hAnsi="Aptos"/>
                <w:sz w:val="15"/>
              </w:rPr>
              <w:t>Reserve brand symbol for identity.</w:t>
            </w:r>
          </w:p>
        </w:tc>
      </w:tr>
    </w:tbl>
    <w:p>
      <w:pPr>
        <w:spacing w:after="20"/>
      </w:pPr>
    </w:p>
    <w:p>
      <w:r>
        <w:rPr>
          <w:b w:val="0"/>
        </w:rPr>
        <w:t>Illustration should clarify a workflow, state or concept. Use restrained geometry and negative space; avoid mascots, financial clichés and abstract art that competes with data.</w:t>
      </w:r>
    </w:p>
    <w:p>
      <w:pPr>
        <w:pStyle w:val="Heading1"/>
      </w:pPr>
      <w:r>
        <w:t>8. Data visualisation and research graphics</w:t>
      </w:r>
    </w:p>
    <w:p>
      <w:pPr>
        <w:pStyle w:val="ListBullet"/>
        <w:spacing w:after="20"/>
      </w:pPr>
      <w:r>
        <w:t>Choose the simplest chart that accurately expresses the relationship. Label axes, units, periods, currency, benchmark and frequency where relevant.</w:t>
      </w:r>
    </w:p>
    <w:p>
      <w:pPr>
        <w:pStyle w:val="ListBullet"/>
        <w:spacing w:after="20"/>
      </w:pPr>
      <w:r>
        <w:t>Show source and as-of date consistently. Label estimated, modelled, forecast and scenario values explicitly.</w:t>
      </w:r>
    </w:p>
    <w:p>
      <w:pPr>
        <w:pStyle w:val="ListBullet"/>
        <w:spacing w:after="20"/>
      </w:pPr>
      <w:r>
        <w:t>Use labels, line styles, markers or annotations in addition to colour. Avoid 3D charts, glow, ornamental grids and misleading truncated axes.</w:t>
      </w:r>
    </w:p>
    <w:p>
      <w:pPr>
        <w:pStyle w:val="ListBullet"/>
        <w:spacing w:after="20"/>
      </w:pPr>
      <w:r>
        <w:t>Do not imply causality from correlation or visual proximity. Insight-led titles must not overstate the evidence.</w:t>
      </w:r>
    </w:p>
    <w:p>
      <w:pPr>
        <w:pStyle w:val="ListBullet"/>
        <w:spacing w:after="20"/>
      </w:pPr>
      <w:r>
        <w:t>Keep assumptions and caveats readable in exported and video versions. Do not animate data into existence without dates/context.</w:t>
      </w:r>
    </w:p>
    <w:p>
      <w:pPr>
        <w:pStyle w:val="ListBullet"/>
        <w:spacing w:after="20"/>
      </w:pPr>
      <w:r>
        <w:t>Label gross/net, pre-tax/post-tax, nominal/real, annualised/cumulative and actual/forecast distinctions. Use comparable periods and denominators.</w:t>
      </w:r>
    </w:p>
    <w:p>
      <w:pPr>
        <w:pStyle w:val="ListBullet"/>
        <w:spacing w:after="20"/>
      </w:pPr>
      <w:r>
        <w:t>Never use lime/green automatically to signal gain or recommendation. Do not hide counterevidence or invalidation conditions through visual hierarchy.</w:t>
      </w:r>
    </w:p>
    <w:p>
      <w:pPr>
        <w:pStyle w:val="Heading2"/>
      </w:pPr>
      <w:r>
        <w:t>8.1 Standard chart anatomy</w:t>
      </w:r>
    </w:p>
    <w:p>
      <w:pPr>
        <w:pStyle w:val="ListNumber"/>
        <w:spacing w:after="20"/>
      </w:pPr>
      <w:r>
        <w:t>Question/insight title, proportionate to evidence.</w:t>
      </w:r>
    </w:p>
    <w:p>
      <w:pPr>
        <w:pStyle w:val="ListNumber"/>
        <w:spacing w:after="20"/>
      </w:pPr>
      <w:r>
        <w:t>Subtitle with period, scope, benchmark or key assumption.</w:t>
      </w:r>
    </w:p>
    <w:p>
      <w:pPr>
        <w:pStyle w:val="ListNumber"/>
        <w:spacing w:after="20"/>
      </w:pPr>
      <w:r>
        <w:t>Plot with clear scales, units and series distinction.</w:t>
      </w:r>
    </w:p>
    <w:p>
      <w:pPr>
        <w:pStyle w:val="ListNumber"/>
        <w:spacing w:after="20"/>
      </w:pPr>
      <w:r>
        <w:t>Annotation explaining the relevant change/comparison.</w:t>
      </w:r>
    </w:p>
    <w:p>
      <w:pPr>
        <w:pStyle w:val="ListNumber"/>
        <w:spacing w:after="20"/>
      </w:pPr>
      <w:r>
        <w:t>Source, as-of date and methodology note.</w:t>
      </w:r>
    </w:p>
    <w:p>
      <w:pPr>
        <w:pStyle w:val="ListNumber"/>
        <w:spacing w:after="20"/>
      </w:pPr>
      <w:r>
        <w:t>Caveat or scenario label where needed.</w:t>
      </w:r>
    </w:p>
    <w:p>
      <w:pPr>
        <w:pStyle w:val="Heading1"/>
      </w:pPr>
      <w:r>
        <w:t>9. Digital product UI: light and dark</w:t>
      </w:r>
    </w:p>
    <w:p>
      <w:pPr>
        <w:pStyle w:val="ListBullet"/>
        <w:spacing w:after="20"/>
      </w:pPr>
      <w:r>
        <w:t>Functional clarity outranks brand decoration. Keep dense tables, source lists and watchlists free of cinematic backgrounds.</w:t>
      </w:r>
    </w:p>
    <w:p>
      <w:pPr>
        <w:pStyle w:val="ListBullet"/>
        <w:spacing w:after="20"/>
      </w:pPr>
      <w:r>
        <w:t>Brand colours do not replace semantic status colours. Define success, caution, error, information, focus, disabled and selected tokens separately.</w:t>
      </w:r>
    </w:p>
    <w:p>
      <w:pPr>
        <w:pStyle w:val="ListBullet"/>
        <w:spacing w:after="20"/>
      </w:pPr>
      <w:r>
        <w:t>Use portal motif sparingly in empty states, onboarding or a simplified loading cue only when it does not delay work.</w:t>
      </w:r>
    </w:p>
    <w:p>
      <w:pPr>
        <w:pStyle w:val="ListBullet"/>
        <w:spacing w:after="20"/>
      </w:pPr>
      <w:r>
        <w:t>Make uncertainty legible in labels and explanation, not vague colour or opacity. Missing/stale data must never silently become zero or an inferred value.</w:t>
      </w:r>
    </w:p>
    <w:p>
      <w:pPr>
        <w:pStyle w:val="ListBullet"/>
        <w:spacing w:after="20"/>
      </w:pPr>
      <w:r>
        <w:t>Every key finding should distinguish observation, interpretation, assumption and recommendation where these differ. Sources and timestamps sit close to claims.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Component</w:t>
            </w:r>
          </w:p>
        </w:tc>
        <w:tc>
          <w:tcPr>
            <w:tcW w:type="dxa" w:w="3360"/>
            <w:shd w:fill="0E3D32"/>
          </w:tcPr>
          <w:p>
            <w:r>
              <w:rPr>
                <w:b/>
                <w:color w:val="FFFFFF"/>
                <w:sz w:val="15"/>
              </w:rPr>
              <w:t>States to design</w:t>
            </w:r>
          </w:p>
        </w:tc>
        <w:tc>
          <w:tcPr>
            <w:tcW w:type="dxa" w:w="3360"/>
            <w:shd w:fill="0E3D32"/>
          </w:tcPr>
          <w:p>
            <w:r>
              <w:rPr>
                <w:b/>
                <w:color w:val="FFFFFF"/>
                <w:sz w:val="15"/>
              </w:rPr>
              <w:t>Acceptance criteria</w:t>
            </w:r>
          </w:p>
        </w:tc>
      </w:tr>
      <w:tr>
        <w:tc>
          <w:tcPr>
            <w:tcW w:type="dxa" w:w="3360"/>
            <w:vAlign w:val="center"/>
          </w:tcPr>
          <w:p>
            <w:pPr>
              <w:spacing w:after="20"/>
            </w:pPr>
            <w:r>
              <w:rPr>
                <w:rFonts w:ascii="Aptos" w:hAnsi="Aptos"/>
                <w:sz w:val="15"/>
              </w:rPr>
              <w:t>Buttons</w:t>
            </w:r>
          </w:p>
        </w:tc>
        <w:tc>
          <w:tcPr>
            <w:tcW w:type="dxa" w:w="3360"/>
            <w:vAlign w:val="center"/>
          </w:tcPr>
          <w:p>
            <w:pPr>
              <w:spacing w:after="20"/>
            </w:pPr>
            <w:r>
              <w:rPr>
                <w:rFonts w:ascii="Aptos" w:hAnsi="Aptos"/>
                <w:sz w:val="15"/>
              </w:rPr>
              <w:t>Default, hover, focus, pressed, disabled, loading.</w:t>
            </w:r>
          </w:p>
        </w:tc>
        <w:tc>
          <w:tcPr>
            <w:tcW w:type="dxa" w:w="3360"/>
            <w:vAlign w:val="center"/>
          </w:tcPr>
          <w:p>
            <w:pPr>
              <w:spacing w:after="20"/>
            </w:pPr>
            <w:r>
              <w:rPr>
                <w:rFonts w:ascii="Aptos" w:hAnsi="Aptos"/>
                <w:sz w:val="15"/>
              </w:rPr>
              <w:t>Clear hierarchy, visible focus, stable geometry.</w:t>
            </w:r>
          </w:p>
        </w:tc>
      </w:tr>
      <w:tr>
        <w:tc>
          <w:tcPr>
            <w:tcW w:type="dxa" w:w="3360"/>
            <w:vAlign w:val="center"/>
            <w:shd w:fill="F2F5F3"/>
          </w:tcPr>
          <w:p>
            <w:pPr>
              <w:spacing w:after="20"/>
            </w:pPr>
            <w:r>
              <w:rPr>
                <w:rFonts w:ascii="Aptos" w:hAnsi="Aptos"/>
                <w:sz w:val="15"/>
              </w:rPr>
              <w:t>Inputs</w:t>
            </w:r>
          </w:p>
        </w:tc>
        <w:tc>
          <w:tcPr>
            <w:tcW w:type="dxa" w:w="3360"/>
            <w:vAlign w:val="center"/>
            <w:shd w:fill="F2F5F3"/>
          </w:tcPr>
          <w:p>
            <w:pPr>
              <w:spacing w:after="20"/>
            </w:pPr>
            <w:r>
              <w:rPr>
                <w:rFonts w:ascii="Aptos" w:hAnsi="Aptos"/>
                <w:sz w:val="15"/>
              </w:rPr>
              <w:t>Empty, filled, focused, error, disabled, read-only.</w:t>
            </w:r>
          </w:p>
        </w:tc>
        <w:tc>
          <w:tcPr>
            <w:tcW w:type="dxa" w:w="3360"/>
            <w:vAlign w:val="center"/>
            <w:shd w:fill="F2F5F3"/>
          </w:tcPr>
          <w:p>
            <w:pPr>
              <w:spacing w:after="20"/>
            </w:pPr>
            <w:r>
              <w:rPr>
                <w:rFonts w:ascii="Aptos" w:hAnsi="Aptos"/>
                <w:sz w:val="15"/>
              </w:rPr>
              <w:t>Persistent label; recoverable error copy.</w:t>
            </w:r>
          </w:p>
        </w:tc>
      </w:tr>
      <w:tr>
        <w:tc>
          <w:tcPr>
            <w:tcW w:type="dxa" w:w="3360"/>
            <w:vAlign w:val="center"/>
          </w:tcPr>
          <w:p>
            <w:pPr>
              <w:spacing w:after="20"/>
            </w:pPr>
            <w:r>
              <w:rPr>
                <w:rFonts w:ascii="Aptos" w:hAnsi="Aptos"/>
                <w:sz w:val="15"/>
              </w:rPr>
              <w:t>Tabs/navigation</w:t>
            </w:r>
          </w:p>
        </w:tc>
        <w:tc>
          <w:tcPr>
            <w:tcW w:type="dxa" w:w="3360"/>
            <w:vAlign w:val="center"/>
          </w:tcPr>
          <w:p>
            <w:pPr>
              <w:spacing w:after="20"/>
            </w:pPr>
            <w:r>
              <w:rPr>
                <w:rFonts w:ascii="Aptos" w:hAnsi="Aptos"/>
                <w:sz w:val="15"/>
              </w:rPr>
              <w:t>Default, selected, focus, disabled.</w:t>
            </w:r>
          </w:p>
        </w:tc>
        <w:tc>
          <w:tcPr>
            <w:tcW w:type="dxa" w:w="3360"/>
            <w:vAlign w:val="center"/>
          </w:tcPr>
          <w:p>
            <w:pPr>
              <w:spacing w:after="20"/>
            </w:pPr>
            <w:r>
              <w:rPr>
                <w:rFonts w:ascii="Aptos" w:hAnsi="Aptos"/>
                <w:sz w:val="15"/>
              </w:rPr>
              <w:t>Selected state not colour-only; keyboard behaviour defined.</w:t>
            </w:r>
          </w:p>
        </w:tc>
      </w:tr>
      <w:tr>
        <w:tc>
          <w:tcPr>
            <w:tcW w:type="dxa" w:w="3360"/>
            <w:vAlign w:val="center"/>
            <w:shd w:fill="F2F5F3"/>
          </w:tcPr>
          <w:p>
            <w:pPr>
              <w:spacing w:after="20"/>
            </w:pPr>
            <w:r>
              <w:rPr>
                <w:rFonts w:ascii="Aptos" w:hAnsi="Aptos"/>
                <w:sz w:val="15"/>
              </w:rPr>
              <w:t>Tables</w:t>
            </w:r>
          </w:p>
        </w:tc>
        <w:tc>
          <w:tcPr>
            <w:tcW w:type="dxa" w:w="3360"/>
            <w:vAlign w:val="center"/>
            <w:shd w:fill="F2F5F3"/>
          </w:tcPr>
          <w:p>
            <w:pPr>
              <w:spacing w:after="20"/>
            </w:pPr>
            <w:r>
              <w:rPr>
                <w:rFonts w:ascii="Aptos" w:hAnsi="Aptos"/>
                <w:sz w:val="15"/>
              </w:rPr>
              <w:t>Sort, filter, selected row, empty, loading, error.</w:t>
            </w:r>
          </w:p>
        </w:tc>
        <w:tc>
          <w:tcPr>
            <w:tcW w:type="dxa" w:w="3360"/>
            <w:vAlign w:val="center"/>
            <w:shd w:fill="F2F5F3"/>
          </w:tcPr>
          <w:p>
            <w:pPr>
              <w:spacing w:after="20"/>
            </w:pPr>
            <w:r>
              <w:rPr>
                <w:rFonts w:ascii="Aptos" w:hAnsi="Aptos"/>
                <w:sz w:val="15"/>
              </w:rPr>
              <w:t>Aligned numbers; headers/units remain attached; responsive plan.</w:t>
            </w:r>
          </w:p>
        </w:tc>
      </w:tr>
      <w:tr>
        <w:tc>
          <w:tcPr>
            <w:tcW w:type="dxa" w:w="3360"/>
            <w:vAlign w:val="center"/>
          </w:tcPr>
          <w:p>
            <w:pPr>
              <w:spacing w:after="20"/>
            </w:pPr>
            <w:r>
              <w:rPr>
                <w:rFonts w:ascii="Aptos" w:hAnsi="Aptos"/>
                <w:sz w:val="15"/>
              </w:rPr>
              <w:t>Charts</w:t>
            </w:r>
          </w:p>
        </w:tc>
        <w:tc>
          <w:tcPr>
            <w:tcW w:type="dxa" w:w="3360"/>
            <w:vAlign w:val="center"/>
          </w:tcPr>
          <w:p>
            <w:pPr>
              <w:spacing w:after="20"/>
            </w:pPr>
            <w:r>
              <w:rPr>
                <w:rFonts w:ascii="Aptos" w:hAnsi="Aptos"/>
                <w:sz w:val="15"/>
              </w:rPr>
              <w:t>Loading, no data, valid, partial, error, stale.</w:t>
            </w:r>
          </w:p>
        </w:tc>
        <w:tc>
          <w:tcPr>
            <w:tcW w:type="dxa" w:w="3360"/>
            <w:vAlign w:val="center"/>
          </w:tcPr>
          <w:p>
            <w:pPr>
              <w:spacing w:after="20"/>
            </w:pPr>
            <w:r>
              <w:rPr>
                <w:rFonts w:ascii="Aptos" w:hAnsi="Aptos"/>
                <w:sz w:val="15"/>
              </w:rPr>
              <w:t>Missing/stale data disclosed, not shown as zero.</w:t>
            </w:r>
          </w:p>
        </w:tc>
      </w:tr>
      <w:tr>
        <w:tc>
          <w:tcPr>
            <w:tcW w:type="dxa" w:w="3360"/>
            <w:vAlign w:val="center"/>
            <w:shd w:fill="F2F5F3"/>
          </w:tcPr>
          <w:p>
            <w:pPr>
              <w:spacing w:after="20"/>
            </w:pPr>
            <w:r>
              <w:rPr>
                <w:rFonts w:ascii="Aptos" w:hAnsi="Aptos"/>
                <w:sz w:val="15"/>
              </w:rPr>
              <w:t>Alerts</w:t>
            </w:r>
          </w:p>
        </w:tc>
        <w:tc>
          <w:tcPr>
            <w:tcW w:type="dxa" w:w="3360"/>
            <w:vAlign w:val="center"/>
            <w:shd w:fill="F2F5F3"/>
          </w:tcPr>
          <w:p>
            <w:pPr>
              <w:spacing w:after="20"/>
            </w:pPr>
            <w:r>
              <w:rPr>
                <w:rFonts w:ascii="Aptos" w:hAnsi="Aptos"/>
                <w:sz w:val="15"/>
              </w:rPr>
              <w:t>Info, caution, adverse, resolved, muted.</w:t>
            </w:r>
          </w:p>
        </w:tc>
        <w:tc>
          <w:tcPr>
            <w:tcW w:type="dxa" w:w="3360"/>
            <w:vAlign w:val="center"/>
            <w:shd w:fill="F2F5F3"/>
          </w:tcPr>
          <w:p>
            <w:pPr>
              <w:spacing w:after="20"/>
            </w:pPr>
            <w:r>
              <w:rPr>
                <w:rFonts w:ascii="Aptos" w:hAnsi="Aptos"/>
                <w:sz w:val="15"/>
              </w:rPr>
              <w:t>State, consequence, evidence and action clear.</w:t>
            </w:r>
          </w:p>
        </w:tc>
      </w:tr>
      <w:tr>
        <w:tc>
          <w:tcPr>
            <w:tcW w:type="dxa" w:w="3360"/>
            <w:vAlign w:val="center"/>
          </w:tcPr>
          <w:p>
            <w:pPr>
              <w:spacing w:after="20"/>
            </w:pPr>
            <w:r>
              <w:rPr>
                <w:rFonts w:ascii="Aptos" w:hAnsi="Aptos"/>
                <w:sz w:val="15"/>
              </w:rPr>
              <w:t>Dialogs/panels</w:t>
            </w:r>
          </w:p>
        </w:tc>
        <w:tc>
          <w:tcPr>
            <w:tcW w:type="dxa" w:w="3360"/>
            <w:vAlign w:val="center"/>
          </w:tcPr>
          <w:p>
            <w:pPr>
              <w:spacing w:after="20"/>
            </w:pPr>
            <w:r>
              <w:rPr>
                <w:rFonts w:ascii="Aptos" w:hAnsi="Aptos"/>
                <w:sz w:val="15"/>
              </w:rPr>
              <w:t>Open, close, focus, validation, escape.</w:t>
            </w:r>
          </w:p>
        </w:tc>
        <w:tc>
          <w:tcPr>
            <w:tcW w:type="dxa" w:w="3360"/>
            <w:vAlign w:val="center"/>
          </w:tcPr>
          <w:p>
            <w:pPr>
              <w:spacing w:after="20"/>
            </w:pPr>
            <w:r>
              <w:rPr>
                <w:rFonts w:ascii="Aptos" w:hAnsi="Aptos"/>
                <w:sz w:val="15"/>
              </w:rPr>
              <w:t>Focus order and return focus defined.</w:t>
            </w:r>
          </w:p>
        </w:tc>
      </w:tr>
    </w:tbl>
    <w:p>
      <w:pPr>
        <w:spacing w:after="20"/>
      </w:pPr>
    </w:p>
    <w:p>
      <w:r>
        <w:rPr>
          <w:b w:val="0"/>
        </w:rPr>
        <w:t>Specify behaviour for wide desktop, standard desktop, tablet, narrow mobile and zoomed layouts. Define table overflow, sticky columns, chart reflow, filter access and navigation collapse. Breakpoints are implementation decisions and belong in the token file.</w:t>
      </w:r>
    </w:p>
    <w:p>
      <w:pPr>
        <w:pStyle w:val="Heading1"/>
      </w:pPr>
      <w:r>
        <w:t>10. Research reports and presentations</w:t>
      </w:r>
    </w:p>
    <w:p>
      <w:r>
        <w:rPr>
          <w:b w:val="0"/>
        </w:rPr>
        <w:t>Cover hierarchy: lockup, report title, asset/sector/topic, publication or as-of date, and author/team where relevant. Optional hero imagery must not overpower the title or imply evidence not present.</w:t>
      </w:r>
    </w:p>
    <w:p>
      <w:pPr>
        <w:pStyle w:val="ListNumber"/>
        <w:spacing w:after="20"/>
      </w:pPr>
      <w:r>
        <w:t>Executive conclusion and key takeaways.</w:t>
      </w:r>
    </w:p>
    <w:p>
      <w:pPr>
        <w:pStyle w:val="ListNumber"/>
        <w:spacing w:after="20"/>
      </w:pPr>
      <w:r>
        <w:t>What changed and why it matters.</w:t>
      </w:r>
    </w:p>
    <w:p>
      <w:pPr>
        <w:pStyle w:val="ListNumber"/>
        <w:spacing w:after="20"/>
      </w:pPr>
      <w:r>
        <w:t>Evidence, methodology and source quality.</w:t>
      </w:r>
    </w:p>
    <w:p>
      <w:pPr>
        <w:pStyle w:val="ListNumber"/>
        <w:spacing w:after="20"/>
      </w:pPr>
      <w:r>
        <w:t>Business, asset or instrument analysis.</w:t>
      </w:r>
    </w:p>
    <w:p>
      <w:pPr>
        <w:pStyle w:val="ListNumber"/>
        <w:spacing w:after="20"/>
      </w:pPr>
      <w:r>
        <w:t>Valuation/scenarios/comparison basis, where relevant.</w:t>
      </w:r>
    </w:p>
    <w:p>
      <w:pPr>
        <w:pStyle w:val="ListNumber"/>
        <w:spacing w:after="20"/>
      </w:pPr>
      <w:r>
        <w:t>Risks, counterarguments and invalidation conditions.</w:t>
      </w:r>
    </w:p>
    <w:p>
      <w:pPr>
        <w:pStyle w:val="ListNumber"/>
        <w:spacing w:after="20"/>
      </w:pPr>
      <w:r>
        <w:t>Assumptions, limitations, source list and as-of date.</w:t>
      </w:r>
    </w:p>
    <w:p>
      <w:pPr>
        <w:pStyle w:val="ListBullet"/>
        <w:spacing w:after="20"/>
      </w:pPr>
      <w:r>
        <w:t>Use editorial headings, restrained rules, consistent source notes and shared chart grammar.</w:t>
      </w:r>
    </w:p>
    <w:p>
      <w:pPr>
        <w:pStyle w:val="ListBullet"/>
        <w:spacing w:after="20"/>
      </w:pPr>
      <w:r>
        <w:t>Keep dimensional mirror imagery on covers or special openers; body pages and tables stay flat.</w:t>
      </w:r>
    </w:p>
    <w:p>
      <w:pPr>
        <w:pStyle w:val="ListBullet"/>
        <w:spacing w:after="20"/>
      </w:pPr>
      <w:r>
        <w:t>Maintain black-and-white versions using labels, patterns and line weights.</w:t>
      </w:r>
    </w:p>
    <w:p>
      <w:pPr>
        <w:pStyle w:val="ListBullet"/>
        <w:spacing w:after="20"/>
      </w:pPr>
      <w:r>
        <w:t>Embed fonts, use vector logos, set bleed/safe areas and confirm CMYK with the printer. Test office print and photocopy.</w:t>
      </w:r>
    </w:p>
    <w:p>
      <w:pPr>
        <w:pStyle w:val="ListBullet"/>
        <w:spacing w:after="20"/>
      </w:pPr>
      <w:r>
        <w:t>One slide should have one dominant point. Do not shrink sources to preserve page count; reflow instead.</w:t>
      </w:r>
    </w:p>
    <w:p>
      <w:pPr>
        <w:pStyle w:val="Heading1"/>
      </w:pPr>
      <w:r>
        <w:t>11. Motion identity</w:t>
      </w:r>
    </w:p>
    <w:p>
      <w:r>
        <w:rPr>
          <w:b w:val="0"/>
        </w:rPr>
        <w:t>Motion enacts the brand idea: the view opens, layers separate, context appears and the conclusion becomes clearer. The drama belongs in the reveal of evidence and relationships, not generic cinematic spectacle.</w:t>
      </w:r>
    </w:p>
    <w:p>
      <w:pPr>
        <w:pStyle w:val="ListBullet"/>
        <w:spacing w:after="20"/>
      </w:pPr>
      <w:r>
        <w:t>Reveal, do not explode: masking, restrained translation, measured parallax or opacity change.</w:t>
      </w:r>
    </w:p>
    <w:p>
      <w:pPr>
        <w:pStyle w:val="ListBullet"/>
        <w:spacing w:after="20"/>
      </w:pPr>
      <w:r>
        <w:t>Depth must remain legible; the arch and mirror may move on separate planes but separation stays subtle.</w:t>
      </w:r>
    </w:p>
    <w:p>
      <w:pPr>
        <w:pStyle w:val="ListBullet"/>
        <w:spacing w:after="20"/>
      </w:pPr>
      <w:r>
        <w:t>Calm is not slow: UI feedback must feel immediate. One dominant motion idea per sequence.</w:t>
      </w:r>
    </w:p>
    <w:p>
      <w:pPr>
        <w:pStyle w:val="ListBullet"/>
        <w:spacing w:after="20"/>
      </w:pPr>
      <w:r>
        <w:t>Use spatial continuity to orient, not to dramatise every state change. Motion should orient, reveal, compare, confirm or transition.</w:t>
      </w:r>
    </w:p>
    <w:p>
      <w:pPr>
        <w:pStyle w:val="ListBullet"/>
        <w:spacing w:after="20"/>
      </w:pPr>
      <w:r>
        <w:t>Respect reduced-motion preferences. Provide static/low-motion alternatives; never make information available only through animation.</w:t>
      </w:r>
    </w:p>
    <w:p>
      <w:pPr>
        <w:pStyle w:val="ListBullet"/>
        <w:spacing w:after="20"/>
      </w:pPr>
      <w:r>
        <w:t>Do not animate forecast values as if actual or use movement to imply stronger evidence than exists.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Motion class</w:t>
            </w:r>
          </w:p>
        </w:tc>
        <w:tc>
          <w:tcPr>
            <w:tcW w:type="dxa" w:w="3360"/>
            <w:shd w:fill="0E3D32"/>
          </w:tcPr>
          <w:p>
            <w:r>
              <w:rPr>
                <w:b/>
                <w:color w:val="FFFFFF"/>
                <w:sz w:val="15"/>
              </w:rPr>
              <w:t>Starting duration</w:t>
            </w:r>
          </w:p>
        </w:tc>
        <w:tc>
          <w:tcPr>
            <w:tcW w:type="dxa" w:w="3360"/>
            <w:shd w:fill="0E3D32"/>
          </w:tcPr>
          <w:p>
            <w:r>
              <w:rPr>
                <w:b/>
                <w:color w:val="FFFFFF"/>
                <w:sz w:val="15"/>
              </w:rPr>
              <w:t>Behaviour</w:t>
            </w:r>
          </w:p>
        </w:tc>
      </w:tr>
      <w:tr>
        <w:tc>
          <w:tcPr>
            <w:tcW w:type="dxa" w:w="3360"/>
            <w:vAlign w:val="center"/>
          </w:tcPr>
          <w:p>
            <w:pPr>
              <w:spacing w:after="20"/>
            </w:pPr>
            <w:r>
              <w:rPr>
                <w:rFonts w:ascii="Aptos" w:hAnsi="Aptos"/>
                <w:sz w:val="15"/>
              </w:rPr>
              <w:t>Micro feedback</w:t>
            </w:r>
          </w:p>
        </w:tc>
        <w:tc>
          <w:tcPr>
            <w:tcW w:type="dxa" w:w="3360"/>
            <w:vAlign w:val="center"/>
          </w:tcPr>
          <w:p>
            <w:pPr>
              <w:spacing w:after="20"/>
            </w:pPr>
            <w:r>
              <w:rPr>
                <w:rFonts w:ascii="Aptos" w:hAnsi="Aptos"/>
                <w:sz w:val="15"/>
              </w:rPr>
              <w:t>100–180 ms</w:t>
            </w:r>
          </w:p>
        </w:tc>
        <w:tc>
          <w:tcPr>
            <w:tcW w:type="dxa" w:w="3360"/>
            <w:vAlign w:val="center"/>
          </w:tcPr>
          <w:p>
            <w:pPr>
              <w:spacing w:after="20"/>
            </w:pPr>
            <w:r>
              <w:rPr>
                <w:rFonts w:ascii="Aptos" w:hAnsi="Aptos"/>
                <w:sz w:val="15"/>
              </w:rPr>
              <w:t>Ease-out, minimal travel.</w:t>
            </w:r>
          </w:p>
        </w:tc>
      </w:tr>
      <w:tr>
        <w:tc>
          <w:tcPr>
            <w:tcW w:type="dxa" w:w="3360"/>
            <w:vAlign w:val="center"/>
            <w:shd w:fill="F2F5F3"/>
          </w:tcPr>
          <w:p>
            <w:pPr>
              <w:spacing w:after="20"/>
            </w:pPr>
            <w:r>
              <w:rPr>
                <w:rFonts w:ascii="Aptos" w:hAnsi="Aptos"/>
                <w:sz w:val="15"/>
              </w:rPr>
              <w:t>UI state</w:t>
            </w:r>
          </w:p>
        </w:tc>
        <w:tc>
          <w:tcPr>
            <w:tcW w:type="dxa" w:w="3360"/>
            <w:vAlign w:val="center"/>
            <w:shd w:fill="F2F5F3"/>
          </w:tcPr>
          <w:p>
            <w:pPr>
              <w:spacing w:after="20"/>
            </w:pPr>
            <w:r>
              <w:rPr>
                <w:rFonts w:ascii="Aptos" w:hAnsi="Aptos"/>
                <w:sz w:val="15"/>
              </w:rPr>
              <w:t>160–240 ms</w:t>
            </w:r>
          </w:p>
        </w:tc>
        <w:tc>
          <w:tcPr>
            <w:tcW w:type="dxa" w:w="3360"/>
            <w:vAlign w:val="center"/>
            <w:shd w:fill="F2F5F3"/>
          </w:tcPr>
          <w:p>
            <w:pPr>
              <w:spacing w:after="20"/>
            </w:pPr>
            <w:r>
              <w:rPr>
                <w:rFonts w:ascii="Aptos" w:hAnsi="Aptos"/>
                <w:sz w:val="15"/>
              </w:rPr>
              <w:t>Ease-out/in-out; responsiveness first.</w:t>
            </w:r>
          </w:p>
        </w:tc>
      </w:tr>
      <w:tr>
        <w:tc>
          <w:tcPr>
            <w:tcW w:type="dxa" w:w="3360"/>
            <w:vAlign w:val="center"/>
          </w:tcPr>
          <w:p>
            <w:pPr>
              <w:spacing w:after="20"/>
            </w:pPr>
            <w:r>
              <w:rPr>
                <w:rFonts w:ascii="Aptos" w:hAnsi="Aptos"/>
                <w:sz w:val="15"/>
              </w:rPr>
              <w:t>Card/panel</w:t>
            </w:r>
          </w:p>
        </w:tc>
        <w:tc>
          <w:tcPr>
            <w:tcW w:type="dxa" w:w="3360"/>
            <w:vAlign w:val="center"/>
          </w:tcPr>
          <w:p>
            <w:pPr>
              <w:spacing w:after="20"/>
            </w:pPr>
            <w:r>
              <w:rPr>
                <w:rFonts w:ascii="Aptos" w:hAnsi="Aptos"/>
                <w:sz w:val="15"/>
              </w:rPr>
              <w:t>220–360 ms</w:t>
            </w:r>
          </w:p>
        </w:tc>
        <w:tc>
          <w:tcPr>
            <w:tcW w:type="dxa" w:w="3360"/>
            <w:vAlign w:val="center"/>
          </w:tcPr>
          <w:p>
            <w:pPr>
              <w:spacing w:after="20"/>
            </w:pPr>
            <w:r>
              <w:rPr>
                <w:rFonts w:ascii="Aptos" w:hAnsi="Aptos"/>
                <w:sz w:val="15"/>
              </w:rPr>
              <w:t>Modest travel, preserve orientation.</w:t>
            </w:r>
          </w:p>
        </w:tc>
      </w:tr>
      <w:tr>
        <w:tc>
          <w:tcPr>
            <w:tcW w:type="dxa" w:w="3360"/>
            <w:vAlign w:val="center"/>
            <w:shd w:fill="F2F5F3"/>
          </w:tcPr>
          <w:p>
            <w:pPr>
              <w:spacing w:after="20"/>
            </w:pPr>
            <w:r>
              <w:rPr>
                <w:rFonts w:ascii="Aptos" w:hAnsi="Aptos"/>
                <w:sz w:val="15"/>
              </w:rPr>
              <w:t>Chart reveal</w:t>
            </w:r>
          </w:p>
        </w:tc>
        <w:tc>
          <w:tcPr>
            <w:tcW w:type="dxa" w:w="3360"/>
            <w:vAlign w:val="center"/>
            <w:shd w:fill="F2F5F3"/>
          </w:tcPr>
          <w:p>
            <w:pPr>
              <w:spacing w:after="20"/>
            </w:pPr>
            <w:r>
              <w:rPr>
                <w:rFonts w:ascii="Aptos" w:hAnsi="Aptos"/>
                <w:sz w:val="15"/>
              </w:rPr>
              <w:t>350–700 ms</w:t>
            </w:r>
          </w:p>
        </w:tc>
        <w:tc>
          <w:tcPr>
            <w:tcW w:type="dxa" w:w="3360"/>
            <w:vAlign w:val="center"/>
            <w:shd w:fill="F2F5F3"/>
          </w:tcPr>
          <w:p>
            <w:pPr>
              <w:spacing w:after="20"/>
            </w:pPr>
            <w:r>
              <w:rPr>
                <w:rFonts w:ascii="Aptos" w:hAnsi="Aptos"/>
                <w:sz w:val="15"/>
              </w:rPr>
              <w:t>Editorial explanation, not every refresh.</w:t>
            </w:r>
          </w:p>
        </w:tc>
      </w:tr>
      <w:tr>
        <w:tc>
          <w:tcPr>
            <w:tcW w:type="dxa" w:w="3360"/>
            <w:vAlign w:val="center"/>
          </w:tcPr>
          <w:p>
            <w:pPr>
              <w:spacing w:after="20"/>
            </w:pPr>
            <w:r>
              <w:rPr>
                <w:rFonts w:ascii="Aptos" w:hAnsi="Aptos"/>
                <w:sz w:val="15"/>
              </w:rPr>
              <w:t>Logo reveal</w:t>
            </w:r>
          </w:p>
        </w:tc>
        <w:tc>
          <w:tcPr>
            <w:tcW w:type="dxa" w:w="3360"/>
            <w:vAlign w:val="center"/>
          </w:tcPr>
          <w:p>
            <w:pPr>
              <w:spacing w:after="20"/>
            </w:pPr>
            <w:r>
              <w:rPr>
                <w:rFonts w:ascii="Aptos" w:hAnsi="Aptos"/>
                <w:sz w:val="15"/>
              </w:rPr>
              <w:t>700–1,200 ms</w:t>
            </w:r>
          </w:p>
        </w:tc>
        <w:tc>
          <w:tcPr>
            <w:tcW w:type="dxa" w:w="3360"/>
            <w:vAlign w:val="center"/>
          </w:tcPr>
          <w:p>
            <w:pPr>
              <w:spacing w:after="20"/>
            </w:pPr>
            <w:r>
              <w:rPr>
                <w:rFonts w:ascii="Aptos" w:hAnsi="Aptos"/>
                <w:sz w:val="15"/>
              </w:rPr>
              <w:t>Brand film/formal opener only.</w:t>
            </w:r>
          </w:p>
        </w:tc>
      </w:tr>
      <w:tr>
        <w:tc>
          <w:tcPr>
            <w:tcW w:type="dxa" w:w="3360"/>
            <w:vAlign w:val="center"/>
            <w:shd w:fill="F2F5F3"/>
          </w:tcPr>
          <w:p>
            <w:pPr>
              <w:spacing w:after="20"/>
            </w:pPr>
            <w:r>
              <w:rPr>
                <w:rFonts w:ascii="Aptos" w:hAnsi="Aptos"/>
                <w:sz w:val="15"/>
              </w:rPr>
              <w:t>Title/end card</w:t>
            </w:r>
          </w:p>
        </w:tc>
        <w:tc>
          <w:tcPr>
            <w:tcW w:type="dxa" w:w="3360"/>
            <w:vAlign w:val="center"/>
            <w:shd w:fill="F2F5F3"/>
          </w:tcPr>
          <w:p>
            <w:pPr>
              <w:spacing w:after="20"/>
            </w:pPr>
            <w:r>
              <w:rPr>
                <w:rFonts w:ascii="Aptos" w:hAnsi="Aptos"/>
                <w:sz w:val="15"/>
              </w:rPr>
              <w:t>600–1,000 ms</w:t>
            </w:r>
          </w:p>
        </w:tc>
        <w:tc>
          <w:tcPr>
            <w:tcW w:type="dxa" w:w="3360"/>
            <w:vAlign w:val="center"/>
            <w:shd w:fill="F2F5F3"/>
          </w:tcPr>
          <w:p>
            <w:pPr>
              <w:spacing w:after="20"/>
            </w:pPr>
            <w:r>
              <w:rPr>
                <w:rFonts w:ascii="Aptos" w:hAnsi="Aptos"/>
                <w:sz w:val="15"/>
              </w:rPr>
              <w:t>Soft settle, no bounce.</w:t>
            </w:r>
          </w:p>
        </w:tc>
      </w:tr>
      <w:tr>
        <w:tc>
          <w:tcPr>
            <w:tcW w:type="dxa" w:w="3360"/>
            <w:vAlign w:val="center"/>
          </w:tcPr>
          <w:p>
            <w:pPr>
              <w:spacing w:after="20"/>
            </w:pPr>
            <w:r>
              <w:rPr>
                <w:rFonts w:ascii="Aptos" w:hAnsi="Aptos"/>
                <w:sz w:val="15"/>
              </w:rPr>
              <w:t>Section transition</w:t>
            </w:r>
          </w:p>
        </w:tc>
        <w:tc>
          <w:tcPr>
            <w:tcW w:type="dxa" w:w="3360"/>
            <w:vAlign w:val="center"/>
          </w:tcPr>
          <w:p>
            <w:pPr>
              <w:spacing w:after="20"/>
            </w:pPr>
            <w:r>
              <w:rPr>
                <w:rFonts w:ascii="Aptos" w:hAnsi="Aptos"/>
                <w:sz w:val="15"/>
              </w:rPr>
              <w:t>300–700 ms</w:t>
            </w:r>
          </w:p>
        </w:tc>
        <w:tc>
          <w:tcPr>
            <w:tcW w:type="dxa" w:w="3360"/>
            <w:vAlign w:val="center"/>
          </w:tcPr>
          <w:p>
            <w:pPr>
              <w:spacing w:after="20"/>
            </w:pPr>
            <w:r>
              <w:rPr>
                <w:rFonts w:ascii="Aptos" w:hAnsi="Aptos"/>
                <w:sz w:val="15"/>
              </w:rPr>
              <w:t>Only if it preserves orientation.</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Property</w:t>
            </w:r>
          </w:p>
        </w:tc>
        <w:tc>
          <w:tcPr>
            <w:tcW w:type="dxa" w:w="3360"/>
            <w:shd w:fill="0E3D32"/>
          </w:tcPr>
          <w:p>
            <w:r>
              <w:rPr>
                <w:b/>
                <w:color w:val="FFFFFF"/>
                <w:sz w:val="15"/>
              </w:rPr>
              <w:t>Preferred</w:t>
            </w:r>
          </w:p>
        </w:tc>
        <w:tc>
          <w:tcPr>
            <w:tcW w:type="dxa" w:w="3360"/>
            <w:shd w:fill="0E3D32"/>
          </w:tcPr>
          <w:p>
            <w:r>
              <w:rPr>
                <w:b/>
                <w:color w:val="FFFFFF"/>
                <w:sz w:val="15"/>
              </w:rPr>
              <w:t>Avoid</w:t>
            </w:r>
          </w:p>
        </w:tc>
      </w:tr>
      <w:tr>
        <w:tc>
          <w:tcPr>
            <w:tcW w:type="dxa" w:w="3360"/>
            <w:vAlign w:val="center"/>
          </w:tcPr>
          <w:p>
            <w:pPr>
              <w:spacing w:after="20"/>
            </w:pPr>
            <w:r>
              <w:rPr>
                <w:rFonts w:ascii="Aptos" w:hAnsi="Aptos"/>
                <w:sz w:val="15"/>
              </w:rPr>
              <w:t>Easing</w:t>
            </w:r>
          </w:p>
        </w:tc>
        <w:tc>
          <w:tcPr>
            <w:tcW w:type="dxa" w:w="3360"/>
            <w:vAlign w:val="center"/>
          </w:tcPr>
          <w:p>
            <w:pPr>
              <w:spacing w:after="20"/>
            </w:pPr>
            <w:r>
              <w:rPr>
                <w:rFonts w:ascii="Aptos" w:hAnsi="Aptos"/>
                <w:sz w:val="15"/>
              </w:rPr>
              <w:t>Cubic ease-out arrivals; ease-in-out spatial continuity.</w:t>
            </w:r>
          </w:p>
        </w:tc>
        <w:tc>
          <w:tcPr>
            <w:tcW w:type="dxa" w:w="3360"/>
            <w:vAlign w:val="center"/>
          </w:tcPr>
          <w:p>
            <w:pPr>
              <w:spacing w:after="20"/>
            </w:pPr>
            <w:r>
              <w:rPr>
                <w:rFonts w:ascii="Aptos" w:hAnsi="Aptos"/>
                <w:sz w:val="15"/>
              </w:rPr>
              <w:t>One curve for every use.</w:t>
            </w:r>
          </w:p>
        </w:tc>
      </w:tr>
      <w:tr>
        <w:tc>
          <w:tcPr>
            <w:tcW w:type="dxa" w:w="3360"/>
            <w:vAlign w:val="center"/>
            <w:shd w:fill="F2F5F3"/>
          </w:tcPr>
          <w:p>
            <w:pPr>
              <w:spacing w:after="20"/>
            </w:pPr>
            <w:r>
              <w:rPr>
                <w:rFonts w:ascii="Aptos" w:hAnsi="Aptos"/>
                <w:sz w:val="15"/>
              </w:rPr>
              <w:t>Spring</w:t>
            </w:r>
          </w:p>
        </w:tc>
        <w:tc>
          <w:tcPr>
            <w:tcW w:type="dxa" w:w="3360"/>
            <w:vAlign w:val="center"/>
            <w:shd w:fill="F2F5F3"/>
          </w:tcPr>
          <w:p>
            <w:pPr>
              <w:spacing w:after="20"/>
            </w:pPr>
            <w:r>
              <w:rPr>
                <w:rFonts w:ascii="Aptos" w:hAnsi="Aptos"/>
                <w:sz w:val="15"/>
              </w:rPr>
              <w:t>Rare, small UI feedback that settles quickly.</w:t>
            </w:r>
          </w:p>
        </w:tc>
        <w:tc>
          <w:tcPr>
            <w:tcW w:type="dxa" w:w="3360"/>
            <w:vAlign w:val="center"/>
            <w:shd w:fill="F2F5F3"/>
          </w:tcPr>
          <w:p>
            <w:pPr>
              <w:spacing w:after="20"/>
            </w:pPr>
            <w:r>
              <w:rPr>
                <w:rFonts w:ascii="Aptos" w:hAnsi="Aptos"/>
                <w:sz w:val="15"/>
              </w:rPr>
              <w:t>Elastic bounce.</w:t>
            </w:r>
          </w:p>
        </w:tc>
      </w:tr>
      <w:tr>
        <w:tc>
          <w:tcPr>
            <w:tcW w:type="dxa" w:w="3360"/>
            <w:vAlign w:val="center"/>
          </w:tcPr>
          <w:p>
            <w:pPr>
              <w:spacing w:after="20"/>
            </w:pPr>
            <w:r>
              <w:rPr>
                <w:rFonts w:ascii="Aptos" w:hAnsi="Aptos"/>
                <w:sz w:val="15"/>
              </w:rPr>
              <w:t>Parallax</w:t>
            </w:r>
          </w:p>
        </w:tc>
        <w:tc>
          <w:tcPr>
            <w:tcW w:type="dxa" w:w="3360"/>
            <w:vAlign w:val="center"/>
          </w:tcPr>
          <w:p>
            <w:pPr>
              <w:spacing w:after="20"/>
            </w:pPr>
            <w:r>
              <w:rPr>
                <w:rFonts w:ascii="Aptos" w:hAnsi="Aptos"/>
                <w:sz w:val="15"/>
              </w:rPr>
              <w:t>2–3 layers maximum in long-form; tiny offsets.</w:t>
            </w:r>
          </w:p>
        </w:tc>
        <w:tc>
          <w:tcPr>
            <w:tcW w:type="dxa" w:w="3360"/>
            <w:vAlign w:val="center"/>
          </w:tcPr>
          <w:p>
            <w:pPr>
              <w:spacing w:after="20"/>
            </w:pPr>
            <w:r>
              <w:rPr>
                <w:rFonts w:ascii="Aptos" w:hAnsi="Aptos"/>
                <w:sz w:val="15"/>
              </w:rPr>
              <w:t>Large UI parallax.</w:t>
            </w:r>
          </w:p>
        </w:tc>
      </w:tr>
      <w:tr>
        <w:tc>
          <w:tcPr>
            <w:tcW w:type="dxa" w:w="3360"/>
            <w:vAlign w:val="center"/>
            <w:shd w:fill="F2F5F3"/>
          </w:tcPr>
          <w:p>
            <w:pPr>
              <w:spacing w:after="20"/>
            </w:pPr>
            <w:r>
              <w:rPr>
                <w:rFonts w:ascii="Aptos" w:hAnsi="Aptos"/>
                <w:sz w:val="15"/>
              </w:rPr>
              <w:t>Mirror</w:t>
            </w:r>
          </w:p>
        </w:tc>
        <w:tc>
          <w:tcPr>
            <w:tcW w:type="dxa" w:w="3360"/>
            <w:vAlign w:val="center"/>
            <w:shd w:fill="F2F5F3"/>
          </w:tcPr>
          <w:p>
            <w:pPr>
              <w:spacing w:after="20"/>
            </w:pPr>
            <w:r>
              <w:rPr>
                <w:rFonts w:ascii="Aptos" w:hAnsi="Aptos"/>
                <w:sz w:val="15"/>
              </w:rPr>
              <w:t>Reveal after/slightly slower than arch.</w:t>
            </w:r>
          </w:p>
        </w:tc>
        <w:tc>
          <w:tcPr>
            <w:tcW w:type="dxa" w:w="3360"/>
            <w:vAlign w:val="center"/>
            <w:shd w:fill="F2F5F3"/>
          </w:tcPr>
          <w:p>
            <w:pPr>
              <w:spacing w:after="20"/>
            </w:pPr>
            <w:r>
              <w:rPr>
                <w:rFonts w:ascii="Aptos" w:hAnsi="Aptos"/>
                <w:sz w:val="15"/>
              </w:rPr>
              <w:t>Fast spin or dramatic 3D rotation.</w:t>
            </w:r>
          </w:p>
        </w:tc>
      </w:tr>
      <w:tr>
        <w:tc>
          <w:tcPr>
            <w:tcW w:type="dxa" w:w="3360"/>
            <w:vAlign w:val="center"/>
          </w:tcPr>
          <w:p>
            <w:pPr>
              <w:spacing w:after="20"/>
            </w:pPr>
            <w:r>
              <w:rPr>
                <w:rFonts w:ascii="Aptos" w:hAnsi="Aptos"/>
                <w:sz w:val="15"/>
              </w:rPr>
              <w:t>Blur</w:t>
            </w:r>
          </w:p>
        </w:tc>
        <w:tc>
          <w:tcPr>
            <w:tcW w:type="dxa" w:w="3360"/>
            <w:vAlign w:val="center"/>
          </w:tcPr>
          <w:p>
            <w:pPr>
              <w:spacing w:after="20"/>
            </w:pPr>
            <w:r>
              <w:rPr>
                <w:rFonts w:ascii="Aptos" w:hAnsi="Aptos"/>
                <w:sz w:val="15"/>
              </w:rPr>
              <w:t>Subtle and brief in large reveals.</w:t>
            </w:r>
          </w:p>
        </w:tc>
        <w:tc>
          <w:tcPr>
            <w:tcW w:type="dxa" w:w="3360"/>
            <w:vAlign w:val="center"/>
          </w:tcPr>
          <w:p>
            <w:pPr>
              <w:spacing w:after="20"/>
            </w:pPr>
            <w:r>
              <w:rPr>
                <w:rFonts w:ascii="Aptos" w:hAnsi="Aptos"/>
                <w:sz w:val="15"/>
              </w:rPr>
              <w:t>Blurred text or default blur transition.</w:t>
            </w:r>
          </w:p>
        </w:tc>
      </w:tr>
      <w:tr>
        <w:tc>
          <w:tcPr>
            <w:tcW w:type="dxa" w:w="3360"/>
            <w:vAlign w:val="center"/>
            <w:shd w:fill="F2F5F3"/>
          </w:tcPr>
          <w:p>
            <w:pPr>
              <w:spacing w:after="20"/>
            </w:pPr>
            <w:r>
              <w:rPr>
                <w:rFonts w:ascii="Aptos" w:hAnsi="Aptos"/>
                <w:sz w:val="15"/>
              </w:rPr>
              <w:t>Particles/fluid</w:t>
            </w:r>
          </w:p>
        </w:tc>
        <w:tc>
          <w:tcPr>
            <w:tcW w:type="dxa" w:w="3360"/>
            <w:vAlign w:val="center"/>
            <w:shd w:fill="F2F5F3"/>
          </w:tcPr>
          <w:p>
            <w:pPr>
              <w:spacing w:after="20"/>
            </w:pPr>
            <w:r>
              <w:rPr>
                <w:rFonts w:ascii="Aptos" w:hAnsi="Aptos"/>
                <w:sz w:val="15"/>
              </w:rPr>
              <w:t>Not core identity; only story-justified.</w:t>
            </w:r>
          </w:p>
        </w:tc>
        <w:tc>
          <w:tcPr>
            <w:tcW w:type="dxa" w:w="3360"/>
            <w:vAlign w:val="center"/>
            <w:shd w:fill="F2F5F3"/>
          </w:tcPr>
          <w:p>
            <w:pPr>
              <w:spacing w:after="20"/>
            </w:pPr>
            <w:r>
              <w:rPr>
                <w:rFonts w:ascii="Aptos" w:hAnsi="Aptos"/>
                <w:sz w:val="15"/>
              </w:rPr>
              <w:t>Generic smoke/liquid/energy fields.</w:t>
            </w:r>
          </w:p>
        </w:tc>
      </w:tr>
      <w:tr>
        <w:tc>
          <w:tcPr>
            <w:tcW w:type="dxa" w:w="3360"/>
            <w:vAlign w:val="center"/>
          </w:tcPr>
          <w:p>
            <w:pPr>
              <w:spacing w:after="20"/>
            </w:pPr>
            <w:r>
              <w:rPr>
                <w:rFonts w:ascii="Aptos" w:hAnsi="Aptos"/>
                <w:sz w:val="15"/>
              </w:rPr>
              <w:t>Overshoot</w:t>
            </w:r>
          </w:p>
        </w:tc>
        <w:tc>
          <w:tcPr>
            <w:tcW w:type="dxa" w:w="3360"/>
            <w:vAlign w:val="center"/>
          </w:tcPr>
          <w:p>
            <w:pPr>
              <w:spacing w:after="20"/>
            </w:pPr>
            <w:r>
              <w:rPr>
                <w:rFonts w:ascii="Aptos" w:hAnsi="Aptos"/>
                <w:sz w:val="15"/>
              </w:rPr>
              <w:t>Zero or near-zero for logo/data.</w:t>
            </w:r>
          </w:p>
        </w:tc>
        <w:tc>
          <w:tcPr>
            <w:tcW w:type="dxa" w:w="3360"/>
            <w:vAlign w:val="center"/>
          </w:tcPr>
          <w:p>
            <w:pPr>
              <w:spacing w:after="20"/>
            </w:pPr>
            <w:r>
              <w:rPr>
                <w:rFonts w:ascii="Aptos" w:hAnsi="Aptos"/>
                <w:sz w:val="15"/>
              </w:rPr>
              <w:t>Rubbery logo movement.</w:t>
            </w:r>
          </w:p>
        </w:tc>
      </w:tr>
    </w:tbl>
    <w:p>
      <w:pPr>
        <w:spacing w:after="20"/>
      </w:pPr>
    </w:p>
    <w:p>
      <w:pPr>
        <w:pStyle w:val="Heading2"/>
      </w:pPr>
      <w:r>
        <w:t>11.1 Tool-agnostic motion brief</w:t>
      </w:r>
    </w:p>
    <w:p>
      <w:pPr>
        <w:pStyle w:val="ListNumber"/>
        <w:spacing w:after="20"/>
      </w:pPr>
      <w:r>
        <w:t>Purpose: orient, reveal, compare, confirm, transition or brand.</w:t>
      </w:r>
    </w:p>
    <w:p>
      <w:pPr>
        <w:pStyle w:val="ListNumber"/>
        <w:spacing w:after="20"/>
      </w:pPr>
      <w:r>
        <w:t>Starting/ending state and what remains fixed.</w:t>
      </w:r>
    </w:p>
    <w:p>
      <w:pPr>
        <w:pStyle w:val="ListNumber"/>
        <w:spacing w:after="20"/>
      </w:pPr>
      <w:r>
        <w:t>Layer order/depth; 2D, simulated depth or true 3D.</w:t>
      </w:r>
    </w:p>
    <w:p>
      <w:pPr>
        <w:pStyle w:val="ListNumber"/>
        <w:spacing w:after="20"/>
      </w:pPr>
      <w:r>
        <w:t>Timing range, easing intent, direction and stagger order.</w:t>
      </w:r>
    </w:p>
    <w:p>
      <w:pPr>
        <w:pStyle w:val="ListNumber"/>
        <w:spacing w:after="20"/>
      </w:pPr>
      <w:r>
        <w:t>What information enters, exits, changes or stays constant.</w:t>
      </w:r>
    </w:p>
    <w:p>
      <w:pPr>
        <w:pStyle w:val="ListNumber"/>
        <w:spacing w:after="20"/>
      </w:pPr>
      <w:r>
        <w:t>Reduced-motion/static alternative and captions.</w:t>
      </w:r>
    </w:p>
    <w:p>
      <w:pPr>
        <w:pStyle w:val="ListNumber"/>
        <w:spacing w:after="20"/>
      </w:pPr>
      <w:r>
        <w:t>Aspect ratio, resolution, frame rate, alpha/audio requirements and codec.</w:t>
      </w:r>
    </w:p>
    <w:p>
      <w:pPr>
        <w:pStyle w:val="ListNumber"/>
        <w:spacing w:after="20"/>
      </w:pPr>
      <w:r>
        <w:t>Performance/file-size budget for web/interactivity.</w:t>
      </w:r>
    </w:p>
    <w:p>
      <w:pPr>
        <w:pStyle w:val="ListNumber"/>
        <w:spacing w:after="20"/>
      </w:pPr>
      <w:r>
        <w:t>Acceptance criteria for legibility, brand, data integrity, accessibility and devices.</w:t>
      </w:r>
    </w:p>
    <w:p>
      <w:pPr>
        <w:pStyle w:val="Heading2"/>
      </w:pPr>
      <w:r>
        <w:t>11.2 Master logo reveal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Beat</w:t>
            </w:r>
          </w:p>
        </w:tc>
        <w:tc>
          <w:tcPr>
            <w:tcW w:type="dxa" w:w="3360"/>
            <w:shd w:fill="0E3D32"/>
          </w:tcPr>
          <w:p>
            <w:r>
              <w:rPr>
                <w:b/>
                <w:color w:val="FFFFFF"/>
                <w:sz w:val="15"/>
              </w:rPr>
              <w:t>Approx. time</w:t>
            </w:r>
          </w:p>
        </w:tc>
        <w:tc>
          <w:tcPr>
            <w:tcW w:type="dxa" w:w="3360"/>
            <w:shd w:fill="0E3D32"/>
          </w:tcPr>
          <w:p>
            <w:r>
              <w:rPr>
                <w:b/>
                <w:color w:val="FFFFFF"/>
                <w:sz w:val="15"/>
              </w:rPr>
              <w:t>Action</w:t>
            </w:r>
          </w:p>
        </w:tc>
      </w:tr>
      <w:tr>
        <w:tc>
          <w:tcPr>
            <w:tcW w:type="dxa" w:w="3360"/>
            <w:vAlign w:val="center"/>
          </w:tcPr>
          <w:p>
            <w:pPr>
              <w:spacing w:after="20"/>
            </w:pPr>
            <w:r>
              <w:rPr>
                <w:rFonts w:ascii="Aptos" w:hAnsi="Aptos"/>
                <w:sz w:val="15"/>
              </w:rPr>
              <w:t>Opening</w:t>
            </w:r>
          </w:p>
        </w:tc>
        <w:tc>
          <w:tcPr>
            <w:tcW w:type="dxa" w:w="3360"/>
            <w:vAlign w:val="center"/>
          </w:tcPr>
          <w:p>
            <w:pPr>
              <w:spacing w:after="20"/>
            </w:pPr>
            <w:r>
              <w:rPr>
                <w:rFonts w:ascii="Aptos" w:hAnsi="Aptos"/>
                <w:sz w:val="15"/>
              </w:rPr>
              <w:t>0–250 ms</w:t>
            </w:r>
          </w:p>
        </w:tc>
        <w:tc>
          <w:tcPr>
            <w:tcW w:type="dxa" w:w="3360"/>
            <w:vAlign w:val="center"/>
          </w:tcPr>
          <w:p>
            <w:pPr>
              <w:spacing w:after="20"/>
            </w:pPr>
            <w:r>
              <w:rPr>
                <w:rFonts w:ascii="Aptos" w:hAnsi="Aptos"/>
                <w:sz w:val="15"/>
              </w:rPr>
              <w:t>Arch halves emerge through quiet mask/vertical reveal and settle.</w:t>
            </w:r>
          </w:p>
        </w:tc>
      </w:tr>
      <w:tr>
        <w:tc>
          <w:tcPr>
            <w:tcW w:type="dxa" w:w="3360"/>
            <w:vAlign w:val="center"/>
            <w:shd w:fill="F2F5F3"/>
          </w:tcPr>
          <w:p>
            <w:pPr>
              <w:spacing w:after="20"/>
            </w:pPr>
            <w:r>
              <w:rPr>
                <w:rFonts w:ascii="Aptos" w:hAnsi="Aptos"/>
                <w:sz w:val="15"/>
              </w:rPr>
              <w:t>Perspective</w:t>
            </w:r>
          </w:p>
        </w:tc>
        <w:tc>
          <w:tcPr>
            <w:tcW w:type="dxa" w:w="3360"/>
            <w:vAlign w:val="center"/>
            <w:shd w:fill="F2F5F3"/>
          </w:tcPr>
          <w:p>
            <w:pPr>
              <w:spacing w:after="20"/>
            </w:pPr>
            <w:r>
              <w:rPr>
                <w:rFonts w:ascii="Aptos" w:hAnsi="Aptos"/>
                <w:sz w:val="15"/>
              </w:rPr>
              <w:t>200–550 ms</w:t>
            </w:r>
          </w:p>
        </w:tc>
        <w:tc>
          <w:tcPr>
            <w:tcW w:type="dxa" w:w="3360"/>
            <w:vAlign w:val="center"/>
            <w:shd w:fill="F2F5F3"/>
          </w:tcPr>
          <w:p>
            <w:pPr>
              <w:spacing w:after="20"/>
            </w:pPr>
            <w:r>
              <w:rPr>
                <w:rFonts w:ascii="Aptos" w:hAnsi="Aptos"/>
                <w:sz w:val="15"/>
              </w:rPr>
              <w:t>Mirror appears via restrained luminance shift/reflected band; no lens flare.</w:t>
            </w:r>
          </w:p>
        </w:tc>
      </w:tr>
      <w:tr>
        <w:tc>
          <w:tcPr>
            <w:tcW w:type="dxa" w:w="3360"/>
            <w:vAlign w:val="center"/>
          </w:tcPr>
          <w:p>
            <w:pPr>
              <w:spacing w:after="20"/>
            </w:pPr>
            <w:r>
              <w:rPr>
                <w:rFonts w:ascii="Aptos" w:hAnsi="Aptos"/>
                <w:sz w:val="15"/>
              </w:rPr>
              <w:t>Wordmark</w:t>
            </w:r>
          </w:p>
        </w:tc>
        <w:tc>
          <w:tcPr>
            <w:tcW w:type="dxa" w:w="3360"/>
            <w:vAlign w:val="center"/>
          </w:tcPr>
          <w:p>
            <w:pPr>
              <w:spacing w:after="20"/>
            </w:pPr>
            <w:r>
              <w:rPr>
                <w:rFonts w:ascii="Aptos" w:hAnsi="Aptos"/>
                <w:sz w:val="15"/>
              </w:rPr>
              <w:t>450–800 ms</w:t>
            </w:r>
          </w:p>
        </w:tc>
        <w:tc>
          <w:tcPr>
            <w:tcW w:type="dxa" w:w="3360"/>
            <w:vAlign w:val="center"/>
          </w:tcPr>
          <w:p>
            <w:pPr>
              <w:spacing w:after="20"/>
            </w:pPr>
            <w:r>
              <w:rPr>
                <w:rFonts w:ascii="Aptos" w:hAnsi="Aptos"/>
                <w:sz w:val="15"/>
              </w:rPr>
              <w:t>Wordmark arrives gently after symbol resolves.</w:t>
            </w:r>
          </w:p>
        </w:tc>
      </w:tr>
      <w:tr>
        <w:tc>
          <w:tcPr>
            <w:tcW w:type="dxa" w:w="3360"/>
            <w:vAlign w:val="center"/>
            <w:shd w:fill="F2F5F3"/>
          </w:tcPr>
          <w:p>
            <w:pPr>
              <w:spacing w:after="20"/>
            </w:pPr>
            <w:r>
              <w:rPr>
                <w:rFonts w:ascii="Aptos" w:hAnsi="Aptos"/>
                <w:sz w:val="15"/>
              </w:rPr>
              <w:t>Hold</w:t>
            </w:r>
          </w:p>
        </w:tc>
        <w:tc>
          <w:tcPr>
            <w:tcW w:type="dxa" w:w="3360"/>
            <w:vAlign w:val="center"/>
            <w:shd w:fill="F2F5F3"/>
          </w:tcPr>
          <w:p>
            <w:pPr>
              <w:spacing w:after="20"/>
            </w:pPr>
            <w:r>
              <w:rPr>
                <w:rFonts w:ascii="Aptos" w:hAnsi="Aptos"/>
                <w:sz w:val="15"/>
              </w:rPr>
              <w:t>800–1,200 ms</w:t>
            </w:r>
          </w:p>
        </w:tc>
        <w:tc>
          <w:tcPr>
            <w:tcW w:type="dxa" w:w="3360"/>
            <w:vAlign w:val="center"/>
            <w:shd w:fill="F2F5F3"/>
          </w:tcPr>
          <w:p>
            <w:pPr>
              <w:spacing w:after="20"/>
            </w:pPr>
            <w:r>
              <w:rPr>
                <w:rFonts w:ascii="Aptos" w:hAnsi="Aptos"/>
                <w:sz w:val="15"/>
              </w:rPr>
              <w:t>Tagline only if screen/time allow; briefly hold full lockup.</w:t>
            </w:r>
          </w:p>
        </w:tc>
      </w:tr>
    </w:tbl>
    <w:p>
      <w:pPr>
        <w:spacing w:after="20"/>
      </w:pPr>
    </w:p>
    <w:p>
      <w:r>
        <w:rPr>
          <w:b w:val="0"/>
        </w:rPr>
        <w:t>Use for brand/launch films or formal presentation openers, not before every social clip, tutorial or short insight.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Transition</w:t>
            </w:r>
          </w:p>
        </w:tc>
        <w:tc>
          <w:tcPr>
            <w:tcW w:type="dxa" w:w="3360"/>
            <w:shd w:fill="0E3D32"/>
          </w:tcPr>
          <w:p>
            <w:r>
              <w:rPr>
                <w:b/>
                <w:color w:val="FFFFFF"/>
                <w:sz w:val="15"/>
              </w:rPr>
              <w:t>Use</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Portal wipe</w:t>
            </w:r>
          </w:p>
        </w:tc>
        <w:tc>
          <w:tcPr>
            <w:tcW w:type="dxa" w:w="3360"/>
            <w:vAlign w:val="center"/>
          </w:tcPr>
          <w:p>
            <w:pPr>
              <w:spacing w:after="20"/>
            </w:pPr>
            <w:r>
              <w:rPr>
                <w:rFonts w:ascii="Aptos" w:hAnsi="Aptos"/>
                <w:sz w:val="15"/>
              </w:rPr>
              <w:t>Major perspective/section shift.</w:t>
            </w:r>
          </w:p>
        </w:tc>
        <w:tc>
          <w:tcPr>
            <w:tcW w:type="dxa" w:w="3360"/>
            <w:vAlign w:val="center"/>
          </w:tcPr>
          <w:p>
            <w:pPr>
              <w:spacing w:after="20"/>
            </w:pPr>
            <w:r>
              <w:rPr>
                <w:rFonts w:ascii="Aptos" w:hAnsi="Aptos"/>
                <w:sz w:val="15"/>
              </w:rPr>
              <w:t>Split-arch mask; selective use and consistent direction.</w:t>
            </w:r>
          </w:p>
        </w:tc>
      </w:tr>
      <w:tr>
        <w:tc>
          <w:tcPr>
            <w:tcW w:type="dxa" w:w="3360"/>
            <w:vAlign w:val="center"/>
            <w:shd w:fill="F2F5F3"/>
          </w:tcPr>
          <w:p>
            <w:pPr>
              <w:spacing w:after="20"/>
            </w:pPr>
            <w:r>
              <w:rPr>
                <w:rFonts w:ascii="Aptos" w:hAnsi="Aptos"/>
                <w:sz w:val="15"/>
              </w:rPr>
              <w:t>Layer reveal</w:t>
            </w:r>
          </w:p>
        </w:tc>
        <w:tc>
          <w:tcPr>
            <w:tcW w:type="dxa" w:w="3360"/>
            <w:vAlign w:val="center"/>
            <w:shd w:fill="F2F5F3"/>
          </w:tcPr>
          <w:p>
            <w:pPr>
              <w:spacing w:after="20"/>
            </w:pPr>
            <w:r>
              <w:rPr>
                <w:rFonts w:ascii="Aptos" w:hAnsi="Aptos"/>
                <w:sz w:val="15"/>
              </w:rPr>
              <w:t>Evidence then interpretation.</w:t>
            </w:r>
          </w:p>
        </w:tc>
        <w:tc>
          <w:tcPr>
            <w:tcW w:type="dxa" w:w="3360"/>
            <w:vAlign w:val="center"/>
            <w:shd w:fill="F2F5F3"/>
          </w:tcPr>
          <w:p>
            <w:pPr>
              <w:spacing w:after="20"/>
            </w:pPr>
            <w:r>
              <w:rPr>
                <w:rFonts w:ascii="Aptos" w:hAnsi="Aptos"/>
                <w:sz w:val="15"/>
              </w:rPr>
              <w:t>Shift foreground modestly to reveal labelled layer.</w:t>
            </w:r>
          </w:p>
        </w:tc>
      </w:tr>
      <w:tr>
        <w:tc>
          <w:tcPr>
            <w:tcW w:type="dxa" w:w="3360"/>
            <w:vAlign w:val="center"/>
          </w:tcPr>
          <w:p>
            <w:pPr>
              <w:spacing w:after="20"/>
            </w:pPr>
            <w:r>
              <w:rPr>
                <w:rFonts w:ascii="Aptos" w:hAnsi="Aptos"/>
                <w:sz w:val="15"/>
              </w:rPr>
              <w:t>Context shift</w:t>
            </w:r>
          </w:p>
        </w:tc>
        <w:tc>
          <w:tcPr>
            <w:tcW w:type="dxa" w:w="3360"/>
            <w:vAlign w:val="center"/>
          </w:tcPr>
          <w:p>
            <w:pPr>
              <w:spacing w:after="20"/>
            </w:pPr>
            <w:r>
              <w:rPr>
                <w:rFonts w:ascii="Aptos" w:hAnsi="Aptos"/>
                <w:sz w:val="15"/>
              </w:rPr>
              <w:t>Headline vs fuller picture.</w:t>
            </w:r>
          </w:p>
        </w:tc>
        <w:tc>
          <w:tcPr>
            <w:tcW w:type="dxa" w:w="3360"/>
            <w:vAlign w:val="center"/>
          </w:tcPr>
          <w:p>
            <w:pPr>
              <w:spacing w:after="20"/>
            </w:pPr>
            <w:r>
              <w:rPr>
                <w:rFonts w:ascii="Aptos" w:hAnsi="Aptos"/>
                <w:sz w:val="15"/>
              </w:rPr>
              <w:t>Widen crop or add data layer; label what changed.</w:t>
            </w:r>
          </w:p>
        </w:tc>
      </w:tr>
      <w:tr>
        <w:tc>
          <w:tcPr>
            <w:tcW w:type="dxa" w:w="3360"/>
            <w:vAlign w:val="center"/>
            <w:shd w:fill="F2F5F3"/>
          </w:tcPr>
          <w:p>
            <w:pPr>
              <w:spacing w:after="20"/>
            </w:pPr>
            <w:r>
              <w:rPr>
                <w:rFonts w:ascii="Aptos" w:hAnsi="Aptos"/>
                <w:sz w:val="15"/>
              </w:rPr>
              <w:t>Editorial cut</w:t>
            </w:r>
          </w:p>
        </w:tc>
        <w:tc>
          <w:tcPr>
            <w:tcW w:type="dxa" w:w="3360"/>
            <w:vAlign w:val="center"/>
            <w:shd w:fill="F2F5F3"/>
          </w:tcPr>
          <w:p>
            <w:pPr>
              <w:spacing w:after="20"/>
            </w:pPr>
            <w:r>
              <w:rPr>
                <w:rFonts w:ascii="Aptos" w:hAnsi="Aptos"/>
                <w:sz w:val="15"/>
              </w:rPr>
              <w:t>Most research videos.</w:t>
            </w:r>
          </w:p>
        </w:tc>
        <w:tc>
          <w:tcPr>
            <w:tcW w:type="dxa" w:w="3360"/>
            <w:vAlign w:val="center"/>
            <w:shd w:fill="F2F5F3"/>
          </w:tcPr>
          <w:p>
            <w:pPr>
              <w:spacing w:after="20"/>
            </w:pPr>
            <w:r>
              <w:rPr>
                <w:rFonts w:ascii="Aptos" w:hAnsi="Aptos"/>
                <w:sz w:val="15"/>
              </w:rPr>
              <w:t>Hard cut; add rule/label only if orientation helps.</w:t>
            </w:r>
          </w:p>
        </w:tc>
      </w:tr>
      <w:tr>
        <w:tc>
          <w:tcPr>
            <w:tcW w:type="dxa" w:w="3360"/>
            <w:vAlign w:val="center"/>
          </w:tcPr>
          <w:p>
            <w:pPr>
              <w:spacing w:after="20"/>
            </w:pPr>
            <w:r>
              <w:rPr>
                <w:rFonts w:ascii="Aptos" w:hAnsi="Aptos"/>
                <w:sz w:val="15"/>
              </w:rPr>
              <w:t>Chart build</w:t>
            </w:r>
          </w:p>
        </w:tc>
        <w:tc>
          <w:tcPr>
            <w:tcW w:type="dxa" w:w="3360"/>
            <w:vAlign w:val="center"/>
          </w:tcPr>
          <w:p>
            <w:pPr>
              <w:spacing w:after="20"/>
            </w:pPr>
            <w:r>
              <w:rPr>
                <w:rFonts w:ascii="Aptos" w:hAnsi="Aptos"/>
                <w:sz w:val="15"/>
              </w:rPr>
              <w:t>Explain one relationship.</w:t>
            </w:r>
          </w:p>
        </w:tc>
        <w:tc>
          <w:tcPr>
            <w:tcW w:type="dxa" w:w="3360"/>
            <w:vAlign w:val="center"/>
          </w:tcPr>
          <w:p>
            <w:pPr>
              <w:spacing w:after="20"/>
            </w:pPr>
            <w:r>
              <w:rPr>
                <w:rFonts w:ascii="Aptos" w:hAnsi="Aptos"/>
                <w:sz w:val="15"/>
              </w:rPr>
              <w:t>Axes, series, annotation; retain source/as-of.</w:t>
            </w:r>
          </w:p>
        </w:tc>
      </w:tr>
      <w:tr>
        <w:tc>
          <w:tcPr>
            <w:tcW w:type="dxa" w:w="3360"/>
            <w:vAlign w:val="center"/>
            <w:shd w:fill="F2F5F3"/>
          </w:tcPr>
          <w:p>
            <w:pPr>
              <w:spacing w:after="20"/>
            </w:pPr>
            <w:r>
              <w:rPr>
                <w:rFonts w:ascii="Aptos" w:hAnsi="Aptos"/>
                <w:sz w:val="15"/>
              </w:rPr>
              <w:t>End-card settle</w:t>
            </w:r>
          </w:p>
        </w:tc>
        <w:tc>
          <w:tcPr>
            <w:tcW w:type="dxa" w:w="3360"/>
            <w:vAlign w:val="center"/>
            <w:shd w:fill="F2F5F3"/>
          </w:tcPr>
          <w:p>
            <w:pPr>
              <w:spacing w:after="20"/>
            </w:pPr>
            <w:r>
              <w:rPr>
                <w:rFonts w:ascii="Aptos" w:hAnsi="Aptos"/>
                <w:sz w:val="15"/>
              </w:rPr>
              <w:t>Close sequence.</w:t>
            </w:r>
          </w:p>
        </w:tc>
        <w:tc>
          <w:tcPr>
            <w:tcW w:type="dxa" w:w="3360"/>
            <w:vAlign w:val="center"/>
            <w:shd w:fill="F2F5F3"/>
          </w:tcPr>
          <w:p>
            <w:pPr>
              <w:spacing w:after="20"/>
            </w:pPr>
            <w:r>
              <w:rPr>
                <w:rFonts w:ascii="Aptos" w:hAnsi="Aptos"/>
                <w:sz w:val="15"/>
              </w:rPr>
              <w:t>Simple cut/fade into stable lockup.</w:t>
            </w:r>
          </w:p>
        </w:tc>
      </w:tr>
    </w:tbl>
    <w:p>
      <w:pPr>
        <w:spacing w:after="20"/>
      </w:pPr>
    </w:p>
    <w:p>
      <w:pPr>
        <w:pStyle w:val="Heading1"/>
      </w:pPr>
      <w:r>
        <w:t>12. Video system: all formats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E3D32"/>
          </w:tcPr>
          <w:p>
            <w:r>
              <w:rPr>
                <w:b/>
                <w:color w:val="FFFFFF"/>
                <w:sz w:val="15"/>
              </w:rPr>
              <w:t>Format</w:t>
            </w:r>
          </w:p>
        </w:tc>
        <w:tc>
          <w:tcPr>
            <w:tcW w:type="dxa" w:w="2520"/>
            <w:shd w:fill="0E3D32"/>
          </w:tcPr>
          <w:p>
            <w:r>
              <w:rPr>
                <w:b/>
                <w:color w:val="FFFFFF"/>
                <w:sz w:val="15"/>
              </w:rPr>
              <w:t>Opening</w:t>
            </w:r>
          </w:p>
        </w:tc>
        <w:tc>
          <w:tcPr>
            <w:tcW w:type="dxa" w:w="2520"/>
            <w:shd w:fill="0E3D32"/>
          </w:tcPr>
          <w:p>
            <w:r>
              <w:rPr>
                <w:b/>
                <w:color w:val="FFFFFF"/>
                <w:sz w:val="15"/>
              </w:rPr>
              <w:t>Brand/motion</w:t>
            </w:r>
          </w:p>
        </w:tc>
        <w:tc>
          <w:tcPr>
            <w:tcW w:type="dxa" w:w="2520"/>
            <w:shd w:fill="0E3D32"/>
          </w:tcPr>
          <w:p>
            <w:r>
              <w:rPr>
                <w:b/>
                <w:color w:val="FFFFFF"/>
                <w:sz w:val="15"/>
              </w:rPr>
              <w:t>Close</w:t>
            </w:r>
          </w:p>
        </w:tc>
      </w:tr>
      <w:tr>
        <w:tc>
          <w:tcPr>
            <w:tcW w:type="dxa" w:w="2520"/>
            <w:vAlign w:val="center"/>
          </w:tcPr>
          <w:p>
            <w:pPr>
              <w:spacing w:after="20"/>
            </w:pPr>
            <w:r>
              <w:rPr>
                <w:rFonts w:ascii="Aptos" w:hAnsi="Aptos"/>
                <w:sz w:val="15"/>
              </w:rPr>
              <w:t>Short-form social</w:t>
            </w:r>
          </w:p>
        </w:tc>
        <w:tc>
          <w:tcPr>
            <w:tcW w:type="dxa" w:w="2520"/>
            <w:vAlign w:val="center"/>
          </w:tcPr>
          <w:p>
            <w:pPr>
              <w:spacing w:after="20"/>
            </w:pPr>
            <w:r>
              <w:rPr>
                <w:rFonts w:ascii="Aptos" w:hAnsi="Aptos"/>
                <w:sz w:val="15"/>
              </w:rPr>
              <w:t>Lead with question, evidence or conclusion immediately.</w:t>
            </w:r>
          </w:p>
        </w:tc>
        <w:tc>
          <w:tcPr>
            <w:tcW w:type="dxa" w:w="2520"/>
            <w:vAlign w:val="center"/>
          </w:tcPr>
          <w:p>
            <w:pPr>
              <w:spacing w:after="20"/>
            </w:pPr>
            <w:r>
              <w:rPr>
                <w:rFonts w:ascii="Aptos" w:hAnsi="Aptos"/>
                <w:sz w:val="15"/>
              </w:rPr>
              <w:t>Small symbol or 200–400 ms corner reveal if useful; captions essential.</w:t>
            </w:r>
          </w:p>
        </w:tc>
        <w:tc>
          <w:tcPr>
            <w:tcW w:type="dxa" w:w="2520"/>
            <w:vAlign w:val="center"/>
          </w:tcPr>
          <w:p>
            <w:pPr>
              <w:spacing w:after="20"/>
            </w:pPr>
            <w:r>
              <w:rPr>
                <w:rFonts w:ascii="Aptos" w:hAnsi="Aptos"/>
                <w:sz w:val="15"/>
              </w:rPr>
              <w:t>Takeaway/next step, source cue and compact signature.</w:t>
            </w:r>
          </w:p>
        </w:tc>
      </w:tr>
      <w:tr>
        <w:tc>
          <w:tcPr>
            <w:tcW w:type="dxa" w:w="2520"/>
            <w:vAlign w:val="center"/>
            <w:shd w:fill="F2F5F3"/>
          </w:tcPr>
          <w:p>
            <w:pPr>
              <w:spacing w:after="20"/>
            </w:pPr>
            <w:r>
              <w:rPr>
                <w:rFonts w:ascii="Aptos" w:hAnsi="Aptos"/>
                <w:sz w:val="15"/>
              </w:rPr>
              <w:t>YouTube explainer</w:t>
            </w:r>
          </w:p>
        </w:tc>
        <w:tc>
          <w:tcPr>
            <w:tcW w:type="dxa" w:w="2520"/>
            <w:vAlign w:val="center"/>
            <w:shd w:fill="F2F5F3"/>
          </w:tcPr>
          <w:p>
            <w:pPr>
              <w:spacing w:after="20"/>
            </w:pPr>
            <w:r>
              <w:rPr>
                <w:rFonts w:ascii="Aptos" w:hAnsi="Aptos"/>
                <w:sz w:val="15"/>
              </w:rPr>
              <w:t>State question and relevance.</w:t>
            </w:r>
          </w:p>
        </w:tc>
        <w:tc>
          <w:tcPr>
            <w:tcW w:type="dxa" w:w="2520"/>
            <w:vAlign w:val="center"/>
            <w:shd w:fill="F2F5F3"/>
          </w:tcPr>
          <w:p>
            <w:pPr>
              <w:spacing w:after="20"/>
            </w:pPr>
            <w:r>
              <w:rPr>
                <w:rFonts w:ascii="Aptos" w:hAnsi="Aptos"/>
                <w:sz w:val="15"/>
              </w:rPr>
              <w:t>Section labels, chart builds and occasional perspective shift.</w:t>
            </w:r>
          </w:p>
        </w:tc>
        <w:tc>
          <w:tcPr>
            <w:tcW w:type="dxa" w:w="2520"/>
            <w:vAlign w:val="center"/>
            <w:shd w:fill="F2F5F3"/>
          </w:tcPr>
          <w:p>
            <w:pPr>
              <w:spacing w:after="20"/>
            </w:pPr>
            <w:r>
              <w:rPr>
                <w:rFonts w:ascii="Aptos" w:hAnsi="Aptos"/>
                <w:sz w:val="15"/>
              </w:rPr>
              <w:t>Implication, watchpoint and source path.</w:t>
            </w:r>
          </w:p>
        </w:tc>
      </w:tr>
      <w:tr>
        <w:tc>
          <w:tcPr>
            <w:tcW w:type="dxa" w:w="2520"/>
            <w:vAlign w:val="center"/>
          </w:tcPr>
          <w:p>
            <w:pPr>
              <w:spacing w:after="20"/>
            </w:pPr>
            <w:r>
              <w:rPr>
                <w:rFonts w:ascii="Aptos" w:hAnsi="Aptos"/>
                <w:sz w:val="15"/>
              </w:rPr>
              <w:t>Webinar/interview</w:t>
            </w:r>
          </w:p>
        </w:tc>
        <w:tc>
          <w:tcPr>
            <w:tcW w:type="dxa" w:w="2520"/>
            <w:vAlign w:val="center"/>
          </w:tcPr>
          <w:p>
            <w:pPr>
              <w:spacing w:after="20"/>
            </w:pPr>
            <w:r>
              <w:rPr>
                <w:rFonts w:ascii="Aptos" w:hAnsi="Aptos"/>
                <w:sz w:val="15"/>
              </w:rPr>
              <w:t>Topic, speaker, purpose; move quickly to substance.</w:t>
            </w:r>
          </w:p>
        </w:tc>
        <w:tc>
          <w:tcPr>
            <w:tcW w:type="dxa" w:w="2520"/>
            <w:vAlign w:val="center"/>
          </w:tcPr>
          <w:p>
            <w:pPr>
              <w:spacing w:after="20"/>
            </w:pPr>
            <w:r>
              <w:rPr>
                <w:rFonts w:ascii="Aptos" w:hAnsi="Aptos"/>
                <w:sz w:val="15"/>
              </w:rPr>
              <w:t>Lower thirds, chapter cards, restrained transitions.</w:t>
            </w:r>
          </w:p>
        </w:tc>
        <w:tc>
          <w:tcPr>
            <w:tcW w:type="dxa" w:w="2520"/>
            <w:vAlign w:val="center"/>
          </w:tcPr>
          <w:p>
            <w:pPr>
              <w:spacing w:after="20"/>
            </w:pPr>
            <w:r>
              <w:rPr>
                <w:rFonts w:ascii="Aptos" w:hAnsi="Aptos"/>
                <w:sz w:val="15"/>
              </w:rPr>
              <w:t>Key takeaways and source links.</w:t>
            </w:r>
          </w:p>
        </w:tc>
      </w:tr>
      <w:tr>
        <w:tc>
          <w:tcPr>
            <w:tcW w:type="dxa" w:w="2520"/>
            <w:vAlign w:val="center"/>
            <w:shd w:fill="F2F5F3"/>
          </w:tcPr>
          <w:p>
            <w:pPr>
              <w:spacing w:after="20"/>
            </w:pPr>
            <w:r>
              <w:rPr>
                <w:rFonts w:ascii="Aptos" w:hAnsi="Aptos"/>
                <w:sz w:val="15"/>
              </w:rPr>
              <w:t>Product demo</w:t>
            </w:r>
          </w:p>
        </w:tc>
        <w:tc>
          <w:tcPr>
            <w:tcW w:type="dxa" w:w="2520"/>
            <w:vAlign w:val="center"/>
            <w:shd w:fill="F2F5F3"/>
          </w:tcPr>
          <w:p>
            <w:pPr>
              <w:spacing w:after="20"/>
            </w:pPr>
            <w:r>
              <w:rPr>
                <w:rFonts w:ascii="Aptos" w:hAnsi="Aptos"/>
                <w:sz w:val="15"/>
              </w:rPr>
              <w:t>Show task and expected result.</w:t>
            </w:r>
          </w:p>
        </w:tc>
        <w:tc>
          <w:tcPr>
            <w:tcW w:type="dxa" w:w="2520"/>
            <w:vAlign w:val="center"/>
            <w:shd w:fill="F2F5F3"/>
          </w:tcPr>
          <w:p>
            <w:pPr>
              <w:spacing w:after="20"/>
            </w:pPr>
            <w:r>
              <w:rPr>
                <w:rFonts w:ascii="Aptos" w:hAnsi="Aptos"/>
                <w:sz w:val="15"/>
              </w:rPr>
              <w:t>Real UI states; cursor emphasis/zoom only to aid comprehension.</w:t>
            </w:r>
          </w:p>
        </w:tc>
        <w:tc>
          <w:tcPr>
            <w:tcW w:type="dxa" w:w="2520"/>
            <w:vAlign w:val="center"/>
            <w:shd w:fill="F2F5F3"/>
          </w:tcPr>
          <w:p>
            <w:pPr>
              <w:spacing w:after="20"/>
            </w:pPr>
            <w:r>
              <w:rPr>
                <w:rFonts w:ascii="Aptos" w:hAnsi="Aptos"/>
                <w:sz w:val="15"/>
              </w:rPr>
              <w:t>Recap steps; no delaying cinematic outro.</w:t>
            </w:r>
          </w:p>
        </w:tc>
      </w:tr>
      <w:tr>
        <w:tc>
          <w:tcPr>
            <w:tcW w:type="dxa" w:w="2520"/>
            <w:vAlign w:val="center"/>
          </w:tcPr>
          <w:p>
            <w:pPr>
              <w:spacing w:after="20"/>
            </w:pPr>
            <w:r>
              <w:rPr>
                <w:rFonts w:ascii="Aptos" w:hAnsi="Aptos"/>
                <w:sz w:val="15"/>
              </w:rPr>
              <w:t>Research briefing</w:t>
            </w:r>
          </w:p>
        </w:tc>
        <w:tc>
          <w:tcPr>
            <w:tcW w:type="dxa" w:w="2520"/>
            <w:vAlign w:val="center"/>
          </w:tcPr>
          <w:p>
            <w:pPr>
              <w:spacing w:after="20"/>
            </w:pPr>
            <w:r>
              <w:rPr>
                <w:rFonts w:ascii="Aptos" w:hAnsi="Aptos"/>
                <w:sz w:val="15"/>
              </w:rPr>
              <w:t>Finding and as-of date.</w:t>
            </w:r>
          </w:p>
        </w:tc>
        <w:tc>
          <w:tcPr>
            <w:tcW w:type="dxa" w:w="2520"/>
            <w:vAlign w:val="center"/>
          </w:tcPr>
          <w:p>
            <w:pPr>
              <w:spacing w:after="20"/>
            </w:pPr>
            <w:r>
              <w:rPr>
                <w:rFonts w:ascii="Aptos" w:hAnsi="Aptos"/>
                <w:sz w:val="15"/>
              </w:rPr>
              <w:t>Evidence-first charts, sources, risk/countercase.</w:t>
            </w:r>
          </w:p>
        </w:tc>
        <w:tc>
          <w:tcPr>
            <w:tcW w:type="dxa" w:w="2520"/>
            <w:vAlign w:val="center"/>
          </w:tcPr>
          <w:p>
            <w:pPr>
              <w:spacing w:after="20"/>
            </w:pPr>
            <w:r>
              <w:rPr>
                <w:rFonts w:ascii="Aptos" w:hAnsi="Aptos"/>
                <w:sz w:val="15"/>
              </w:rPr>
              <w:t>Conclusion, assumptions, invalidation condition, sources.</w:t>
            </w:r>
          </w:p>
        </w:tc>
      </w:tr>
      <w:tr>
        <w:tc>
          <w:tcPr>
            <w:tcW w:type="dxa" w:w="2520"/>
            <w:vAlign w:val="center"/>
            <w:shd w:fill="F2F5F3"/>
          </w:tcPr>
          <w:p>
            <w:pPr>
              <w:spacing w:after="20"/>
            </w:pPr>
            <w:r>
              <w:rPr>
                <w:rFonts w:ascii="Aptos" w:hAnsi="Aptos"/>
                <w:sz w:val="15"/>
              </w:rPr>
              <w:t>Brand/launch film</w:t>
            </w:r>
          </w:p>
        </w:tc>
        <w:tc>
          <w:tcPr>
            <w:tcW w:type="dxa" w:w="2520"/>
            <w:vAlign w:val="center"/>
            <w:shd w:fill="F2F5F3"/>
          </w:tcPr>
          <w:p>
            <w:pPr>
              <w:spacing w:after="20"/>
            </w:pPr>
            <w:r>
              <w:rPr>
                <w:rFonts w:ascii="Aptos" w:hAnsi="Aptos"/>
                <w:sz w:val="15"/>
              </w:rPr>
              <w:t>Clear human/investment question.</w:t>
            </w:r>
          </w:p>
        </w:tc>
        <w:tc>
          <w:tcPr>
            <w:tcW w:type="dxa" w:w="2520"/>
            <w:vAlign w:val="center"/>
            <w:shd w:fill="F2F5F3"/>
          </w:tcPr>
          <w:p>
            <w:pPr>
              <w:spacing w:after="20"/>
            </w:pPr>
            <w:r>
              <w:rPr>
                <w:rFonts w:ascii="Aptos" w:hAnsi="Aptos"/>
                <w:sz w:val="15"/>
              </w:rPr>
              <w:t>Most expressive portal/data reveals; every effect serves narrative.</w:t>
            </w:r>
          </w:p>
        </w:tc>
        <w:tc>
          <w:tcPr>
            <w:tcW w:type="dxa" w:w="2520"/>
            <w:vAlign w:val="center"/>
            <w:shd w:fill="F2F5F3"/>
          </w:tcPr>
          <w:p>
            <w:pPr>
              <w:spacing w:after="20"/>
            </w:pPr>
            <w:r>
              <w:rPr>
                <w:rFonts w:ascii="Aptos" w:hAnsi="Aptos"/>
                <w:sz w:val="15"/>
              </w:rPr>
              <w:t>Lockup, working tagline, next action and reading time.</w:t>
            </w:r>
          </w:p>
        </w:tc>
      </w:tr>
      <w:tr>
        <w:tc>
          <w:tcPr>
            <w:tcW w:type="dxa" w:w="2520"/>
            <w:vAlign w:val="center"/>
          </w:tcPr>
          <w:p>
            <w:pPr>
              <w:spacing w:after="20"/>
            </w:pPr>
            <w:r>
              <w:rPr>
                <w:rFonts w:ascii="Aptos" w:hAnsi="Aptos"/>
                <w:sz w:val="15"/>
              </w:rPr>
              <w:t>Presentation opener</w:t>
            </w:r>
          </w:p>
        </w:tc>
        <w:tc>
          <w:tcPr>
            <w:tcW w:type="dxa" w:w="2520"/>
            <w:vAlign w:val="center"/>
          </w:tcPr>
          <w:p>
            <w:pPr>
              <w:spacing w:after="20"/>
            </w:pPr>
            <w:r>
              <w:rPr>
                <w:rFonts w:ascii="Aptos" w:hAnsi="Aptos"/>
                <w:sz w:val="15"/>
              </w:rPr>
              <w:t>Topic, presenter and purpose.</w:t>
            </w:r>
          </w:p>
        </w:tc>
        <w:tc>
          <w:tcPr>
            <w:tcW w:type="dxa" w:w="2520"/>
            <w:vAlign w:val="center"/>
          </w:tcPr>
          <w:p>
            <w:pPr>
              <w:spacing w:after="20"/>
            </w:pPr>
            <w:r>
              <w:rPr>
                <w:rFonts w:ascii="Aptos" w:hAnsi="Aptos"/>
                <w:sz w:val="15"/>
              </w:rPr>
              <w:t>Short reveal; high contrast and static fallback.</w:t>
            </w:r>
          </w:p>
        </w:tc>
        <w:tc>
          <w:tcPr>
            <w:tcW w:type="dxa" w:w="2520"/>
            <w:vAlign w:val="center"/>
          </w:tcPr>
          <w:p>
            <w:pPr>
              <w:spacing w:after="20"/>
            </w:pPr>
            <w:r>
              <w:rPr>
                <w:rFonts w:ascii="Aptos" w:hAnsi="Aptos"/>
                <w:sz w:val="15"/>
              </w:rPr>
              <w:t>Move directly into content.</w:t>
            </w:r>
          </w:p>
        </w:tc>
      </w:tr>
    </w:tbl>
    <w:p>
      <w:pPr>
        <w:spacing w:after="20"/>
      </w:pPr>
    </w:p>
    <w:p>
      <w:pPr>
        <w:pStyle w:val="Heading2"/>
      </w:pPr>
      <w:r>
        <w:t>12.1 Video narrative grammar</w:t>
      </w:r>
    </w:p>
    <w:p>
      <w:pPr>
        <w:pStyle w:val="ListNumber"/>
        <w:spacing w:after="20"/>
      </w:pPr>
      <w:r>
        <w:t>Question: what are we trying to understand?</w:t>
      </w:r>
    </w:p>
    <w:p>
      <w:pPr>
        <w:pStyle w:val="ListNumber"/>
        <w:spacing w:after="20"/>
      </w:pPr>
      <w:r>
        <w:t>Context: what must viewers know first?</w:t>
      </w:r>
    </w:p>
    <w:p>
      <w:pPr>
        <w:pStyle w:val="ListNumber"/>
        <w:spacing w:after="20"/>
      </w:pPr>
      <w:r>
        <w:t>Evidence: source, period, units and comparison.</w:t>
      </w:r>
    </w:p>
    <w:p>
      <w:pPr>
        <w:pStyle w:val="ListNumber"/>
        <w:spacing w:after="20"/>
      </w:pPr>
      <w:r>
        <w:t>Interpretation: what the evidence supports and does not.</w:t>
      </w:r>
    </w:p>
    <w:p>
      <w:pPr>
        <w:pStyle w:val="ListNumber"/>
        <w:spacing w:after="20"/>
      </w:pPr>
      <w:r>
        <w:t>Counterpoint: risk, alternative explanation or limitation.</w:t>
      </w:r>
    </w:p>
    <w:p>
      <w:pPr>
        <w:pStyle w:val="ListNumber"/>
        <w:spacing w:after="20"/>
      </w:pPr>
      <w:r>
        <w:t>Implication: what matters for understanding.</w:t>
      </w:r>
    </w:p>
    <w:p>
      <w:pPr>
        <w:pStyle w:val="ListNumber"/>
        <w:spacing w:after="20"/>
      </w:pPr>
      <w:r>
        <w:t>Watchpoint: what future evidence could change the view.</w:t>
      </w:r>
    </w:p>
    <w:p>
      <w:pPr>
        <w:pStyle w:val="ListNumber"/>
        <w:spacing w:after="20"/>
      </w:pPr>
      <w:r>
        <w:t>Source and brand close: provenance and next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Delivery</w:t>
            </w:r>
          </w:p>
        </w:tc>
        <w:tc>
          <w:tcPr>
            <w:tcW w:type="dxa" w:w="3360"/>
            <w:shd w:fill="0E3D32"/>
          </w:tcPr>
          <w:p>
            <w:r>
              <w:rPr>
                <w:b/>
                <w:color w:val="FFFFFF"/>
                <w:sz w:val="15"/>
              </w:rPr>
              <w:t>Starting master</w:t>
            </w:r>
          </w:p>
        </w:tc>
        <w:tc>
          <w:tcPr>
            <w:tcW w:type="dxa" w:w="3360"/>
            <w:shd w:fill="0E3D32"/>
          </w:tcPr>
          <w:p>
            <w:r>
              <w:rPr>
                <w:b/>
                <w:color w:val="FFFFFF"/>
                <w:sz w:val="15"/>
              </w:rPr>
              <w:t>Rule</w:t>
            </w:r>
          </w:p>
        </w:tc>
      </w:tr>
      <w:tr>
        <w:tc>
          <w:tcPr>
            <w:tcW w:type="dxa" w:w="3360"/>
            <w:vAlign w:val="center"/>
          </w:tcPr>
          <w:p>
            <w:pPr>
              <w:spacing w:after="20"/>
            </w:pPr>
            <w:r>
              <w:rPr>
                <w:rFonts w:ascii="Aptos" w:hAnsi="Aptos"/>
                <w:sz w:val="15"/>
              </w:rPr>
              <w:t>General web/brand</w:t>
            </w:r>
          </w:p>
        </w:tc>
        <w:tc>
          <w:tcPr>
            <w:tcW w:type="dxa" w:w="3360"/>
            <w:vAlign w:val="center"/>
          </w:tcPr>
          <w:p>
            <w:pPr>
              <w:spacing w:after="20"/>
            </w:pPr>
            <w:r>
              <w:rPr>
                <w:rFonts w:ascii="Aptos" w:hAnsi="Aptos"/>
                <w:sz w:val="15"/>
              </w:rPr>
              <w:t>Choose 24 or 25 fps based on capture/distribution.</w:t>
            </w:r>
          </w:p>
        </w:tc>
        <w:tc>
          <w:tcPr>
            <w:tcW w:type="dxa" w:w="3360"/>
            <w:vAlign w:val="center"/>
          </w:tcPr>
          <w:p>
            <w:pPr>
              <w:spacing w:after="20"/>
            </w:pPr>
            <w:r>
              <w:rPr>
                <w:rFonts w:ascii="Aptos" w:hAnsi="Aptos"/>
                <w:sz w:val="15"/>
              </w:rPr>
              <w:t>Decide per production; do not casually mix.</w:t>
            </w:r>
          </w:p>
        </w:tc>
      </w:tr>
      <w:tr>
        <w:tc>
          <w:tcPr>
            <w:tcW w:type="dxa" w:w="3360"/>
            <w:vAlign w:val="center"/>
            <w:shd w:fill="F2F5F3"/>
          </w:tcPr>
          <w:p>
            <w:pPr>
              <w:spacing w:after="20"/>
            </w:pPr>
            <w:r>
              <w:rPr>
                <w:rFonts w:ascii="Aptos" w:hAnsi="Aptos"/>
                <w:sz w:val="15"/>
              </w:rPr>
              <w:t>Talking head/explainer</w:t>
            </w:r>
          </w:p>
        </w:tc>
        <w:tc>
          <w:tcPr>
            <w:tcW w:type="dxa" w:w="3360"/>
            <w:vAlign w:val="center"/>
            <w:shd w:fill="F2F5F3"/>
          </w:tcPr>
          <w:p>
            <w:pPr>
              <w:spacing w:after="20"/>
            </w:pPr>
            <w:r>
              <w:rPr>
                <w:rFonts w:ascii="Aptos" w:hAnsi="Aptos"/>
                <w:sz w:val="15"/>
              </w:rPr>
              <w:t>25 or 30 fps; match capture where practical.</w:t>
            </w:r>
          </w:p>
        </w:tc>
        <w:tc>
          <w:tcPr>
            <w:tcW w:type="dxa" w:w="3360"/>
            <w:vAlign w:val="center"/>
            <w:shd w:fill="F2F5F3"/>
          </w:tcPr>
          <w:p>
            <w:pPr>
              <w:spacing w:after="20"/>
            </w:pPr>
            <w:r>
              <w:rPr>
                <w:rFonts w:ascii="Aptos" w:hAnsi="Aptos"/>
                <w:sz w:val="15"/>
              </w:rPr>
              <w:t>Prioritise clear gestures and screen recording.</w:t>
            </w:r>
          </w:p>
        </w:tc>
      </w:tr>
      <w:tr>
        <w:tc>
          <w:tcPr>
            <w:tcW w:type="dxa" w:w="3360"/>
            <w:vAlign w:val="center"/>
          </w:tcPr>
          <w:p>
            <w:pPr>
              <w:spacing w:after="20"/>
            </w:pPr>
            <w:r>
              <w:rPr>
                <w:rFonts w:ascii="Aptos" w:hAnsi="Aptos"/>
                <w:sz w:val="15"/>
              </w:rPr>
              <w:t>Product demo</w:t>
            </w:r>
          </w:p>
        </w:tc>
        <w:tc>
          <w:tcPr>
            <w:tcW w:type="dxa" w:w="3360"/>
            <w:vAlign w:val="center"/>
          </w:tcPr>
          <w:p>
            <w:pPr>
              <w:spacing w:after="20"/>
            </w:pPr>
            <w:r>
              <w:rPr>
                <w:rFonts w:ascii="Aptos" w:hAnsi="Aptos"/>
                <w:sz w:val="15"/>
              </w:rPr>
              <w:t>30 fps where native, otherwise match capture.</w:t>
            </w:r>
          </w:p>
        </w:tc>
        <w:tc>
          <w:tcPr>
            <w:tcW w:type="dxa" w:w="3360"/>
            <w:vAlign w:val="center"/>
          </w:tcPr>
          <w:p>
            <w:pPr>
              <w:spacing w:after="20"/>
            </w:pPr>
            <w:r>
              <w:rPr>
                <w:rFonts w:ascii="Aptos" w:hAnsi="Aptos"/>
                <w:sz w:val="15"/>
              </w:rPr>
              <w:t>Keep cursor clear; avoid artificial motion blur.</w:t>
            </w:r>
          </w:p>
        </w:tc>
      </w:tr>
      <w:tr>
        <w:tc>
          <w:tcPr>
            <w:tcW w:type="dxa" w:w="3360"/>
            <w:vAlign w:val="center"/>
            <w:shd w:fill="F2F5F3"/>
          </w:tcPr>
          <w:p>
            <w:pPr>
              <w:spacing w:after="20"/>
            </w:pPr>
            <w:r>
              <w:rPr>
                <w:rFonts w:ascii="Aptos" w:hAnsi="Aptos"/>
                <w:sz w:val="15"/>
              </w:rPr>
              <w:t>Slow motion</w:t>
            </w:r>
          </w:p>
        </w:tc>
        <w:tc>
          <w:tcPr>
            <w:tcW w:type="dxa" w:w="3360"/>
            <w:vAlign w:val="center"/>
            <w:shd w:fill="F2F5F3"/>
          </w:tcPr>
          <w:p>
            <w:pPr>
              <w:spacing w:after="20"/>
            </w:pPr>
            <w:r>
              <w:rPr>
                <w:rFonts w:ascii="Aptos" w:hAnsi="Aptos"/>
                <w:sz w:val="15"/>
              </w:rPr>
              <w:t>50/60 fps capture on 25/30 timeline only when useful.</w:t>
            </w:r>
          </w:p>
        </w:tc>
        <w:tc>
          <w:tcPr>
            <w:tcW w:type="dxa" w:w="3360"/>
            <w:vAlign w:val="center"/>
            <w:shd w:fill="F2F5F3"/>
          </w:tcPr>
          <w:p>
            <w:pPr>
              <w:spacing w:after="20"/>
            </w:pPr>
            <w:r>
              <w:rPr>
                <w:rFonts w:ascii="Aptos" w:hAnsi="Aptos"/>
                <w:sz w:val="15"/>
              </w:rPr>
              <w:t>Do not shoot everything high frame rate.</w:t>
            </w:r>
          </w:p>
        </w:tc>
      </w:tr>
      <w:tr>
        <w:tc>
          <w:tcPr>
            <w:tcW w:type="dxa" w:w="3360"/>
            <w:vAlign w:val="center"/>
          </w:tcPr>
          <w:p>
            <w:pPr>
              <w:spacing w:after="20"/>
            </w:pPr>
            <w:r>
              <w:rPr>
                <w:rFonts w:ascii="Aptos" w:hAnsi="Aptos"/>
                <w:sz w:val="15"/>
              </w:rPr>
              <w:t>Vertical</w:t>
            </w:r>
          </w:p>
        </w:tc>
        <w:tc>
          <w:tcPr>
            <w:tcW w:type="dxa" w:w="3360"/>
            <w:vAlign w:val="center"/>
          </w:tcPr>
          <w:p>
            <w:pPr>
              <w:spacing w:after="20"/>
            </w:pPr>
            <w:r>
              <w:rPr>
                <w:rFonts w:ascii="Aptos" w:hAnsi="Aptos"/>
                <w:sz w:val="15"/>
              </w:rPr>
              <w:t>1080 × 1920.</w:t>
            </w:r>
          </w:p>
        </w:tc>
        <w:tc>
          <w:tcPr>
            <w:tcW w:type="dxa" w:w="3360"/>
            <w:vAlign w:val="center"/>
          </w:tcPr>
          <w:p>
            <w:pPr>
              <w:spacing w:after="20"/>
            </w:pPr>
            <w:r>
              <w:rPr>
                <w:rFonts w:ascii="Aptos" w:hAnsi="Aptos"/>
                <w:sz w:val="15"/>
              </w:rPr>
              <w:t>Keep text/charts/logo within current safe areas.</w:t>
            </w:r>
          </w:p>
        </w:tc>
      </w:tr>
      <w:tr>
        <w:tc>
          <w:tcPr>
            <w:tcW w:type="dxa" w:w="3360"/>
            <w:vAlign w:val="center"/>
            <w:shd w:fill="F2F5F3"/>
          </w:tcPr>
          <w:p>
            <w:pPr>
              <w:spacing w:after="20"/>
            </w:pPr>
            <w:r>
              <w:rPr>
                <w:rFonts w:ascii="Aptos" w:hAnsi="Aptos"/>
                <w:sz w:val="15"/>
              </w:rPr>
              <w:t>Portrait</w:t>
            </w:r>
          </w:p>
        </w:tc>
        <w:tc>
          <w:tcPr>
            <w:tcW w:type="dxa" w:w="3360"/>
            <w:vAlign w:val="center"/>
            <w:shd w:fill="F2F5F3"/>
          </w:tcPr>
          <w:p>
            <w:pPr>
              <w:spacing w:after="20"/>
            </w:pPr>
            <w:r>
              <w:rPr>
                <w:rFonts w:ascii="Aptos" w:hAnsi="Aptos"/>
                <w:sz w:val="15"/>
              </w:rPr>
              <w:t>1080 × 1350.</w:t>
            </w:r>
          </w:p>
        </w:tc>
        <w:tc>
          <w:tcPr>
            <w:tcW w:type="dxa" w:w="3360"/>
            <w:vAlign w:val="center"/>
            <w:shd w:fill="F2F5F3"/>
          </w:tcPr>
          <w:p>
            <w:pPr>
              <w:spacing w:after="20"/>
            </w:pPr>
            <w:r>
              <w:rPr>
                <w:rFonts w:ascii="Aptos" w:hAnsi="Aptos"/>
                <w:sz w:val="15"/>
              </w:rPr>
              <w:t>Check platform crop after upload.</w:t>
            </w:r>
          </w:p>
        </w:tc>
      </w:tr>
      <w:tr>
        <w:tc>
          <w:tcPr>
            <w:tcW w:type="dxa" w:w="3360"/>
            <w:vAlign w:val="center"/>
          </w:tcPr>
          <w:p>
            <w:pPr>
              <w:spacing w:after="20"/>
            </w:pPr>
            <w:r>
              <w:rPr>
                <w:rFonts w:ascii="Aptos" w:hAnsi="Aptos"/>
                <w:sz w:val="15"/>
              </w:rPr>
              <w:t>Landscape</w:t>
            </w:r>
          </w:p>
        </w:tc>
        <w:tc>
          <w:tcPr>
            <w:tcW w:type="dxa" w:w="3360"/>
            <w:vAlign w:val="center"/>
          </w:tcPr>
          <w:p>
            <w:pPr>
              <w:spacing w:after="20"/>
            </w:pPr>
            <w:r>
              <w:rPr>
                <w:rFonts w:ascii="Aptos" w:hAnsi="Aptos"/>
                <w:sz w:val="15"/>
              </w:rPr>
              <w:t>1920 × 1080.</w:t>
            </w:r>
          </w:p>
        </w:tc>
        <w:tc>
          <w:tcPr>
            <w:tcW w:type="dxa" w:w="3360"/>
            <w:vAlign w:val="center"/>
          </w:tcPr>
          <w:p>
            <w:pPr>
              <w:spacing w:after="20"/>
            </w:pPr>
            <w:r>
              <w:rPr>
                <w:rFonts w:ascii="Aptos" w:hAnsi="Aptos"/>
                <w:sz w:val="15"/>
              </w:rPr>
              <w:t>Test source and chart readability on mobile.</w:t>
            </w:r>
          </w:p>
        </w:tc>
      </w:tr>
      <w:tr>
        <w:tc>
          <w:tcPr>
            <w:tcW w:type="dxa" w:w="3360"/>
            <w:vAlign w:val="center"/>
            <w:shd w:fill="F2F5F3"/>
          </w:tcPr>
          <w:p>
            <w:pPr>
              <w:spacing w:after="20"/>
            </w:pPr>
            <w:r>
              <w:rPr>
                <w:rFonts w:ascii="Aptos" w:hAnsi="Aptos"/>
                <w:sz w:val="15"/>
              </w:rPr>
              <w:t>Square</w:t>
            </w:r>
          </w:p>
        </w:tc>
        <w:tc>
          <w:tcPr>
            <w:tcW w:type="dxa" w:w="3360"/>
            <w:vAlign w:val="center"/>
            <w:shd w:fill="F2F5F3"/>
          </w:tcPr>
          <w:p>
            <w:pPr>
              <w:spacing w:after="20"/>
            </w:pPr>
            <w:r>
              <w:rPr>
                <w:rFonts w:ascii="Aptos" w:hAnsi="Aptos"/>
                <w:sz w:val="15"/>
              </w:rPr>
              <w:t>1080 × 1080 if needed.</w:t>
            </w:r>
          </w:p>
        </w:tc>
        <w:tc>
          <w:tcPr>
            <w:tcW w:type="dxa" w:w="3360"/>
            <w:vAlign w:val="center"/>
            <w:shd w:fill="F2F5F3"/>
          </w:tcPr>
          <w:p>
            <w:pPr>
              <w:spacing w:after="20"/>
            </w:pPr>
            <w:r>
              <w:rPr>
                <w:rFonts w:ascii="Aptos" w:hAnsi="Aptos"/>
                <w:sz w:val="15"/>
              </w:rPr>
              <w:t>Recompose, do not merely crop another master.</w:t>
            </w:r>
          </w:p>
        </w:tc>
      </w:tr>
    </w:tbl>
    <w:p>
      <w:pPr>
        <w:spacing w:after="20"/>
      </w:pPr>
    </w:p>
    <w:p>
      <w:pPr>
        <w:pStyle w:val="Caption"/>
      </w:pPr>
      <w:r>
        <w:rPr>
          <w:b w:val="0"/>
        </w:rPr>
        <w:t>These are working master sizes, not guarantees of current platform rules. Check current upload, caption, safe-area and duration specifications before release.</w:t>
      </w:r>
    </w:p>
    <w:p>
      <w:pPr>
        <w:pStyle w:val="Heading2"/>
      </w:pPr>
      <w:r>
        <w:t>12.2 Captions, language and sound</w:t>
      </w:r>
    </w:p>
    <w:p>
      <w:pPr>
        <w:pStyle w:val="ListBullet"/>
        <w:spacing w:after="20"/>
      </w:pPr>
      <w:r>
        <w:t>Provide accurate captions for speech and meaningful non-speech audio; review speaker attribution.</w:t>
      </w:r>
    </w:p>
    <w:p>
      <w:pPr>
        <w:pStyle w:val="ListBullet"/>
        <w:spacing w:after="20"/>
      </w:pPr>
      <w:r>
        <w:t>Deliver subtitle/caption files plus burned-in versions only where useful or required. Never rely on auto-captions without human review.</w:t>
      </w:r>
    </w:p>
    <w:p>
      <w:pPr>
        <w:pStyle w:val="ListBullet"/>
        <w:spacing w:after="20"/>
      </w:pPr>
      <w:r>
        <w:t>Keep captions clear of platform controls and chart labels; check every aspect ratio.</w:t>
      </w:r>
    </w:p>
    <w:p>
      <w:pPr>
        <w:pStyle w:val="ListBullet"/>
        <w:spacing w:after="20"/>
      </w:pPr>
      <w:r>
        <w:t>Dubbed versions need timing and line-length adaptation, not mechanical reuse of original subtitle timing. Keep names, numbers, dates, units and financial terms consistent with the source script.</w:t>
      </w:r>
    </w:p>
    <w:p>
      <w:pPr>
        <w:pStyle w:val="ListBullet"/>
        <w:spacing w:after="20"/>
      </w:pPr>
      <w:r>
        <w:t>Provide transcripts and source references for longer educational/research videos.</w:t>
      </w:r>
    </w:p>
    <w:p>
      <w:pPr>
        <w:pStyle w:val="ListBullet"/>
        <w:spacing w:after="20"/>
      </w:pPr>
      <w:r>
        <w:t>Voice and explanation outrank music. Music should support concentration, not signal unjustified urgency or certainty. Test on mobile, headphones, low volume and mono.</w:t>
      </w:r>
    </w:p>
    <w:p>
      <w:pPr>
        <w:pStyle w:val="ListBullet"/>
        <w:spacing w:after="20"/>
      </w:pPr>
      <w:r>
        <w:t>Sonic logo is optional and not approved. If explored, keep it short and quiet, linked to perspective rather than a generic fintech chime. Never autoplay audio in product/web loops.</w:t>
      </w:r>
    </w:p>
    <w:p>
      <w:pPr>
        <w:pStyle w:val="Heading2"/>
      </w:pPr>
      <w:r>
        <w:t>12.3 Video delivery package</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Deliverable</w:t>
            </w:r>
          </w:p>
        </w:tc>
        <w:tc>
          <w:tcPr>
            <w:tcW w:type="dxa" w:w="5040"/>
            <w:shd w:fill="0E3D32"/>
          </w:tcPr>
          <w:p>
            <w:r>
              <w:rPr>
                <w:b/>
                <w:color w:val="FFFFFF"/>
                <w:sz w:val="15"/>
              </w:rPr>
              <w:t>Requirement</w:t>
            </w:r>
          </w:p>
        </w:tc>
      </w:tr>
      <w:tr>
        <w:tc>
          <w:tcPr>
            <w:tcW w:type="dxa" w:w="5040"/>
            <w:vAlign w:val="center"/>
          </w:tcPr>
          <w:p>
            <w:pPr>
              <w:spacing w:after="20"/>
            </w:pPr>
            <w:r>
              <w:rPr>
                <w:rFonts w:ascii="Aptos" w:hAnsi="Aptos"/>
                <w:sz w:val="15"/>
              </w:rPr>
              <w:t>Master</w:t>
            </w:r>
          </w:p>
        </w:tc>
        <w:tc>
          <w:tcPr>
            <w:tcW w:type="dxa" w:w="5040"/>
            <w:vAlign w:val="center"/>
          </w:tcPr>
          <w:p>
            <w:pPr>
              <w:spacing w:after="20"/>
            </w:pPr>
            <w:r>
              <w:rPr>
                <w:rFonts w:ascii="Aptos" w:hAnsi="Aptos"/>
                <w:sz w:val="15"/>
              </w:rPr>
              <w:t>High-quality master plus agreed project/source files.</w:t>
            </w:r>
          </w:p>
        </w:tc>
      </w:tr>
      <w:tr>
        <w:tc>
          <w:tcPr>
            <w:tcW w:type="dxa" w:w="5040"/>
            <w:vAlign w:val="center"/>
            <w:shd w:fill="F2F5F3"/>
          </w:tcPr>
          <w:p>
            <w:pPr>
              <w:spacing w:after="20"/>
            </w:pPr>
            <w:r>
              <w:rPr>
                <w:rFonts w:ascii="Aptos" w:hAnsi="Aptos"/>
                <w:sz w:val="15"/>
              </w:rPr>
              <w:t>Platform exports</w:t>
            </w:r>
          </w:p>
        </w:tc>
        <w:tc>
          <w:tcPr>
            <w:tcW w:type="dxa" w:w="5040"/>
            <w:vAlign w:val="center"/>
            <w:shd w:fill="F2F5F3"/>
          </w:tcPr>
          <w:p>
            <w:pPr>
              <w:spacing w:after="20"/>
            </w:pPr>
            <w:r>
              <w:rPr>
                <w:rFonts w:ascii="Aptos" w:hAnsi="Aptos"/>
                <w:sz w:val="15"/>
              </w:rPr>
              <w:t>Approved aspect ratios, resolutions, codecs and audio settings.</w:t>
            </w:r>
          </w:p>
        </w:tc>
      </w:tr>
      <w:tr>
        <w:tc>
          <w:tcPr>
            <w:tcW w:type="dxa" w:w="5040"/>
            <w:vAlign w:val="center"/>
          </w:tcPr>
          <w:p>
            <w:pPr>
              <w:spacing w:after="20"/>
            </w:pPr>
            <w:r>
              <w:rPr>
                <w:rFonts w:ascii="Aptos" w:hAnsi="Aptos"/>
                <w:sz w:val="15"/>
              </w:rPr>
              <w:t>Captions</w:t>
            </w:r>
          </w:p>
        </w:tc>
        <w:tc>
          <w:tcPr>
            <w:tcW w:type="dxa" w:w="5040"/>
            <w:vAlign w:val="center"/>
          </w:tcPr>
          <w:p>
            <w:pPr>
              <w:spacing w:after="20"/>
            </w:pPr>
            <w:r>
              <w:rPr>
                <w:rFonts w:ascii="Aptos" w:hAnsi="Aptos"/>
                <w:sz w:val="15"/>
              </w:rPr>
              <w:t>Reviewed caption/subtitle files; burned-in version if required.</w:t>
            </w:r>
          </w:p>
        </w:tc>
      </w:tr>
      <w:tr>
        <w:tc>
          <w:tcPr>
            <w:tcW w:type="dxa" w:w="5040"/>
            <w:vAlign w:val="center"/>
            <w:shd w:fill="F2F5F3"/>
          </w:tcPr>
          <w:p>
            <w:pPr>
              <w:spacing w:after="20"/>
            </w:pPr>
            <w:r>
              <w:rPr>
                <w:rFonts w:ascii="Aptos" w:hAnsi="Aptos"/>
                <w:sz w:val="15"/>
              </w:rPr>
              <w:t>Transcript/source notes</w:t>
            </w:r>
          </w:p>
        </w:tc>
        <w:tc>
          <w:tcPr>
            <w:tcW w:type="dxa" w:w="5040"/>
            <w:vAlign w:val="center"/>
            <w:shd w:fill="F2F5F3"/>
          </w:tcPr>
          <w:p>
            <w:pPr>
              <w:spacing w:after="20"/>
            </w:pPr>
            <w:r>
              <w:rPr>
                <w:rFonts w:ascii="Aptos" w:hAnsi="Aptos"/>
                <w:sz w:val="15"/>
              </w:rPr>
              <w:t>Long-form transcript; source, as-of dates and assumptions available to publisher.</w:t>
            </w:r>
          </w:p>
        </w:tc>
      </w:tr>
      <w:tr>
        <w:tc>
          <w:tcPr>
            <w:tcW w:type="dxa" w:w="5040"/>
            <w:vAlign w:val="center"/>
          </w:tcPr>
          <w:p>
            <w:pPr>
              <w:spacing w:after="20"/>
            </w:pPr>
            <w:r>
              <w:rPr>
                <w:rFonts w:ascii="Aptos" w:hAnsi="Aptos"/>
                <w:sz w:val="15"/>
              </w:rPr>
              <w:t>Poster/still</w:t>
            </w:r>
          </w:p>
        </w:tc>
        <w:tc>
          <w:tcPr>
            <w:tcW w:type="dxa" w:w="5040"/>
            <w:vAlign w:val="center"/>
          </w:tcPr>
          <w:p>
            <w:pPr>
              <w:spacing w:after="20"/>
            </w:pPr>
            <w:r>
              <w:rPr>
                <w:rFonts w:ascii="Aptos" w:hAnsi="Aptos"/>
                <w:sz w:val="15"/>
              </w:rPr>
              <w:t>Static fallback for reduced motion, slow networks and preview.</w:t>
            </w:r>
          </w:p>
        </w:tc>
      </w:tr>
      <w:tr>
        <w:tc>
          <w:tcPr>
            <w:tcW w:type="dxa" w:w="5040"/>
            <w:vAlign w:val="center"/>
            <w:shd w:fill="F2F5F3"/>
          </w:tcPr>
          <w:p>
            <w:pPr>
              <w:spacing w:after="20"/>
            </w:pPr>
            <w:r>
              <w:rPr>
                <w:rFonts w:ascii="Aptos" w:hAnsi="Aptos"/>
                <w:sz w:val="15"/>
              </w:rPr>
              <w:t>Localised versions</w:t>
            </w:r>
          </w:p>
        </w:tc>
        <w:tc>
          <w:tcPr>
            <w:tcW w:type="dxa" w:w="5040"/>
            <w:vAlign w:val="center"/>
            <w:shd w:fill="F2F5F3"/>
          </w:tcPr>
          <w:p>
            <w:pPr>
              <w:spacing w:after="20"/>
            </w:pPr>
            <w:r>
              <w:rPr>
                <w:rFonts w:ascii="Aptos" w:hAnsi="Aptos"/>
                <w:sz w:val="15"/>
              </w:rPr>
              <w:t>Language-labelled exports, captions, voice tracks and reviewed on-screen text.</w:t>
            </w:r>
          </w:p>
        </w:tc>
      </w:tr>
      <w:tr>
        <w:tc>
          <w:tcPr>
            <w:tcW w:type="dxa" w:w="5040"/>
            <w:vAlign w:val="center"/>
          </w:tcPr>
          <w:p>
            <w:pPr>
              <w:spacing w:after="20"/>
            </w:pPr>
            <w:r>
              <w:rPr>
                <w:rFonts w:ascii="Aptos" w:hAnsi="Aptos"/>
                <w:sz w:val="15"/>
              </w:rPr>
              <w:t>Project handoff</w:t>
            </w:r>
          </w:p>
        </w:tc>
        <w:tc>
          <w:tcPr>
            <w:tcW w:type="dxa" w:w="5040"/>
            <w:vAlign w:val="center"/>
          </w:tcPr>
          <w:p>
            <w:pPr>
              <w:spacing w:after="20"/>
            </w:pPr>
            <w:r>
              <w:rPr>
                <w:rFonts w:ascii="Aptos" w:hAnsi="Aptos"/>
                <w:sz w:val="15"/>
              </w:rPr>
              <w:t>Fonts/licences, linked assets, motion notes, software/version and export settings.</w:t>
            </w:r>
          </w:p>
        </w:tc>
      </w:tr>
    </w:tbl>
    <w:p>
      <w:pPr>
        <w:spacing w:after="20"/>
      </w:pPr>
    </w:p>
    <w:p>
      <w:pPr>
        <w:pStyle w:val="Heading1"/>
      </w:pPr>
      <w:r>
        <w:t>13. Accessibility and performance</w:t>
      </w:r>
    </w:p>
    <w:p>
      <w:pPr>
        <w:pStyle w:val="ListBullet"/>
        <w:spacing w:after="20"/>
      </w:pPr>
      <w:r>
        <w:t>Do not communicate meaning through colour alone. Add labels, shapes, line styles or text.</w:t>
      </w:r>
    </w:p>
    <w:p>
      <w:pPr>
        <w:pStyle w:val="ListBullet"/>
        <w:spacing w:after="20"/>
      </w:pPr>
      <w:r>
        <w:t>Provide visible keyboard focus, logical focus order and appropriate accessible names.</w:t>
      </w:r>
    </w:p>
    <w:p>
      <w:pPr>
        <w:pStyle w:val="ListBullet"/>
        <w:spacing w:after="20"/>
      </w:pPr>
      <w:r>
        <w:t>Respect reduced motion; avoid continuous decorative movement, flashing and rapid high-contrast changes.</w:t>
      </w:r>
    </w:p>
    <w:p>
      <w:pPr>
        <w:pStyle w:val="ListBullet"/>
        <w:spacing w:after="20"/>
      </w:pPr>
      <w:r>
        <w:t>Caption/transcribe video and provide text alternatives for meaningful visual information. Decorative images should not create redundant screen-reader content.</w:t>
      </w:r>
    </w:p>
    <w:p>
      <w:pPr>
        <w:pStyle w:val="ListBullet"/>
        <w:spacing w:after="20"/>
      </w:pPr>
      <w:r>
        <w:t>Test contrast in both themes, including focus, disabled states, chart labels and data series.</w:t>
      </w:r>
    </w:p>
    <w:p>
      <w:pPr>
        <w:pStyle w:val="ListBullet"/>
        <w:spacing w:after="20"/>
      </w:pPr>
      <w:r>
        <w:t>Choose SVG/CSS/Lottie/video based on complexity, platform and accessibility, not fashion. Provide static fallback.</w:t>
      </w:r>
    </w:p>
    <w:p>
      <w:pPr>
        <w:pStyle w:val="ListBullet"/>
        <w:spacing w:after="20"/>
      </w:pPr>
      <w:r>
        <w:t>Test on a representative low-powered mobile device and constrained network. Optimise without sacrificing fine chart lines or source-note legibility.</w:t>
      </w:r>
    </w:p>
    <w:p>
      <w:pPr>
        <w:pStyle w:val="Heading1"/>
      </w:pPr>
      <w:r>
        <w:t>14. Asset library and governance</w:t>
      </w: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Folder</w:t>
            </w:r>
          </w:p>
        </w:tc>
        <w:tc>
          <w:tcPr>
            <w:tcW w:type="dxa" w:w="5040"/>
            <w:shd w:fill="0E3D32"/>
          </w:tcPr>
          <w:p>
            <w:r>
              <w:rPr>
                <w:b/>
                <w:color w:val="FFFFFF"/>
                <w:sz w:val="15"/>
              </w:rPr>
              <w:t>Contents / governance</w:t>
            </w:r>
          </w:p>
        </w:tc>
      </w:tr>
      <w:tr>
        <w:tc>
          <w:tcPr>
            <w:tcW w:type="dxa" w:w="5040"/>
            <w:vAlign w:val="center"/>
          </w:tcPr>
          <w:p>
            <w:pPr>
              <w:spacing w:after="20"/>
            </w:pPr>
            <w:r>
              <w:rPr>
                <w:rFonts w:ascii="Aptos" w:hAnsi="Aptos"/>
                <w:sz w:val="15"/>
              </w:rPr>
              <w:t>01_Logos</w:t>
            </w:r>
          </w:p>
        </w:tc>
        <w:tc>
          <w:tcPr>
            <w:tcW w:type="dxa" w:w="5040"/>
            <w:vAlign w:val="center"/>
          </w:tcPr>
          <w:p>
            <w:pPr>
              <w:spacing w:after="20"/>
            </w:pPr>
            <w:r>
              <w:rPr>
                <w:rFonts w:ascii="Aptos" w:hAnsi="Aptos"/>
                <w:sz w:val="15"/>
              </w:rPr>
              <w:t>Approved SVG/PDF/PNG; horizontal, stacked, flat, dimensional, mono and reverse. Masters only.</w:t>
            </w:r>
          </w:p>
        </w:tc>
      </w:tr>
      <w:tr>
        <w:tc>
          <w:tcPr>
            <w:tcW w:type="dxa" w:w="5040"/>
            <w:vAlign w:val="center"/>
            <w:shd w:fill="F2F5F3"/>
          </w:tcPr>
          <w:p>
            <w:pPr>
              <w:spacing w:after="20"/>
            </w:pPr>
            <w:r>
              <w:rPr>
                <w:rFonts w:ascii="Aptos" w:hAnsi="Aptos"/>
                <w:sz w:val="15"/>
              </w:rPr>
              <w:t>02_Tokens</w:t>
            </w:r>
          </w:p>
        </w:tc>
        <w:tc>
          <w:tcPr>
            <w:tcW w:type="dxa" w:w="5040"/>
            <w:vAlign w:val="center"/>
            <w:shd w:fill="F2F5F3"/>
          </w:tcPr>
          <w:p>
            <w:pPr>
              <w:spacing w:after="20"/>
            </w:pPr>
            <w:r>
              <w:rPr>
                <w:rFonts w:ascii="Aptos" w:hAnsi="Aptos"/>
                <w:sz w:val="15"/>
              </w:rPr>
              <w:t>Colour, type, spacing, radii, breakpoints, semantic UI and motion; version-controlled with product code.</w:t>
            </w:r>
          </w:p>
        </w:tc>
      </w:tr>
      <w:tr>
        <w:tc>
          <w:tcPr>
            <w:tcW w:type="dxa" w:w="5040"/>
            <w:vAlign w:val="center"/>
          </w:tcPr>
          <w:p>
            <w:pPr>
              <w:spacing w:after="20"/>
            </w:pPr>
            <w:r>
              <w:rPr>
                <w:rFonts w:ascii="Aptos" w:hAnsi="Aptos"/>
                <w:sz w:val="15"/>
              </w:rPr>
              <w:t>03_Icons</w:t>
            </w:r>
          </w:p>
        </w:tc>
        <w:tc>
          <w:tcPr>
            <w:tcW w:type="dxa" w:w="5040"/>
            <w:vAlign w:val="center"/>
          </w:tcPr>
          <w:p>
            <w:pPr>
              <w:spacing w:after="20"/>
            </w:pPr>
            <w:r>
              <w:rPr>
                <w:rFonts w:ascii="Aptos" w:hAnsi="Aptos"/>
                <w:sz w:val="15"/>
              </w:rPr>
              <w:t>Canonical vectors, exports, labels, grid/stroke specs; one source of truth.</w:t>
            </w:r>
          </w:p>
        </w:tc>
      </w:tr>
      <w:tr>
        <w:tc>
          <w:tcPr>
            <w:tcW w:type="dxa" w:w="5040"/>
            <w:vAlign w:val="center"/>
            <w:shd w:fill="F2F5F3"/>
          </w:tcPr>
          <w:p>
            <w:pPr>
              <w:spacing w:after="20"/>
            </w:pPr>
            <w:r>
              <w:rPr>
                <w:rFonts w:ascii="Aptos" w:hAnsi="Aptos"/>
                <w:sz w:val="15"/>
              </w:rPr>
              <w:t>04_Graphics</w:t>
            </w:r>
          </w:p>
        </w:tc>
        <w:tc>
          <w:tcPr>
            <w:tcW w:type="dxa" w:w="5040"/>
            <w:vAlign w:val="center"/>
            <w:shd w:fill="F2F5F3"/>
          </w:tcPr>
          <w:p>
            <w:pPr>
              <w:spacing w:after="20"/>
            </w:pPr>
            <w:r>
              <w:rPr>
                <w:rFonts w:ascii="Aptos" w:hAnsi="Aptos"/>
                <w:sz w:val="15"/>
              </w:rPr>
              <w:t>Portal forms, masks, patterns, chart annotations; function-based naming.</w:t>
            </w:r>
          </w:p>
        </w:tc>
      </w:tr>
      <w:tr>
        <w:tc>
          <w:tcPr>
            <w:tcW w:type="dxa" w:w="5040"/>
            <w:vAlign w:val="center"/>
          </w:tcPr>
          <w:p>
            <w:pPr>
              <w:spacing w:after="20"/>
            </w:pPr>
            <w:r>
              <w:rPr>
                <w:rFonts w:ascii="Aptos" w:hAnsi="Aptos"/>
                <w:sz w:val="15"/>
              </w:rPr>
              <w:t>05_Photo_Video</w:t>
            </w:r>
          </w:p>
        </w:tc>
        <w:tc>
          <w:tcPr>
            <w:tcW w:type="dxa" w:w="5040"/>
            <w:vAlign w:val="center"/>
          </w:tcPr>
          <w:p>
            <w:pPr>
              <w:spacing w:after="20"/>
            </w:pPr>
            <w:r>
              <w:rPr>
                <w:rFonts w:ascii="Aptos" w:hAnsi="Aptos"/>
                <w:sz w:val="15"/>
              </w:rPr>
              <w:t>Licensed originals, selects, footage, crops, releases, usage scope and expiry.</w:t>
            </w:r>
          </w:p>
        </w:tc>
      </w:tr>
      <w:tr>
        <w:tc>
          <w:tcPr>
            <w:tcW w:type="dxa" w:w="5040"/>
            <w:vAlign w:val="center"/>
            <w:shd w:fill="F2F5F3"/>
          </w:tcPr>
          <w:p>
            <w:pPr>
              <w:spacing w:after="20"/>
            </w:pPr>
            <w:r>
              <w:rPr>
                <w:rFonts w:ascii="Aptos" w:hAnsi="Aptos"/>
                <w:sz w:val="15"/>
              </w:rPr>
              <w:t>06_Templates</w:t>
            </w:r>
          </w:p>
        </w:tc>
        <w:tc>
          <w:tcPr>
            <w:tcW w:type="dxa" w:w="5040"/>
            <w:vAlign w:val="center"/>
            <w:shd w:fill="F2F5F3"/>
          </w:tcPr>
          <w:p>
            <w:pPr>
              <w:spacing w:after="20"/>
            </w:pPr>
            <w:r>
              <w:rPr>
                <w:rFonts w:ascii="Aptos" w:hAnsi="Aptos"/>
                <w:sz w:val="15"/>
              </w:rPr>
              <w:t>Reports, social, slides, newsletter, video cards/lower thirds; editable content zones.</w:t>
            </w:r>
          </w:p>
        </w:tc>
      </w:tr>
      <w:tr>
        <w:tc>
          <w:tcPr>
            <w:tcW w:type="dxa" w:w="5040"/>
            <w:vAlign w:val="center"/>
          </w:tcPr>
          <w:p>
            <w:pPr>
              <w:spacing w:after="20"/>
            </w:pPr>
            <w:r>
              <w:rPr>
                <w:rFonts w:ascii="Aptos" w:hAnsi="Aptos"/>
                <w:sz w:val="15"/>
              </w:rPr>
              <w:t>07_Motion</w:t>
            </w:r>
          </w:p>
        </w:tc>
        <w:tc>
          <w:tcPr>
            <w:tcW w:type="dxa" w:w="5040"/>
            <w:vAlign w:val="center"/>
          </w:tcPr>
          <w:p>
            <w:pPr>
              <w:spacing w:after="20"/>
            </w:pPr>
            <w:r>
              <w:rPr>
                <w:rFonts w:ascii="Aptos" w:hAnsi="Aptos"/>
                <w:sz w:val="15"/>
              </w:rPr>
              <w:t>Logo reveal, transitions, project files, static fallbacks, timings and tool/version notes.</w:t>
            </w:r>
          </w:p>
        </w:tc>
      </w:tr>
      <w:tr>
        <w:tc>
          <w:tcPr>
            <w:tcW w:type="dxa" w:w="5040"/>
            <w:vAlign w:val="center"/>
            <w:shd w:fill="F2F5F3"/>
          </w:tcPr>
          <w:p>
            <w:pPr>
              <w:spacing w:after="20"/>
            </w:pPr>
            <w:r>
              <w:rPr>
                <w:rFonts w:ascii="Aptos" w:hAnsi="Aptos"/>
                <w:sz w:val="15"/>
              </w:rPr>
              <w:t>08_Localisation</w:t>
            </w:r>
          </w:p>
        </w:tc>
        <w:tc>
          <w:tcPr>
            <w:tcW w:type="dxa" w:w="5040"/>
            <w:vAlign w:val="center"/>
            <w:shd w:fill="F2F5F3"/>
          </w:tcPr>
          <w:p>
            <w:pPr>
              <w:spacing w:after="20"/>
            </w:pPr>
            <w:r>
              <w:rPr>
                <w:rFonts w:ascii="Aptos" w:hAnsi="Aptos"/>
                <w:sz w:val="15"/>
              </w:rPr>
              <w:t>Approved translations, glossary, fonts, subtitles and locale QA records.</w:t>
            </w:r>
          </w:p>
        </w:tc>
      </w:tr>
      <w:tr>
        <w:tc>
          <w:tcPr>
            <w:tcW w:type="dxa" w:w="5040"/>
            <w:vAlign w:val="center"/>
          </w:tcPr>
          <w:p>
            <w:pPr>
              <w:spacing w:after="20"/>
            </w:pPr>
            <w:r>
              <w:rPr>
                <w:rFonts w:ascii="Aptos" w:hAnsi="Aptos"/>
                <w:sz w:val="15"/>
              </w:rPr>
              <w:t>09_Examples</w:t>
            </w:r>
          </w:p>
        </w:tc>
        <w:tc>
          <w:tcPr>
            <w:tcW w:type="dxa" w:w="5040"/>
            <w:vAlign w:val="center"/>
          </w:tcPr>
          <w:p>
            <w:pPr>
              <w:spacing w:after="20"/>
            </w:pPr>
            <w:r>
              <w:rPr>
                <w:rFonts w:ascii="Aptos" w:hAnsi="Aptos"/>
                <w:sz w:val="15"/>
              </w:rPr>
              <w:t>Approved/rejected examples, edge cases and accessibility examples.</w:t>
            </w:r>
          </w:p>
        </w:tc>
      </w:tr>
      <w:tr>
        <w:tc>
          <w:tcPr>
            <w:tcW w:type="dxa" w:w="5040"/>
            <w:vAlign w:val="center"/>
            <w:shd w:fill="F2F5F3"/>
          </w:tcPr>
          <w:p>
            <w:pPr>
              <w:spacing w:after="20"/>
            </w:pPr>
            <w:r>
              <w:rPr>
                <w:rFonts w:ascii="Aptos" w:hAnsi="Aptos"/>
                <w:sz w:val="15"/>
              </w:rPr>
              <w:t>10_Archive</w:t>
            </w:r>
          </w:p>
        </w:tc>
        <w:tc>
          <w:tcPr>
            <w:tcW w:type="dxa" w:w="5040"/>
            <w:vAlign w:val="center"/>
            <w:shd w:fill="F2F5F3"/>
          </w:tcPr>
          <w:p>
            <w:pPr>
              <w:spacing w:after="20"/>
            </w:pPr>
            <w:r>
              <w:rPr>
                <w:rFonts w:ascii="Aptos" w:hAnsi="Aptos"/>
                <w:sz w:val="15"/>
              </w:rPr>
              <w:t>Superseded assets and release records; read-only.</w:t>
            </w:r>
          </w:p>
        </w:tc>
      </w:tr>
    </w:tbl>
    <w:p>
      <w:pPr>
        <w:spacing w:after="20"/>
      </w:pPr>
    </w:p>
    <w:p>
      <w:r>
        <w:rPr>
          <w:b w:val="0"/>
        </w:rPr>
        <w:t>Naming convention: `brand_asset-purpose_variant_theme_locale_version_date.ext`. Example: `moatnomics_video-endcard_vertical_dark_en-IN_v02_20261020.mp4`. Record canonical asset ID in the asset register.</w:t>
      </w:r>
    </w:p>
    <w:p>
      <w:pPr>
        <w:pStyle w:val="ListBullet"/>
        <w:spacing w:after="20"/>
      </w:pPr>
      <w:r>
        <w:t>Asset register: ID/name, status, owner/approver/date, version/source/export formats, licences/expiry, theme/locale/aspect ratio, accessibility notes, fallback, spec link and change log.</w:t>
      </w:r>
    </w:p>
    <w:p>
      <w:pPr>
        <w:pStyle w:val="ListBullet"/>
        <w:spacing w:after="20"/>
      </w:pPr>
      <w:r>
        <w:t>Only brand owner/delegate approves changes to logo, core palette, typography, tagline treatment and motion signature.</w:t>
      </w:r>
    </w:p>
    <w:p>
      <w:pPr>
        <w:pStyle w:val="ListBullet"/>
        <w:spacing w:after="20"/>
      </w:pPr>
      <w:r>
        <w:t>Product teams may extend component tokens if semantic purpose and both-theme tests are documented. Localisation may adapt layout to preserve meaning but cannot independently alter logo or claim hierarchy.</w:t>
      </w:r>
    </w:p>
    <w:p>
      <w:pPr>
        <w:pStyle w:val="ListBullet"/>
        <w:spacing w:after="20"/>
      </w:pPr>
      <w:r>
        <w:t>Archive old approved assets; never overwrite the only source master.</w:t>
      </w:r>
    </w:p>
    <w:p>
      <w:pPr>
        <w:pStyle w:val="Heading1"/>
      </w:pPr>
      <w:r>
        <w:t>15. Production workflow and review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Gate</w:t>
            </w:r>
          </w:p>
        </w:tc>
        <w:tc>
          <w:tcPr>
            <w:tcW w:type="dxa" w:w="3360"/>
            <w:shd w:fill="0E3D32"/>
          </w:tcPr>
          <w:p>
            <w:r>
              <w:rPr>
                <w:b/>
                <w:color w:val="FFFFFF"/>
                <w:sz w:val="15"/>
              </w:rPr>
              <w:t>Work</w:t>
            </w:r>
          </w:p>
        </w:tc>
        <w:tc>
          <w:tcPr>
            <w:tcW w:type="dxa" w:w="3360"/>
            <w:shd w:fill="0E3D32"/>
          </w:tcPr>
          <w:p>
            <w:r>
              <w:rPr>
                <w:b/>
                <w:color w:val="FFFFFF"/>
                <w:sz w:val="15"/>
              </w:rPr>
              <w:t>Exit criteria</w:t>
            </w:r>
          </w:p>
        </w:tc>
      </w:tr>
      <w:tr>
        <w:tc>
          <w:tcPr>
            <w:tcW w:type="dxa" w:w="3360"/>
            <w:vAlign w:val="center"/>
          </w:tcPr>
          <w:p>
            <w:pPr>
              <w:spacing w:after="20"/>
            </w:pPr>
            <w:r>
              <w:rPr>
                <w:rFonts w:ascii="Aptos" w:hAnsi="Aptos"/>
                <w:sz w:val="15"/>
              </w:rPr>
              <w:t>G0 Brief</w:t>
            </w:r>
          </w:p>
        </w:tc>
        <w:tc>
          <w:tcPr>
            <w:tcW w:type="dxa" w:w="3360"/>
            <w:vAlign w:val="center"/>
          </w:tcPr>
          <w:p>
            <w:pPr>
              <w:spacing w:after="20"/>
            </w:pPr>
            <w:r>
              <w:rPr>
                <w:rFonts w:ascii="Aptos" w:hAnsi="Aptos"/>
                <w:sz w:val="15"/>
              </w:rPr>
              <w:t>Audience, objective, channel, language, theme, format, success measure.</w:t>
            </w:r>
          </w:p>
        </w:tc>
        <w:tc>
          <w:tcPr>
            <w:tcW w:type="dxa" w:w="3360"/>
            <w:vAlign w:val="center"/>
          </w:tcPr>
          <w:p>
            <w:pPr>
              <w:spacing w:after="20"/>
            </w:pPr>
            <w:r>
              <w:rPr>
                <w:rFonts w:ascii="Aptos" w:hAnsi="Aptos"/>
                <w:sz w:val="15"/>
              </w:rPr>
              <w:t>Job-to-be-done, key message and deliverables agreed.</w:t>
            </w:r>
          </w:p>
        </w:tc>
      </w:tr>
      <w:tr>
        <w:tc>
          <w:tcPr>
            <w:tcW w:type="dxa" w:w="3360"/>
            <w:vAlign w:val="center"/>
            <w:shd w:fill="F2F5F3"/>
          </w:tcPr>
          <w:p>
            <w:pPr>
              <w:spacing w:after="20"/>
            </w:pPr>
            <w:r>
              <w:rPr>
                <w:rFonts w:ascii="Aptos" w:hAnsi="Aptos"/>
                <w:sz w:val="15"/>
              </w:rPr>
              <w:t>G1 Direction</w:t>
            </w:r>
          </w:p>
        </w:tc>
        <w:tc>
          <w:tcPr>
            <w:tcW w:type="dxa" w:w="3360"/>
            <w:vAlign w:val="center"/>
            <w:shd w:fill="F2F5F3"/>
          </w:tcPr>
          <w:p>
            <w:pPr>
              <w:spacing w:after="20"/>
            </w:pPr>
            <w:r>
              <w:rPr>
                <w:rFonts w:ascii="Aptos" w:hAnsi="Aptos"/>
                <w:sz w:val="15"/>
              </w:rPr>
              <w:t>Select concept; record hypotheses.</w:t>
            </w:r>
          </w:p>
        </w:tc>
        <w:tc>
          <w:tcPr>
            <w:tcW w:type="dxa" w:w="3360"/>
            <w:vAlign w:val="center"/>
            <w:shd w:fill="F2F5F3"/>
          </w:tcPr>
          <w:p>
            <w:pPr>
              <w:spacing w:after="20"/>
            </w:pPr>
            <w:r>
              <w:rPr>
                <w:rFonts w:ascii="Aptos" w:hAnsi="Aptos"/>
                <w:sz w:val="15"/>
              </w:rPr>
              <w:t>Brand-aligned; no unsupported claims/effects.</w:t>
            </w:r>
          </w:p>
        </w:tc>
      </w:tr>
      <w:tr>
        <w:tc>
          <w:tcPr>
            <w:tcW w:type="dxa" w:w="3360"/>
            <w:vAlign w:val="center"/>
          </w:tcPr>
          <w:p>
            <w:pPr>
              <w:spacing w:after="20"/>
            </w:pPr>
            <w:r>
              <w:rPr>
                <w:rFonts w:ascii="Aptos" w:hAnsi="Aptos"/>
                <w:sz w:val="15"/>
              </w:rPr>
              <w:t>G2 Prototype</w:t>
            </w:r>
          </w:p>
        </w:tc>
        <w:tc>
          <w:tcPr>
            <w:tcW w:type="dxa" w:w="3360"/>
            <w:vAlign w:val="center"/>
          </w:tcPr>
          <w:p>
            <w:pPr>
              <w:spacing w:after="20"/>
            </w:pPr>
            <w:r>
              <w:rPr>
                <w:rFonts w:ascii="Aptos" w:hAnsi="Aptos"/>
                <w:sz w:val="15"/>
              </w:rPr>
              <w:t>Test logo, type, colour, chart and motion at real size.</w:t>
            </w:r>
          </w:p>
        </w:tc>
        <w:tc>
          <w:tcPr>
            <w:tcW w:type="dxa" w:w="3360"/>
            <w:vAlign w:val="center"/>
          </w:tcPr>
          <w:p>
            <w:pPr>
              <w:spacing w:after="20"/>
            </w:pPr>
            <w:r>
              <w:rPr>
                <w:rFonts w:ascii="Aptos" w:hAnsi="Aptos"/>
                <w:sz w:val="15"/>
              </w:rPr>
              <w:t>Small-size, theme, monochrome, multilingual and reduced-motion checks as relevant.</w:t>
            </w:r>
          </w:p>
        </w:tc>
      </w:tr>
      <w:tr>
        <w:tc>
          <w:tcPr>
            <w:tcW w:type="dxa" w:w="3360"/>
            <w:vAlign w:val="center"/>
            <w:shd w:fill="F2F5F3"/>
          </w:tcPr>
          <w:p>
            <w:pPr>
              <w:spacing w:after="20"/>
            </w:pPr>
            <w:r>
              <w:rPr>
                <w:rFonts w:ascii="Aptos" w:hAnsi="Aptos"/>
                <w:sz w:val="15"/>
              </w:rPr>
              <w:t>G3 Content integrity</w:t>
            </w:r>
          </w:p>
        </w:tc>
        <w:tc>
          <w:tcPr>
            <w:tcW w:type="dxa" w:w="3360"/>
            <w:vAlign w:val="center"/>
            <w:shd w:fill="F2F5F3"/>
          </w:tcPr>
          <w:p>
            <w:pPr>
              <w:spacing w:after="20"/>
            </w:pPr>
            <w:r>
              <w:rPr>
                <w:rFonts w:ascii="Aptos" w:hAnsi="Aptos"/>
                <w:sz w:val="15"/>
              </w:rPr>
              <w:t>Review claims, sources, data labels, assumptions and counterpoints.</w:t>
            </w:r>
          </w:p>
        </w:tc>
        <w:tc>
          <w:tcPr>
            <w:tcW w:type="dxa" w:w="3360"/>
            <w:vAlign w:val="center"/>
            <w:shd w:fill="F2F5F3"/>
          </w:tcPr>
          <w:p>
            <w:pPr>
              <w:spacing w:after="20"/>
            </w:pPr>
            <w:r>
              <w:rPr>
                <w:rFonts w:ascii="Aptos" w:hAnsi="Aptos"/>
                <w:sz w:val="15"/>
              </w:rPr>
              <w:t>Visual hierarchy does not overstate certainty; evidence traceable.</w:t>
            </w:r>
          </w:p>
        </w:tc>
      </w:tr>
      <w:tr>
        <w:tc>
          <w:tcPr>
            <w:tcW w:type="dxa" w:w="3360"/>
            <w:vAlign w:val="center"/>
          </w:tcPr>
          <w:p>
            <w:pPr>
              <w:spacing w:after="20"/>
            </w:pPr>
            <w:r>
              <w:rPr>
                <w:rFonts w:ascii="Aptos" w:hAnsi="Aptos"/>
                <w:sz w:val="15"/>
              </w:rPr>
              <w:t>G4 Access/localisation</w:t>
            </w:r>
          </w:p>
        </w:tc>
        <w:tc>
          <w:tcPr>
            <w:tcW w:type="dxa" w:w="3360"/>
            <w:vAlign w:val="center"/>
          </w:tcPr>
          <w:p>
            <w:pPr>
              <w:spacing w:after="20"/>
            </w:pPr>
            <w:r>
              <w:rPr>
                <w:rFonts w:ascii="Aptos" w:hAnsi="Aptos"/>
                <w:sz w:val="15"/>
              </w:rPr>
              <w:t>Contrast, keyboard/focus, captions, scripts and translations.</w:t>
            </w:r>
          </w:p>
        </w:tc>
        <w:tc>
          <w:tcPr>
            <w:tcW w:type="dxa" w:w="3360"/>
            <w:vAlign w:val="center"/>
          </w:tcPr>
          <w:p>
            <w:pPr>
              <w:spacing w:after="20"/>
            </w:pPr>
            <w:r>
              <w:rPr>
                <w:rFonts w:ascii="Aptos" w:hAnsi="Aptos"/>
                <w:sz w:val="15"/>
              </w:rPr>
              <w:t>Required checks pass or exceptions documented.</w:t>
            </w:r>
          </w:p>
        </w:tc>
      </w:tr>
      <w:tr>
        <w:tc>
          <w:tcPr>
            <w:tcW w:type="dxa" w:w="3360"/>
            <w:vAlign w:val="center"/>
            <w:shd w:fill="F2F5F3"/>
          </w:tcPr>
          <w:p>
            <w:pPr>
              <w:spacing w:after="20"/>
            </w:pPr>
            <w:r>
              <w:rPr>
                <w:rFonts w:ascii="Aptos" w:hAnsi="Aptos"/>
                <w:sz w:val="15"/>
              </w:rPr>
              <w:t>G5 Production QA</w:t>
            </w:r>
          </w:p>
        </w:tc>
        <w:tc>
          <w:tcPr>
            <w:tcW w:type="dxa" w:w="3360"/>
            <w:vAlign w:val="center"/>
            <w:shd w:fill="F2F5F3"/>
          </w:tcPr>
          <w:p>
            <w:pPr>
              <w:spacing w:after="20"/>
            </w:pPr>
            <w:r>
              <w:rPr>
                <w:rFonts w:ascii="Aptos" w:hAnsi="Aptos"/>
                <w:sz w:val="15"/>
              </w:rPr>
              <w:t>Inspect exports on target devices, print and platform crops.</w:t>
            </w:r>
          </w:p>
        </w:tc>
        <w:tc>
          <w:tcPr>
            <w:tcW w:type="dxa" w:w="3360"/>
            <w:vAlign w:val="center"/>
            <w:shd w:fill="F2F5F3"/>
          </w:tcPr>
          <w:p>
            <w:pPr>
              <w:spacing w:after="20"/>
            </w:pPr>
            <w:r>
              <w:rPr>
                <w:rFonts w:ascii="Aptos" w:hAnsi="Aptos"/>
                <w:sz w:val="15"/>
              </w:rPr>
              <w:t>No clipping, font failures, missing sources or export artefacts.</w:t>
            </w:r>
          </w:p>
        </w:tc>
      </w:tr>
      <w:tr>
        <w:tc>
          <w:tcPr>
            <w:tcW w:type="dxa" w:w="3360"/>
            <w:vAlign w:val="center"/>
          </w:tcPr>
          <w:p>
            <w:pPr>
              <w:spacing w:after="20"/>
            </w:pPr>
            <w:r>
              <w:rPr>
                <w:rFonts w:ascii="Aptos" w:hAnsi="Aptos"/>
                <w:sz w:val="15"/>
              </w:rPr>
              <w:t>G6 Release</w:t>
            </w:r>
          </w:p>
        </w:tc>
        <w:tc>
          <w:tcPr>
            <w:tcW w:type="dxa" w:w="3360"/>
            <w:vAlign w:val="center"/>
          </w:tcPr>
          <w:p>
            <w:pPr>
              <w:spacing w:after="20"/>
            </w:pPr>
            <w:r>
              <w:rPr>
                <w:rFonts w:ascii="Aptos" w:hAnsi="Aptos"/>
                <w:sz w:val="15"/>
              </w:rPr>
              <w:t>Owner approval and archiving.</w:t>
            </w:r>
          </w:p>
        </w:tc>
        <w:tc>
          <w:tcPr>
            <w:tcW w:type="dxa" w:w="3360"/>
            <w:vAlign w:val="center"/>
          </w:tcPr>
          <w:p>
            <w:pPr>
              <w:spacing w:after="20"/>
            </w:pPr>
            <w:r>
              <w:rPr>
                <w:rFonts w:ascii="Aptos" w:hAnsi="Aptos"/>
                <w:sz w:val="15"/>
              </w:rPr>
              <w:t>Approved master, exports, source files, register and change log stored.</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0E3D32"/>
          </w:tcPr>
          <w:p>
            <w:r>
              <w:rPr>
                <w:b/>
                <w:color w:val="FFFFFF"/>
                <w:sz w:val="15"/>
              </w:rPr>
              <w:t>Role</w:t>
            </w:r>
          </w:p>
        </w:tc>
        <w:tc>
          <w:tcPr>
            <w:tcW w:type="dxa" w:w="5040"/>
            <w:shd w:fill="0E3D32"/>
          </w:tcPr>
          <w:p>
            <w:r>
              <w:rPr>
                <w:b/>
                <w:color w:val="FFFFFF"/>
                <w:sz w:val="15"/>
              </w:rPr>
              <w:t>Responsibility</w:t>
            </w:r>
          </w:p>
        </w:tc>
      </w:tr>
      <w:tr>
        <w:tc>
          <w:tcPr>
            <w:tcW w:type="dxa" w:w="5040"/>
            <w:vAlign w:val="center"/>
          </w:tcPr>
          <w:p>
            <w:pPr>
              <w:spacing w:after="20"/>
            </w:pPr>
            <w:r>
              <w:rPr>
                <w:rFonts w:ascii="Aptos" w:hAnsi="Aptos"/>
                <w:sz w:val="15"/>
              </w:rPr>
              <w:t>Brand owner</w:t>
            </w:r>
          </w:p>
        </w:tc>
        <w:tc>
          <w:tcPr>
            <w:tcW w:type="dxa" w:w="5040"/>
            <w:vAlign w:val="center"/>
          </w:tcPr>
          <w:p>
            <w:pPr>
              <w:spacing w:after="20"/>
            </w:pPr>
            <w:r>
              <w:rPr>
                <w:rFonts w:ascii="Aptos" w:hAnsi="Aptos"/>
                <w:sz w:val="15"/>
              </w:rPr>
              <w:t>Identity changes and exceptions.</w:t>
            </w:r>
          </w:p>
        </w:tc>
      </w:tr>
      <w:tr>
        <w:tc>
          <w:tcPr>
            <w:tcW w:type="dxa" w:w="5040"/>
            <w:vAlign w:val="center"/>
            <w:shd w:fill="F2F5F3"/>
          </w:tcPr>
          <w:p>
            <w:pPr>
              <w:spacing w:after="20"/>
            </w:pPr>
            <w:r>
              <w:rPr>
                <w:rFonts w:ascii="Aptos" w:hAnsi="Aptos"/>
                <w:sz w:val="15"/>
              </w:rPr>
              <w:t>Design lead</w:t>
            </w:r>
          </w:p>
        </w:tc>
        <w:tc>
          <w:tcPr>
            <w:tcW w:type="dxa" w:w="5040"/>
            <w:vAlign w:val="center"/>
            <w:shd w:fill="F2F5F3"/>
          </w:tcPr>
          <w:p>
            <w:pPr>
              <w:spacing w:after="20"/>
            </w:pPr>
            <w:r>
              <w:rPr>
                <w:rFonts w:ascii="Aptos" w:hAnsi="Aptos"/>
                <w:sz w:val="15"/>
              </w:rPr>
              <w:t>Visual consistency, components and layout.</w:t>
            </w:r>
          </w:p>
        </w:tc>
      </w:tr>
      <w:tr>
        <w:tc>
          <w:tcPr>
            <w:tcW w:type="dxa" w:w="5040"/>
            <w:vAlign w:val="center"/>
          </w:tcPr>
          <w:p>
            <w:pPr>
              <w:spacing w:after="20"/>
            </w:pPr>
            <w:r>
              <w:rPr>
                <w:rFonts w:ascii="Aptos" w:hAnsi="Aptos"/>
                <w:sz w:val="15"/>
              </w:rPr>
              <w:t>Product/engineering</w:t>
            </w:r>
          </w:p>
        </w:tc>
        <w:tc>
          <w:tcPr>
            <w:tcW w:type="dxa" w:w="5040"/>
            <w:vAlign w:val="center"/>
          </w:tcPr>
          <w:p>
            <w:pPr>
              <w:spacing w:after="20"/>
            </w:pPr>
            <w:r>
              <w:rPr>
                <w:rFonts w:ascii="Aptos" w:hAnsi="Aptos"/>
                <w:sz w:val="15"/>
              </w:rPr>
              <w:t>Functional UI states, tokens and responsive behaviour.</w:t>
            </w:r>
          </w:p>
        </w:tc>
      </w:tr>
      <w:tr>
        <w:tc>
          <w:tcPr>
            <w:tcW w:type="dxa" w:w="5040"/>
            <w:vAlign w:val="center"/>
            <w:shd w:fill="F2F5F3"/>
          </w:tcPr>
          <w:p>
            <w:pPr>
              <w:spacing w:after="20"/>
            </w:pPr>
            <w:r>
              <w:rPr>
                <w:rFonts w:ascii="Aptos" w:hAnsi="Aptos"/>
                <w:sz w:val="15"/>
              </w:rPr>
              <w:t>Research/content owner</w:t>
            </w:r>
          </w:p>
        </w:tc>
        <w:tc>
          <w:tcPr>
            <w:tcW w:type="dxa" w:w="5040"/>
            <w:vAlign w:val="center"/>
            <w:shd w:fill="F2F5F3"/>
          </w:tcPr>
          <w:p>
            <w:pPr>
              <w:spacing w:after="20"/>
            </w:pPr>
            <w:r>
              <w:rPr>
                <w:rFonts w:ascii="Aptos" w:hAnsi="Aptos"/>
                <w:sz w:val="15"/>
              </w:rPr>
              <w:t>Claims, sources, assumptions and caveats.</w:t>
            </w:r>
          </w:p>
        </w:tc>
      </w:tr>
      <w:tr>
        <w:tc>
          <w:tcPr>
            <w:tcW w:type="dxa" w:w="5040"/>
            <w:vAlign w:val="center"/>
          </w:tcPr>
          <w:p>
            <w:pPr>
              <w:spacing w:after="20"/>
            </w:pPr>
            <w:r>
              <w:rPr>
                <w:rFonts w:ascii="Aptos" w:hAnsi="Aptos"/>
                <w:sz w:val="15"/>
              </w:rPr>
              <w:t>Motion/video lead</w:t>
            </w:r>
          </w:p>
        </w:tc>
        <w:tc>
          <w:tcPr>
            <w:tcW w:type="dxa" w:w="5040"/>
            <w:vAlign w:val="center"/>
          </w:tcPr>
          <w:p>
            <w:pPr>
              <w:spacing w:after="20"/>
            </w:pPr>
            <w:r>
              <w:rPr>
                <w:rFonts w:ascii="Aptos" w:hAnsi="Aptos"/>
                <w:sz w:val="15"/>
              </w:rPr>
              <w:t>Animation, pacing, rendering and delivery.</w:t>
            </w:r>
          </w:p>
        </w:tc>
      </w:tr>
      <w:tr>
        <w:tc>
          <w:tcPr>
            <w:tcW w:type="dxa" w:w="5040"/>
            <w:vAlign w:val="center"/>
            <w:shd w:fill="F2F5F3"/>
          </w:tcPr>
          <w:p>
            <w:pPr>
              <w:spacing w:after="20"/>
            </w:pPr>
            <w:r>
              <w:rPr>
                <w:rFonts w:ascii="Aptos" w:hAnsi="Aptos"/>
                <w:sz w:val="15"/>
              </w:rPr>
              <w:t>Accessibility reviewer</w:t>
            </w:r>
          </w:p>
        </w:tc>
        <w:tc>
          <w:tcPr>
            <w:tcW w:type="dxa" w:w="5040"/>
            <w:vAlign w:val="center"/>
            <w:shd w:fill="F2F5F3"/>
          </w:tcPr>
          <w:p>
            <w:pPr>
              <w:spacing w:after="20"/>
            </w:pPr>
            <w:r>
              <w:rPr>
                <w:rFonts w:ascii="Aptos" w:hAnsi="Aptos"/>
                <w:sz w:val="15"/>
              </w:rPr>
              <w:t>Contrast, keyboard, captions, motion and alternatives.</w:t>
            </w:r>
          </w:p>
        </w:tc>
      </w:tr>
      <w:tr>
        <w:tc>
          <w:tcPr>
            <w:tcW w:type="dxa" w:w="5040"/>
            <w:vAlign w:val="center"/>
          </w:tcPr>
          <w:p>
            <w:pPr>
              <w:spacing w:after="20"/>
            </w:pPr>
            <w:r>
              <w:rPr>
                <w:rFonts w:ascii="Aptos" w:hAnsi="Aptos"/>
                <w:sz w:val="15"/>
              </w:rPr>
              <w:t>Language reviewer</w:t>
            </w:r>
          </w:p>
        </w:tc>
        <w:tc>
          <w:tcPr>
            <w:tcW w:type="dxa" w:w="5040"/>
            <w:vAlign w:val="center"/>
          </w:tcPr>
          <w:p>
            <w:pPr>
              <w:spacing w:after="20"/>
            </w:pPr>
            <w:r>
              <w:rPr>
                <w:rFonts w:ascii="Aptos" w:hAnsi="Aptos"/>
                <w:sz w:val="15"/>
              </w:rPr>
              <w:t>Translation, terminology, cultural context and scripts.</w:t>
            </w:r>
          </w:p>
        </w:tc>
      </w:tr>
      <w:tr>
        <w:tc>
          <w:tcPr>
            <w:tcW w:type="dxa" w:w="5040"/>
            <w:vAlign w:val="center"/>
            <w:shd w:fill="F2F5F3"/>
          </w:tcPr>
          <w:p>
            <w:pPr>
              <w:spacing w:after="20"/>
            </w:pPr>
            <w:r>
              <w:rPr>
                <w:rFonts w:ascii="Aptos" w:hAnsi="Aptos"/>
                <w:sz w:val="15"/>
              </w:rPr>
              <w:t>Production owner</w:t>
            </w:r>
          </w:p>
        </w:tc>
        <w:tc>
          <w:tcPr>
            <w:tcW w:type="dxa" w:w="5040"/>
            <w:vAlign w:val="center"/>
            <w:shd w:fill="F2F5F3"/>
          </w:tcPr>
          <w:p>
            <w:pPr>
              <w:spacing w:after="20"/>
            </w:pPr>
            <w:r>
              <w:rPr>
                <w:rFonts w:ascii="Aptos" w:hAnsi="Aptos"/>
                <w:sz w:val="15"/>
              </w:rPr>
              <w:t>Licences, exports, naming, versions and handoff.</w:t>
            </w:r>
          </w:p>
        </w:tc>
      </w:tr>
    </w:tbl>
    <w:p>
      <w:pPr>
        <w:spacing w:after="20"/>
      </w:pPr>
    </w:p>
    <w:p>
      <w:pPr>
        <w:pStyle w:val="Heading1"/>
      </w:pPr>
      <w:r>
        <w:t>16. Quality-control checklist</w:t>
      </w:r>
    </w:p>
    <w:p>
      <w:pPr>
        <w:pStyle w:val="ListBullet"/>
      </w:pPr>
      <w:r>
        <w:t>☐ Chosen split-arch/mirror direction and approved logo master used.</w:t>
      </w:r>
    </w:p>
    <w:p>
      <w:pPr>
        <w:pStyle w:val="ListBullet"/>
      </w:pPr>
      <w:r>
        <w:t>☐ Provisional colours/type are not described as final approvals.</w:t>
      </w:r>
    </w:p>
    <w:p>
      <w:pPr>
        <w:pStyle w:val="ListBullet"/>
      </w:pPr>
      <w:r>
        <w:t>☐ Light and dark themes independently checked.</w:t>
      </w:r>
    </w:p>
    <w:p>
      <w:pPr>
        <w:pStyle w:val="ListBullet"/>
      </w:pPr>
      <w:r>
        <w:t>☐ Monochrome and small-size reproduction remain legible.</w:t>
      </w:r>
    </w:p>
    <w:p>
      <w:pPr>
        <w:pStyle w:val="ListBullet"/>
      </w:pPr>
      <w:r>
        <w:t>☐ Headline, data and source notes have clear hierarchy.</w:t>
      </w:r>
    </w:p>
    <w:p>
      <w:pPr>
        <w:pStyle w:val="ListBullet"/>
      </w:pPr>
      <w:r>
        <w:t>☐ Charts include units, period, benchmark, source and as-of date where relevant.</w:t>
      </w:r>
    </w:p>
    <w:p>
      <w:pPr>
        <w:pStyle w:val="ListBullet"/>
      </w:pPr>
      <w:r>
        <w:t>☐ Observed, calculated, estimated and scenario values are distinguished.</w:t>
      </w:r>
    </w:p>
    <w:p>
      <w:pPr>
        <w:pStyle w:val="ListBullet"/>
      </w:pPr>
      <w:r>
        <w:t>☐ Design does not imply unsupported verification, certainty or performance.</w:t>
      </w:r>
    </w:p>
    <w:p>
      <w:pPr>
        <w:pStyle w:val="ListBullet"/>
      </w:pPr>
      <w:r>
        <w:t>☐ Motion improves understanding and has required reduced-motion/static alternatives.</w:t>
      </w:r>
    </w:p>
    <w:p>
      <w:pPr>
        <w:pStyle w:val="ListBullet"/>
      </w:pPr>
      <w:r>
        <w:t>☐ Captions, subtitles, transcripts and localised files are included as specified.</w:t>
      </w:r>
    </w:p>
    <w:p>
      <w:pPr>
        <w:pStyle w:val="ListBullet"/>
      </w:pPr>
      <w:r>
        <w:t>☐ Fonts/glyph coverage, text expansion, script direction and locale formatting checked.</w:t>
      </w:r>
    </w:p>
    <w:p>
      <w:pPr>
        <w:pStyle w:val="ListBullet"/>
      </w:pPr>
      <w:r>
        <w:t>☐ Contrast, focus, hit targets and accessible names reviewed.</w:t>
      </w:r>
    </w:p>
    <w:p>
      <w:pPr>
        <w:pStyle w:val="ListBullet"/>
      </w:pPr>
      <w:r>
        <w:t>☐ Exports tested on target devices/platform crops and office print if relevant.</w:t>
      </w:r>
    </w:p>
    <w:p>
      <w:pPr>
        <w:pStyle w:val="ListBullet"/>
      </w:pPr>
      <w:r>
        <w:t>☐ Asset ownership, status, licences, source files and version are recorded.</w:t>
      </w:r>
    </w:p>
    <w:p>
      <w:pPr>
        <w:pStyle w:val="Heading1"/>
      </w:pPr>
      <w:r>
        <w:t>17. Decision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E3D32"/>
          </w:tcPr>
          <w:p>
            <w:r>
              <w:rPr>
                <w:b/>
                <w:color w:val="FFFFFF"/>
                <w:sz w:val="15"/>
              </w:rPr>
              <w:t>Topic</w:t>
            </w:r>
          </w:p>
        </w:tc>
        <w:tc>
          <w:tcPr>
            <w:tcW w:type="dxa" w:w="3360"/>
            <w:shd w:fill="0E3D32"/>
          </w:tcPr>
          <w:p>
            <w:r>
              <w:rPr>
                <w:b/>
                <w:color w:val="FFFFFF"/>
                <w:sz w:val="15"/>
              </w:rPr>
              <w:t>Status</w:t>
            </w:r>
          </w:p>
        </w:tc>
        <w:tc>
          <w:tcPr>
            <w:tcW w:type="dxa" w:w="3360"/>
            <w:shd w:fill="0E3D32"/>
          </w:tcPr>
          <w:p>
            <w:r>
              <w:rPr>
                <w:b/>
                <w:color w:val="FFFFFF"/>
                <w:sz w:val="15"/>
              </w:rPr>
              <w:t>Next decision / validation</w:t>
            </w:r>
          </w:p>
        </w:tc>
      </w:tr>
      <w:tr>
        <w:tc>
          <w:tcPr>
            <w:tcW w:type="dxa" w:w="3360"/>
            <w:vAlign w:val="center"/>
          </w:tcPr>
          <w:p>
            <w:pPr>
              <w:spacing w:after="20"/>
            </w:pPr>
            <w:r>
              <w:rPr>
                <w:rFonts w:ascii="Aptos" w:hAnsi="Aptos"/>
                <w:sz w:val="15"/>
              </w:rPr>
              <w:t>Brand direction</w:t>
            </w:r>
          </w:p>
        </w:tc>
        <w:tc>
          <w:tcPr>
            <w:tcW w:type="dxa" w:w="3360"/>
            <w:vAlign w:val="center"/>
          </w:tcPr>
          <w:p>
            <w:pPr>
              <w:spacing w:after="20"/>
            </w:pPr>
            <w:r>
              <w:rPr>
                <w:rFonts w:ascii="Aptos" w:hAnsi="Aptos"/>
                <w:sz w:val="15"/>
              </w:rPr>
              <w:t>Approved direction</w:t>
            </w:r>
          </w:p>
        </w:tc>
        <w:tc>
          <w:tcPr>
            <w:tcW w:type="dxa" w:w="3360"/>
            <w:vAlign w:val="center"/>
          </w:tcPr>
          <w:p>
            <w:pPr>
              <w:spacing w:after="20"/>
            </w:pPr>
            <w:r>
              <w:rPr>
                <w:rFonts w:ascii="Aptos" w:hAnsi="Aptos"/>
                <w:sz w:val="15"/>
              </w:rPr>
              <w:t>Editorial authority + hidden perspective; calm, reassuring; symbol and wordmark.</w:t>
            </w:r>
          </w:p>
        </w:tc>
      </w:tr>
      <w:tr>
        <w:tc>
          <w:tcPr>
            <w:tcW w:type="dxa" w:w="3360"/>
            <w:vAlign w:val="center"/>
            <w:shd w:fill="F2F5F3"/>
          </w:tcPr>
          <w:p>
            <w:pPr>
              <w:spacing w:after="20"/>
            </w:pPr>
            <w:r>
              <w:rPr>
                <w:rFonts w:ascii="Aptos" w:hAnsi="Aptos"/>
                <w:sz w:val="15"/>
              </w:rPr>
              <w:t>Logo concept</w:t>
            </w:r>
          </w:p>
        </w:tc>
        <w:tc>
          <w:tcPr>
            <w:tcW w:type="dxa" w:w="3360"/>
            <w:vAlign w:val="center"/>
            <w:shd w:fill="F2F5F3"/>
          </w:tcPr>
          <w:p>
            <w:pPr>
              <w:spacing w:after="20"/>
            </w:pPr>
            <w:r>
              <w:rPr>
                <w:rFonts w:ascii="Aptos" w:hAnsi="Aptos"/>
                <w:sz w:val="15"/>
              </w:rPr>
              <w:t>Chosen concept; artwork not final</w:t>
            </w:r>
          </w:p>
        </w:tc>
        <w:tc>
          <w:tcPr>
            <w:tcW w:type="dxa" w:w="3360"/>
            <w:vAlign w:val="center"/>
            <w:shd w:fill="F2F5F3"/>
          </w:tcPr>
          <w:p>
            <w:pPr>
              <w:spacing w:after="20"/>
            </w:pPr>
            <w:r>
              <w:rPr>
                <w:rFonts w:ascii="Aptos" w:hAnsi="Aptos"/>
                <w:sz w:val="15"/>
              </w:rPr>
              <w:t>Earlier sophisticated dimensional split arch/mirror; complete vector master and small-size variant.</w:t>
            </w:r>
          </w:p>
        </w:tc>
      </w:tr>
      <w:tr>
        <w:tc>
          <w:tcPr>
            <w:tcW w:type="dxa" w:w="3360"/>
            <w:vAlign w:val="center"/>
          </w:tcPr>
          <w:p>
            <w:pPr>
              <w:spacing w:after="20"/>
            </w:pPr>
            <w:r>
              <w:rPr>
                <w:rFonts w:ascii="Aptos" w:hAnsi="Aptos"/>
                <w:sz w:val="15"/>
              </w:rPr>
              <w:t>Tagline</w:t>
            </w:r>
          </w:p>
        </w:tc>
        <w:tc>
          <w:tcPr>
            <w:tcW w:type="dxa" w:w="3360"/>
            <w:vAlign w:val="center"/>
          </w:tcPr>
          <w:p>
            <w:pPr>
              <w:spacing w:after="20"/>
            </w:pPr>
            <w:r>
              <w:rPr>
                <w:rFonts w:ascii="Aptos" w:hAnsi="Aptos"/>
                <w:sz w:val="15"/>
              </w:rPr>
              <w:t>Working hypothesis</w:t>
            </w:r>
          </w:p>
        </w:tc>
        <w:tc>
          <w:tcPr>
            <w:tcW w:type="dxa" w:w="3360"/>
            <w:vAlign w:val="center"/>
          </w:tcPr>
          <w:p>
            <w:pPr>
              <w:spacing w:after="20"/>
            </w:pPr>
            <w:r>
              <w:rPr>
                <w:rFonts w:ascii="Aptos" w:hAnsi="Aptos"/>
                <w:sz w:val="15"/>
              </w:rPr>
              <w:t>Validate recall, comprehension, relevance and category inference.</w:t>
            </w:r>
          </w:p>
        </w:tc>
      </w:tr>
      <w:tr>
        <w:tc>
          <w:tcPr>
            <w:tcW w:type="dxa" w:w="3360"/>
            <w:vAlign w:val="center"/>
            <w:shd w:fill="F2F5F3"/>
          </w:tcPr>
          <w:p>
            <w:pPr>
              <w:spacing w:after="20"/>
            </w:pPr>
            <w:r>
              <w:rPr>
                <w:rFonts w:ascii="Aptos" w:hAnsi="Aptos"/>
                <w:sz w:val="15"/>
              </w:rPr>
              <w:t>Category descriptor</w:t>
            </w:r>
          </w:p>
        </w:tc>
        <w:tc>
          <w:tcPr>
            <w:tcW w:type="dxa" w:w="3360"/>
            <w:vAlign w:val="center"/>
            <w:shd w:fill="F2F5F3"/>
          </w:tcPr>
          <w:p>
            <w:pPr>
              <w:spacing w:after="20"/>
            </w:pPr>
            <w:r>
              <w:rPr>
                <w:rFonts w:ascii="Aptos" w:hAnsi="Aptos"/>
                <w:sz w:val="15"/>
              </w:rPr>
              <w:t>Working hypothesis</w:t>
            </w:r>
          </w:p>
        </w:tc>
        <w:tc>
          <w:tcPr>
            <w:tcW w:type="dxa" w:w="3360"/>
            <w:vAlign w:val="center"/>
            <w:shd w:fill="F2F5F3"/>
          </w:tcPr>
          <w:p>
            <w:pPr>
              <w:spacing w:after="20"/>
            </w:pPr>
            <w:r>
              <w:rPr>
                <w:rFonts w:ascii="Aptos" w:hAnsi="Aptos"/>
                <w:sz w:val="15"/>
              </w:rPr>
              <w:t>Confirm product scope and substantiation.</w:t>
            </w:r>
          </w:p>
        </w:tc>
      </w:tr>
      <w:tr>
        <w:tc>
          <w:tcPr>
            <w:tcW w:type="dxa" w:w="3360"/>
            <w:vAlign w:val="center"/>
          </w:tcPr>
          <w:p>
            <w:pPr>
              <w:spacing w:after="20"/>
            </w:pPr>
            <w:r>
              <w:rPr>
                <w:rFonts w:ascii="Aptos" w:hAnsi="Aptos"/>
                <w:sz w:val="15"/>
              </w:rPr>
              <w:t>Palette</w:t>
            </w:r>
          </w:p>
        </w:tc>
        <w:tc>
          <w:tcPr>
            <w:tcW w:type="dxa" w:w="3360"/>
            <w:vAlign w:val="center"/>
          </w:tcPr>
          <w:p>
            <w:pPr>
              <w:spacing w:after="20"/>
            </w:pPr>
            <w:r>
              <w:rPr>
                <w:rFonts w:ascii="Aptos" w:hAnsi="Aptos"/>
                <w:sz w:val="15"/>
              </w:rPr>
              <w:t>Provisional</w:t>
            </w:r>
          </w:p>
        </w:tc>
        <w:tc>
          <w:tcPr>
            <w:tcW w:type="dxa" w:w="3360"/>
            <w:vAlign w:val="center"/>
          </w:tcPr>
          <w:p>
            <w:pPr>
              <w:spacing w:after="20"/>
            </w:pPr>
            <w:r>
              <w:rPr>
                <w:rFonts w:ascii="Aptos" w:hAnsi="Aptos"/>
                <w:sz w:val="15"/>
              </w:rPr>
              <w:t>Contrast, colour-vision, themes and print conversion.</w:t>
            </w:r>
          </w:p>
        </w:tc>
      </w:tr>
      <w:tr>
        <w:tc>
          <w:tcPr>
            <w:tcW w:type="dxa" w:w="3360"/>
            <w:vAlign w:val="center"/>
            <w:shd w:fill="F2F5F3"/>
          </w:tcPr>
          <w:p>
            <w:pPr>
              <w:spacing w:after="20"/>
            </w:pPr>
            <w:r>
              <w:rPr>
                <w:rFonts w:ascii="Aptos" w:hAnsi="Aptos"/>
                <w:sz w:val="15"/>
              </w:rPr>
              <w:t>Fonts</w:t>
            </w:r>
          </w:p>
        </w:tc>
        <w:tc>
          <w:tcPr>
            <w:tcW w:type="dxa" w:w="3360"/>
            <w:vAlign w:val="center"/>
            <w:shd w:fill="F2F5F3"/>
          </w:tcPr>
          <w:p>
            <w:pPr>
              <w:spacing w:after="20"/>
            </w:pPr>
            <w:r>
              <w:rPr>
                <w:rFonts w:ascii="Aptos" w:hAnsi="Aptos"/>
                <w:sz w:val="15"/>
              </w:rPr>
              <w:t>Provisional</w:t>
            </w:r>
          </w:p>
        </w:tc>
        <w:tc>
          <w:tcPr>
            <w:tcW w:type="dxa" w:w="3360"/>
            <w:vAlign w:val="center"/>
            <w:shd w:fill="F2F5F3"/>
          </w:tcPr>
          <w:p>
            <w:pPr>
              <w:spacing w:after="20"/>
            </w:pPr>
            <w:r>
              <w:rPr>
                <w:rFonts w:ascii="Aptos" w:hAnsi="Aptos"/>
                <w:sz w:val="15"/>
              </w:rPr>
              <w:t>Licence, scripts, weights, numeric clarity and rendering.</w:t>
            </w:r>
          </w:p>
        </w:tc>
      </w:tr>
      <w:tr>
        <w:tc>
          <w:tcPr>
            <w:tcW w:type="dxa" w:w="3360"/>
            <w:vAlign w:val="center"/>
          </w:tcPr>
          <w:p>
            <w:pPr>
              <w:spacing w:after="20"/>
            </w:pPr>
            <w:r>
              <w:rPr>
                <w:rFonts w:ascii="Aptos" w:hAnsi="Aptos"/>
                <w:sz w:val="15"/>
              </w:rPr>
              <w:t>Grid/spacing/radii</w:t>
            </w:r>
          </w:p>
        </w:tc>
        <w:tc>
          <w:tcPr>
            <w:tcW w:type="dxa" w:w="3360"/>
            <w:vAlign w:val="center"/>
          </w:tcPr>
          <w:p>
            <w:pPr>
              <w:spacing w:after="20"/>
            </w:pPr>
            <w:r>
              <w:rPr>
                <w:rFonts w:ascii="Aptos" w:hAnsi="Aptos"/>
                <w:sz w:val="15"/>
              </w:rPr>
              <w:t>Provisional</w:t>
            </w:r>
          </w:p>
        </w:tc>
        <w:tc>
          <w:tcPr>
            <w:tcW w:type="dxa" w:w="3360"/>
            <w:vAlign w:val="center"/>
          </w:tcPr>
          <w:p>
            <w:pPr>
              <w:spacing w:after="20"/>
            </w:pPr>
            <w:r>
              <w:rPr>
                <w:rFonts w:ascii="Aptos" w:hAnsi="Aptos"/>
                <w:sz w:val="15"/>
              </w:rPr>
              <w:t>Test across UI, reports and video templates; record tokens.</w:t>
            </w:r>
          </w:p>
        </w:tc>
      </w:tr>
      <w:tr>
        <w:tc>
          <w:tcPr>
            <w:tcW w:type="dxa" w:w="3360"/>
            <w:vAlign w:val="center"/>
            <w:shd w:fill="F2F5F3"/>
          </w:tcPr>
          <w:p>
            <w:pPr>
              <w:spacing w:after="20"/>
            </w:pPr>
            <w:r>
              <w:rPr>
                <w:rFonts w:ascii="Aptos" w:hAnsi="Aptos"/>
                <w:sz w:val="15"/>
              </w:rPr>
              <w:t>Icon family</w:t>
            </w:r>
          </w:p>
        </w:tc>
        <w:tc>
          <w:tcPr>
            <w:tcW w:type="dxa" w:w="3360"/>
            <w:vAlign w:val="center"/>
            <w:shd w:fill="F2F5F3"/>
          </w:tcPr>
          <w:p>
            <w:pPr>
              <w:spacing w:after="20"/>
            </w:pPr>
            <w:r>
              <w:rPr>
                <w:rFonts w:ascii="Aptos" w:hAnsi="Aptos"/>
                <w:sz w:val="15"/>
              </w:rPr>
              <w:t>Provisional</w:t>
            </w:r>
          </w:p>
        </w:tc>
        <w:tc>
          <w:tcPr>
            <w:tcW w:type="dxa" w:w="3360"/>
            <w:vAlign w:val="center"/>
            <w:shd w:fill="F2F5F3"/>
          </w:tcPr>
          <w:p>
            <w:pPr>
              <w:spacing w:after="20"/>
            </w:pPr>
            <w:r>
              <w:rPr>
                <w:rFonts w:ascii="Aptos" w:hAnsi="Aptos"/>
                <w:sz w:val="15"/>
              </w:rPr>
              <w:t>Select canonical family and custom inventory.</w:t>
            </w:r>
          </w:p>
        </w:tc>
      </w:tr>
      <w:tr>
        <w:tc>
          <w:tcPr>
            <w:tcW w:type="dxa" w:w="3360"/>
            <w:vAlign w:val="center"/>
          </w:tcPr>
          <w:p>
            <w:pPr>
              <w:spacing w:after="20"/>
            </w:pPr>
            <w:r>
              <w:rPr>
                <w:rFonts w:ascii="Aptos" w:hAnsi="Aptos"/>
                <w:sz w:val="15"/>
              </w:rPr>
              <w:t>Light + dark</w:t>
            </w:r>
          </w:p>
        </w:tc>
        <w:tc>
          <w:tcPr>
            <w:tcW w:type="dxa" w:w="3360"/>
            <w:vAlign w:val="center"/>
          </w:tcPr>
          <w:p>
            <w:pPr>
              <w:spacing w:after="20"/>
            </w:pPr>
            <w:r>
              <w:rPr>
                <w:rFonts w:ascii="Aptos" w:hAnsi="Aptos"/>
                <w:sz w:val="15"/>
              </w:rPr>
              <w:t>Both required</w:t>
            </w:r>
          </w:p>
        </w:tc>
        <w:tc>
          <w:tcPr>
            <w:tcW w:type="dxa" w:w="3360"/>
            <w:vAlign w:val="center"/>
          </w:tcPr>
          <w:p>
            <w:pPr>
              <w:spacing w:after="20"/>
            </w:pPr>
            <w:r>
              <w:rPr>
                <w:rFonts w:ascii="Aptos" w:hAnsi="Aptos"/>
                <w:sz w:val="15"/>
              </w:rPr>
              <w:t>Implement exact mappings and test accessible combinations.</w:t>
            </w:r>
          </w:p>
        </w:tc>
      </w:tr>
      <w:tr>
        <w:tc>
          <w:tcPr>
            <w:tcW w:type="dxa" w:w="3360"/>
            <w:vAlign w:val="center"/>
            <w:shd w:fill="F2F5F3"/>
          </w:tcPr>
          <w:p>
            <w:pPr>
              <w:spacing w:after="20"/>
            </w:pPr>
            <w:r>
              <w:rPr>
                <w:rFonts w:ascii="Aptos" w:hAnsi="Aptos"/>
                <w:sz w:val="15"/>
              </w:rPr>
              <w:t>Motion principles</w:t>
            </w:r>
          </w:p>
        </w:tc>
        <w:tc>
          <w:tcPr>
            <w:tcW w:type="dxa" w:w="3360"/>
            <w:vAlign w:val="center"/>
            <w:shd w:fill="F2F5F3"/>
          </w:tcPr>
          <w:p>
            <w:pPr>
              <w:spacing w:after="20"/>
            </w:pPr>
            <w:r>
              <w:rPr>
                <w:rFonts w:ascii="Aptos" w:hAnsi="Aptos"/>
                <w:sz w:val="15"/>
              </w:rPr>
              <w:t>Direction approved</w:t>
            </w:r>
          </w:p>
        </w:tc>
        <w:tc>
          <w:tcPr>
            <w:tcW w:type="dxa" w:w="3360"/>
            <w:vAlign w:val="center"/>
            <w:shd w:fill="F2F5F3"/>
          </w:tcPr>
          <w:p>
            <w:pPr>
              <w:spacing w:after="20"/>
            </w:pPr>
            <w:r>
              <w:rPr>
                <w:rFonts w:ascii="Aptos" w:hAnsi="Aptos"/>
                <w:sz w:val="15"/>
              </w:rPr>
              <w:t>Purposeful reveal, restrained depth, evidence-first animation.</w:t>
            </w:r>
          </w:p>
        </w:tc>
      </w:tr>
      <w:tr>
        <w:tc>
          <w:tcPr>
            <w:tcW w:type="dxa" w:w="3360"/>
            <w:vAlign w:val="center"/>
          </w:tcPr>
          <w:p>
            <w:pPr>
              <w:spacing w:after="20"/>
            </w:pPr>
            <w:r>
              <w:rPr>
                <w:rFonts w:ascii="Aptos" w:hAnsi="Aptos"/>
                <w:sz w:val="15"/>
              </w:rPr>
              <w:t>Motion timings</w:t>
            </w:r>
          </w:p>
        </w:tc>
        <w:tc>
          <w:tcPr>
            <w:tcW w:type="dxa" w:w="3360"/>
            <w:vAlign w:val="center"/>
          </w:tcPr>
          <w:p>
            <w:pPr>
              <w:spacing w:after="20"/>
            </w:pPr>
            <w:r>
              <w:rPr>
                <w:rFonts w:ascii="Aptos" w:hAnsi="Aptos"/>
                <w:sz w:val="15"/>
              </w:rPr>
              <w:t>Provisional ranges</w:t>
            </w:r>
          </w:p>
        </w:tc>
        <w:tc>
          <w:tcPr>
            <w:tcW w:type="dxa" w:w="3360"/>
            <w:vAlign w:val="center"/>
          </w:tcPr>
          <w:p>
            <w:pPr>
              <w:spacing w:after="20"/>
            </w:pPr>
            <w:r>
              <w:rPr>
                <w:rFonts w:ascii="Aptos" w:hAnsi="Aptos"/>
                <w:sz w:val="15"/>
              </w:rPr>
              <w:t>Tune for content, frame rate, reading time and devices.</w:t>
            </w:r>
          </w:p>
        </w:tc>
      </w:tr>
      <w:tr>
        <w:tc>
          <w:tcPr>
            <w:tcW w:type="dxa" w:w="3360"/>
            <w:vAlign w:val="center"/>
            <w:shd w:fill="F2F5F3"/>
          </w:tcPr>
          <w:p>
            <w:pPr>
              <w:spacing w:after="20"/>
            </w:pPr>
            <w:r>
              <w:rPr>
                <w:rFonts w:ascii="Aptos" w:hAnsi="Aptos"/>
                <w:sz w:val="15"/>
              </w:rPr>
              <w:t>Video</w:t>
            </w:r>
          </w:p>
        </w:tc>
        <w:tc>
          <w:tcPr>
            <w:tcW w:type="dxa" w:w="3360"/>
            <w:vAlign w:val="center"/>
            <w:shd w:fill="F2F5F3"/>
          </w:tcPr>
          <w:p>
            <w:pPr>
              <w:spacing w:after="20"/>
            </w:pPr>
            <w:r>
              <w:rPr>
                <w:rFonts w:ascii="Aptos" w:hAnsi="Aptos"/>
                <w:sz w:val="15"/>
              </w:rPr>
              <w:t>All formats required</w:t>
            </w:r>
          </w:p>
        </w:tc>
        <w:tc>
          <w:tcPr>
            <w:tcW w:type="dxa" w:w="3360"/>
            <w:vAlign w:val="center"/>
            <w:shd w:fill="F2F5F3"/>
          </w:tcPr>
          <w:p>
            <w:pPr>
              <w:spacing w:after="20"/>
            </w:pPr>
            <w:r>
              <w:rPr>
                <w:rFonts w:ascii="Aptos" w:hAnsi="Aptos"/>
                <w:sz w:val="15"/>
              </w:rPr>
              <w:t>Create format-specific templates and platform checklists.</w:t>
            </w:r>
          </w:p>
        </w:tc>
      </w:tr>
      <w:tr>
        <w:tc>
          <w:tcPr>
            <w:tcW w:type="dxa" w:w="3360"/>
            <w:vAlign w:val="center"/>
          </w:tcPr>
          <w:p>
            <w:pPr>
              <w:spacing w:after="20"/>
            </w:pPr>
            <w:r>
              <w:rPr>
                <w:rFonts w:ascii="Aptos" w:hAnsi="Aptos"/>
                <w:sz w:val="15"/>
              </w:rPr>
              <w:t>Language</w:t>
            </w:r>
          </w:p>
        </w:tc>
        <w:tc>
          <w:tcPr>
            <w:tcW w:type="dxa" w:w="3360"/>
            <w:vAlign w:val="center"/>
          </w:tcPr>
          <w:p>
            <w:pPr>
              <w:spacing w:after="20"/>
            </w:pPr>
            <w:r>
              <w:rPr>
                <w:rFonts w:ascii="Aptos" w:hAnsi="Aptos"/>
                <w:sz w:val="15"/>
              </w:rPr>
              <w:t>Multilingual required</w:t>
            </w:r>
          </w:p>
        </w:tc>
        <w:tc>
          <w:tcPr>
            <w:tcW w:type="dxa" w:w="3360"/>
            <w:vAlign w:val="center"/>
          </w:tcPr>
          <w:p>
            <w:pPr>
              <w:spacing w:after="20"/>
            </w:pPr>
            <w:r>
              <w:rPr>
                <w:rFonts w:ascii="Aptos" w:hAnsi="Aptos"/>
                <w:sz w:val="15"/>
              </w:rPr>
              <w:t>Confirm initial languages/locales and RTL scope.</w:t>
            </w:r>
          </w:p>
        </w:tc>
      </w:tr>
      <w:tr>
        <w:tc>
          <w:tcPr>
            <w:tcW w:type="dxa" w:w="3360"/>
            <w:vAlign w:val="center"/>
            <w:shd w:fill="F2F5F3"/>
          </w:tcPr>
          <w:p>
            <w:pPr>
              <w:spacing w:after="20"/>
            </w:pPr>
            <w:r>
              <w:rPr>
                <w:rFonts w:ascii="Aptos" w:hAnsi="Aptos"/>
                <w:sz w:val="15"/>
              </w:rPr>
              <w:t>Sonic identity</w:t>
            </w:r>
          </w:p>
        </w:tc>
        <w:tc>
          <w:tcPr>
            <w:tcW w:type="dxa" w:w="3360"/>
            <w:vAlign w:val="center"/>
            <w:shd w:fill="F2F5F3"/>
          </w:tcPr>
          <w:p>
            <w:pPr>
              <w:spacing w:after="20"/>
            </w:pPr>
            <w:r>
              <w:rPr>
                <w:rFonts w:ascii="Aptos" w:hAnsi="Aptos"/>
                <w:sz w:val="15"/>
              </w:rPr>
              <w:t>Open decision</w:t>
            </w:r>
          </w:p>
        </w:tc>
        <w:tc>
          <w:tcPr>
            <w:tcW w:type="dxa" w:w="3360"/>
            <w:vAlign w:val="center"/>
            <w:shd w:fill="F2F5F3"/>
          </w:tcPr>
          <w:p>
            <w:pPr>
              <w:spacing w:after="20"/>
            </w:pPr>
            <w:r>
              <w:rPr>
                <w:rFonts w:ascii="Aptos" w:hAnsi="Aptos"/>
                <w:sz w:val="15"/>
              </w:rPr>
              <w:t>Decide after assessing informational-video needs.</w:t>
            </w:r>
          </w:p>
        </w:tc>
      </w:tr>
      <w:tr>
        <w:tc>
          <w:tcPr>
            <w:tcW w:type="dxa" w:w="3360"/>
            <w:vAlign w:val="center"/>
          </w:tcPr>
          <w:p>
            <w:pPr>
              <w:spacing w:after="20"/>
            </w:pPr>
            <w:r>
              <w:rPr>
                <w:rFonts w:ascii="Aptos" w:hAnsi="Aptos"/>
                <w:sz w:val="15"/>
              </w:rPr>
              <w:t>Tool stack</w:t>
            </w:r>
          </w:p>
        </w:tc>
        <w:tc>
          <w:tcPr>
            <w:tcW w:type="dxa" w:w="3360"/>
            <w:vAlign w:val="center"/>
          </w:tcPr>
          <w:p>
            <w:pPr>
              <w:spacing w:after="20"/>
            </w:pPr>
            <w:r>
              <w:rPr>
                <w:rFonts w:ascii="Aptos" w:hAnsi="Aptos"/>
                <w:sz w:val="15"/>
              </w:rPr>
              <w:t>Tool-agnostic</w:t>
            </w:r>
          </w:p>
        </w:tc>
        <w:tc>
          <w:tcPr>
            <w:tcW w:type="dxa" w:w="3360"/>
            <w:vAlign w:val="center"/>
          </w:tcPr>
          <w:p>
            <w:pPr>
              <w:spacing w:after="20"/>
            </w:pPr>
            <w:r>
              <w:rPr>
                <w:rFonts w:ascii="Aptos" w:hAnsi="Aptos"/>
                <w:sz w:val="15"/>
              </w:rPr>
              <w:t>Tools may vary; outputs must meet shared specs.</w:t>
            </w:r>
          </w:p>
        </w:tc>
      </w:tr>
      <w:tr>
        <w:tc>
          <w:tcPr>
            <w:tcW w:type="dxa" w:w="3360"/>
            <w:vAlign w:val="center"/>
            <w:shd w:fill="F2F5F3"/>
          </w:tcPr>
          <w:p>
            <w:pPr>
              <w:spacing w:after="20"/>
            </w:pPr>
            <w:r>
              <w:rPr>
                <w:rFonts w:ascii="Aptos" w:hAnsi="Aptos"/>
                <w:sz w:val="15"/>
              </w:rPr>
              <w:t>Research validation</w:t>
            </w:r>
          </w:p>
        </w:tc>
        <w:tc>
          <w:tcPr>
            <w:tcW w:type="dxa" w:w="3360"/>
            <w:vAlign w:val="center"/>
            <w:shd w:fill="F2F5F3"/>
          </w:tcPr>
          <w:p>
            <w:pPr>
              <w:spacing w:after="20"/>
            </w:pPr>
            <w:r>
              <w:rPr>
                <w:rFonts w:ascii="Aptos" w:hAnsi="Aptos"/>
                <w:sz w:val="15"/>
              </w:rPr>
              <w:t>Open gate</w:t>
            </w:r>
          </w:p>
        </w:tc>
        <w:tc>
          <w:tcPr>
            <w:tcW w:type="dxa" w:w="3360"/>
            <w:vAlign w:val="center"/>
            <w:shd w:fill="F2F5F3"/>
          </w:tcPr>
          <w:p>
            <w:pPr>
              <w:spacing w:after="20"/>
            </w:pPr>
            <w:r>
              <w:rPr>
                <w:rFonts w:ascii="Aptos" w:hAnsi="Aptos"/>
                <w:sz w:val="15"/>
              </w:rPr>
              <w:t>Test comprehension and recognition with target users.</w:t>
            </w:r>
          </w:p>
        </w:tc>
      </w:tr>
    </w:tbl>
    <w:p>
      <w:pPr>
        <w:spacing w:after="20"/>
      </w:pPr>
    </w:p>
    <w:p>
      <w:pPr>
        <w:pStyle w:val="Heading1"/>
      </w:pPr>
      <w:r>
        <w:t>18. Validation plan</w:t>
      </w:r>
    </w:p>
    <w:p>
      <w:pPr>
        <w:pStyle w:val="ListNumber"/>
        <w:spacing w:after="20"/>
      </w:pPr>
      <w:r>
        <w:t>Logo stress test: symbol/wordmark at small sizes, favicon, report cover, monochrome and photocopy. Confirm mirror reads as intentional perspective.</w:t>
      </w:r>
    </w:p>
    <w:p>
      <w:pPr>
        <w:pStyle w:val="ListNumber"/>
        <w:spacing w:after="20"/>
      </w:pPr>
      <w:r>
        <w:t>Palette/theme audit: text, controls, focus, status and charts in both themes; contrast and colour-vision checks; print conversion.</w:t>
      </w:r>
    </w:p>
    <w:p>
      <w:pPr>
        <w:pStyle w:val="ListNumber"/>
        <w:spacing w:after="20"/>
      </w:pPr>
      <w:r>
        <w:t>Multilingual specimen: headlines, body, tables, dates, percentages, currencies, punctuation and mixed-script content for each intended locale.</w:t>
      </w:r>
    </w:p>
    <w:p>
      <w:pPr>
        <w:pStyle w:val="ListNumber"/>
        <w:spacing w:after="20"/>
      </w:pPr>
      <w:r>
        <w:t>Research UI usability: ask users to find a source/as-of date, compare assets and locate a risk/caveat; observe without coaching.</w:t>
      </w:r>
    </w:p>
    <w:p>
      <w:pPr>
        <w:pStyle w:val="ListNumber"/>
        <w:spacing w:after="20"/>
      </w:pPr>
      <w:r>
        <w:t>Video comprehension: test short explainer, longer research briefing and product demo for comprehension, source recall, caption legibility and motion distraction.</w:t>
      </w:r>
    </w:p>
    <w:p>
      <w:pPr>
        <w:pStyle w:val="ListNumber"/>
        <w:spacing w:after="20"/>
      </w:pPr>
      <w:r>
        <w:t>Brand recognition: assess symbol distinctiveness and whether system communicates rigorous, calm, perspective-led research.</w:t>
      </w:r>
    </w:p>
    <w:p>
      <w:pPr>
        <w:pStyle w:val="ListNumber"/>
        <w:spacing w:after="20"/>
      </w:pPr>
      <w:r>
        <w:t>Pilot production: one report, dashboard view, social insight card, vertical explainer, landscape explainer and webinar title/lower thirds before scaling.</w:t>
      </w:r>
    </w:p>
    <w:p>
      <w:pPr>
        <w:pStyle w:val="Heading1"/>
      </w:pPr>
      <w:r>
        <w:t>19. Open decisions before full release</w:t>
      </w:r>
    </w:p>
    <w:p>
      <w:pPr>
        <w:pStyle w:val="ListBullet"/>
        <w:spacing w:after="20"/>
      </w:pPr>
      <w:r>
        <w:t>Final logo vector construction and small-size simplification.</w:t>
      </w:r>
    </w:p>
    <w:p>
      <w:pPr>
        <w:pStyle w:val="ListBullet"/>
        <w:spacing w:after="20"/>
      </w:pPr>
      <w:r>
        <w:t>Final font families, licences, script coverage and numeric settings.</w:t>
      </w:r>
    </w:p>
    <w:p>
      <w:pPr>
        <w:pStyle w:val="ListBullet"/>
        <w:spacing w:after="20"/>
      </w:pPr>
      <w:r>
        <w:t>Validated colour tokens and semantic mapping for both themes.</w:t>
      </w:r>
    </w:p>
    <w:p>
      <w:pPr>
        <w:pStyle w:val="ListBullet"/>
        <w:spacing w:after="20"/>
      </w:pPr>
      <w:r>
        <w:t>Initial language/locale list and right-to-left requirement.</w:t>
      </w:r>
    </w:p>
    <w:p>
      <w:pPr>
        <w:pStyle w:val="ListBullet"/>
        <w:spacing w:after="20"/>
      </w:pPr>
      <w:r>
        <w:t>Canonical icon family and custom-icon inventory.</w:t>
      </w:r>
    </w:p>
    <w:p>
      <w:pPr>
        <w:pStyle w:val="ListBullet"/>
        <w:spacing w:after="20"/>
      </w:pPr>
      <w:r>
        <w:t>Product breakpoints, spacing/radius tokens and component specs.</w:t>
      </w:r>
    </w:p>
    <w:p>
      <w:pPr>
        <w:pStyle w:val="ListBullet"/>
        <w:spacing w:after="20"/>
      </w:pPr>
      <w:r>
        <w:t>Motion timings/frame-rate decisions for actual production pipeline.</w:t>
      </w:r>
    </w:p>
    <w:p>
      <w:pPr>
        <w:pStyle w:val="ListBullet"/>
        <w:spacing w:after="20"/>
      </w:pPr>
      <w:r>
        <w:t>Sonic identity, if any.</w:t>
      </w:r>
    </w:p>
    <w:p>
      <w:pPr>
        <w:pStyle w:val="ListBullet"/>
        <w:spacing w:after="20"/>
      </w:pPr>
      <w:r>
        <w:t>Tagline/descriptor after audience validation.</w:t>
      </w:r>
    </w:p>
    <w:p>
      <w:pPr>
        <w:pStyle w:val="ListBullet"/>
        <w:spacing w:after="20"/>
      </w:pPr>
      <w:r>
        <w:t>Named approvers, asset storage and version-control process.</w:t>
      </w:r>
    </w:p>
    <w:p>
      <w:pPr>
        <w:pStyle w:val="Heading1"/>
      </w:pPr>
      <w:r>
        <w:t>20. Final operating rule</w:t>
      </w:r>
    </w:p>
    <w:p>
      <w:r>
        <w:rPr>
          <w:b/>
        </w:rPr>
        <w:t>Make the evidence easier to understand, not easier to believe.</w:t>
      </w:r>
    </w:p>
    <w:p>
      <w:r>
        <w:rPr>
          <w:b w:val="0"/>
        </w:rPr>
        <w:t>Every visual decision should improve orientation, comprehension, comparison, recall or trust. The system should be recognisable without becoming repetitive, sophisticated without becoming ornamental, and expressive without distorting the underlying research.</w:t>
      </w:r>
    </w:p>
    <w:p>
      <w:r>
        <w:rPr>
          <w:b w:val="0"/>
        </w:rPr>
        <w:t>Version 2.0 is a production-ready working standard with explicit release gates. It becomes a final approved identity system only after open decisions, vector masters, accessibility tests, localisation tests and target-user validation are complete.</w:t>
      </w:r>
    </w:p>
    <w:p>
      <w:r>
        <w:br w:type="page"/>
      </w:r>
    </w:p>
    <w:p>
      <w:pPr>
        <w:pStyle w:val="Heading1"/>
      </w:pPr>
      <w:r>
        <w:t>Appendix A. Visual references from the identity exploration</w:t>
      </w:r>
    </w:p>
    <w:p>
      <w:r>
        <w:rPr>
          <w:b/>
        </w:rPr>
        <w:t xml:space="preserve">Purpose. </w:t>
      </w:r>
      <w:r>
        <w:t>These boards preserve the visual work already explored so designers and production partners have a shared reference to build from. They communicate direction and relationships, not final specifications or editable master artwork.</w:t>
      </w:r>
    </w:p>
    <w:p>
      <w:r>
        <w:rPr>
          <w:b/>
        </w:rPr>
        <w:t xml:space="preserve">How to read these references. </w:t>
      </w:r>
      <w:r>
        <w:t>The selected direction is the earlier, more sophisticated split-arch with a central mirror, combining editorial authority with a sense of another vantage. Do not treat every detail shown in the boards as approved: some text, font names, colours, mock-up copy, interface details and logo constructions are exploratory. Production masters, tokens and assets must be redrawn, tested and signed off.</w:t>
      </w:r>
    </w:p>
    <w:p>
      <w:pPr>
        <w:pStyle w:val="Heading2"/>
      </w:pPr>
      <w:r>
        <w:t>Reference A. Concept and visual-language board</w:t>
      </w:r>
    </w:p>
    <w:p>
      <w:pPr>
        <w:spacing w:after="60"/>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lean_high_end_brand_presentation_board_moodb.png"/>
                    <pic:cNvPicPr/>
                  </pic:nvPicPr>
                  <pic:blipFill>
                    <a:blip r:embed="rId11"/>
                    <a:stretch>
                      <a:fillRect/>
                    </a:stretch>
                  </pic:blipFill>
                  <pic:spPr>
                    <a:xfrm>
                      <a:off x="0" y="0"/>
                      <a:ext cx="6217920" cy="4145280"/>
                    </a:xfrm>
                    <a:prstGeom prst="rect"/>
                  </pic:spPr>
                </pic:pic>
              </a:graphicData>
            </a:graphic>
          </wp:inline>
        </w:drawing>
      </w:r>
    </w:p>
    <w:p>
      <w:pPr>
        <w:spacing w:after="160"/>
      </w:pPr>
      <w:r>
        <w:rPr>
          <w:color w:val="556063"/>
          <w:sz w:val="17"/>
        </w:rPr>
        <w:t>Use this board to understand the split-arch and central-mirror idea, layered perspective, provisional palette, typography direction, graphic elements and early application language.</w:t>
      </w:r>
    </w:p>
    <w:p>
      <w:r>
        <w:br w:type="page"/>
      </w:r>
    </w:p>
    <w:p>
      <w:pPr>
        <w:pStyle w:val="Heading2"/>
      </w:pPr>
      <w:r>
        <w:t>Reference B. Logo system and application explorations</w:t>
      </w:r>
    </w:p>
    <w:p>
      <w:pPr>
        <w:spacing w:after="60"/>
        <w:jc w:val="center"/>
      </w:pPr>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wide_clean_brand_identity_presentation_board_with.png"/>
                    <pic:cNvPicPr/>
                  </pic:nvPicPr>
                  <pic:blipFill>
                    <a:blip r:embed="rId12"/>
                    <a:stretch>
                      <a:fillRect/>
                    </a:stretch>
                  </pic:blipFill>
                  <pic:spPr>
                    <a:xfrm>
                      <a:off x="0" y="0"/>
                      <a:ext cx="6217920" cy="4145280"/>
                    </a:xfrm>
                    <a:prstGeom prst="rect"/>
                  </pic:spPr>
                </pic:pic>
              </a:graphicData>
            </a:graphic>
          </wp:inline>
        </w:drawing>
      </w:r>
    </w:p>
    <w:p>
      <w:pPr>
        <w:spacing w:after="160"/>
      </w:pPr>
      <w:r>
        <w:rPr>
          <w:color w:val="556063"/>
          <w:sz w:val="17"/>
        </w:rPr>
        <w:t>Use this board to compare proposed lockups, symbol-only use, monochrome treatment, palette, typography, iconography and example applications.</w:t>
      </w:r>
    </w:p>
    <w:p>
      <w:r>
        <w:br w:type="page"/>
      </w:r>
    </w:p>
    <w:p>
      <w:pPr>
        <w:pStyle w:val="Heading2"/>
      </w:pPr>
      <w:r>
        <w:t>Reference C. Cross-channel identity styleboard</w:t>
      </w:r>
    </w:p>
    <w:p>
      <w:pPr>
        <w:spacing w:after="60"/>
        <w:jc w:val="center"/>
      </w:pPr>
      <w:r>
        <w:drawing>
          <wp:inline xmlns:a="http://schemas.openxmlformats.org/drawingml/2006/main" xmlns:pic="http://schemas.openxmlformats.org/drawingml/2006/picture">
            <wp:extent cx="6217920" cy="4145280"/>
            <wp:docPr id="3" name="Picture 3"/>
            <wp:cNvGraphicFramePr>
              <a:graphicFrameLocks noChangeAspect="1"/>
            </wp:cNvGraphicFramePr>
            <a:graphic>
              <a:graphicData uri="http://schemas.openxmlformats.org/drawingml/2006/picture">
                <pic:pic>
                  <pic:nvPicPr>
                    <pic:cNvPr id="0" name="a_wide_clean_high_end_brand_identity_styleboard.png"/>
                    <pic:cNvPicPr/>
                  </pic:nvPicPr>
                  <pic:blipFill>
                    <a:blip r:embed="rId13"/>
                    <a:stretch>
                      <a:fillRect/>
                    </a:stretch>
                  </pic:blipFill>
                  <pic:spPr>
                    <a:xfrm>
                      <a:off x="0" y="0"/>
                      <a:ext cx="6217920" cy="4145280"/>
                    </a:xfrm>
                    <a:prstGeom prst="rect"/>
                  </pic:spPr>
                </pic:pic>
              </a:graphicData>
            </a:graphic>
          </wp:inline>
        </w:drawing>
      </w:r>
    </w:p>
    <w:p>
      <w:pPr>
        <w:spacing w:after="160"/>
      </w:pPr>
      <w:r>
        <w:rPr>
          <w:color w:val="556063"/>
          <w:sz w:val="17"/>
        </w:rPr>
        <w:t>Use this board as a broad reference across web, mobile, research reports, chart styling and UI components. These are illustrative concept explorations, not final production artwork.</w:t>
      </w:r>
    </w:p>
    <w:p>
      <w:pPr>
        <w:pStyle w:val="Heading2"/>
      </w:pPr>
      <w:r>
        <w:t>Appendix A.1. What the production team should carry forward</w:t>
      </w:r>
    </w:p>
    <w:p>
      <w:pPr>
        <w:pStyle w:val="ListBullet"/>
        <w:spacing w:after="40"/>
      </w:pPr>
      <w:r>
        <w:t>The split-arch and central mirror as the recognisable core symbol, preserving the selected sophisticated dimensional concept.</w:t>
      </w:r>
    </w:p>
    <w:p>
      <w:pPr>
        <w:pStyle w:val="ListBullet"/>
        <w:spacing w:after="40"/>
      </w:pPr>
      <w:r>
        <w:t>The sense of depth and a second perspective, used with restraint rather than as a decorative effect everywhere.</w:t>
      </w:r>
    </w:p>
    <w:p>
      <w:pPr>
        <w:pStyle w:val="ListBullet"/>
        <w:spacing w:after="40"/>
      </w:pPr>
      <w:r>
        <w:t>Editorial typography paired with clean, legible product typography, subject to licensing and multilingual glyph testing.</w:t>
      </w:r>
    </w:p>
    <w:p>
      <w:pPr>
        <w:pStyle w:val="ListBullet"/>
        <w:spacing w:after="40"/>
      </w:pPr>
      <w:r>
        <w:t>The forest, sage, lime, ink, ivory and mist palette as a provisional hypothesis pending contrast, theme and print validation.</w:t>
      </w:r>
    </w:p>
    <w:p>
      <w:pPr>
        <w:pStyle w:val="ListBullet"/>
        <w:spacing w:after="40"/>
      </w:pPr>
      <w:r>
        <w:t>A consistent visual grammar across product, research reports, charts, content and video, while allowing each channel to prioritise its job.</w:t>
      </w:r>
    </w:p>
    <w:p>
      <w:pPr>
        <w:pStyle w:val="ListBullet"/>
        <w:spacing w:after="40"/>
      </w:pPr>
      <w:r>
        <w:t>The visual boards are references only. Final logo geometry must be delivered as editable vector paths, and mock-ups must be rebuilt from approved assets and current product requirements.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078"/>
        <w:sz w:val="16"/>
      </w:rPr>
      <w:t>VERSION 2.0  •  WORKING PRODUCTION STANDARD</w:t>
    </w:r>
  </w:p>
  <w:p>
    <w:pP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DA77A"/>
        <w:sz w:val="16"/>
      </w:rPr>
      <w:t>MOATNOMICS  /  VISUAL IDENTITY &amp;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82F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E3D32"/>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B233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E3D3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0E3D3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