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76" w:rsidRPr="009D6B76" w:rsidRDefault="009D6B76" w:rsidP="009D6B76">
      <w:pPr>
        <w:pBdr>
          <w:bottom w:val="dotted" w:sz="6" w:space="3" w:color="7F7F70"/>
        </w:pBd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</w:rPr>
      </w:pPr>
      <w:r w:rsidRPr="009D6B76"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  <w:highlight w:val="yellow"/>
        </w:rPr>
        <w:t>Transferable Skills</w:t>
      </w:r>
      <w:bookmarkStart w:id="0" w:name="_GoBack"/>
      <w:bookmarkEnd w:id="0"/>
    </w:p>
    <w:p w:rsidR="009D6B76" w:rsidRPr="009D6B76" w:rsidRDefault="009D6B76" w:rsidP="009D6B76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D6B76">
        <w:rPr>
          <w:rFonts w:ascii="Arial" w:eastAsia="Times New Roman" w:hAnsi="Arial" w:cs="Arial"/>
          <w:color w:val="555753"/>
          <w:sz w:val="20"/>
          <w:szCs w:val="20"/>
        </w:rPr>
        <w:t>Throughout your education, you have been asked to research topics and write papers, engage in thought-provoking discussions, consider diverse perspectives, and a host of other challenges that have required you to use both your discipline-specific skills as well as your soft skills to show proficiency of content-related topics. These are called transferable skills. Transferable skills are skills that you develop that can be </w:t>
      </w:r>
      <w:r w:rsidRPr="009D6B76">
        <w:rPr>
          <w:rFonts w:ascii="Arial" w:eastAsia="Times New Roman" w:hAnsi="Arial" w:cs="Arial"/>
          <w:i/>
          <w:iCs/>
          <w:color w:val="555753"/>
          <w:sz w:val="20"/>
          <w:szCs w:val="20"/>
        </w:rPr>
        <w:t>transferred</w:t>
      </w:r>
      <w:r w:rsidRPr="009D6B76">
        <w:rPr>
          <w:rFonts w:ascii="Arial" w:eastAsia="Times New Roman" w:hAnsi="Arial" w:cs="Arial"/>
          <w:color w:val="555753"/>
          <w:sz w:val="20"/>
          <w:szCs w:val="20"/>
        </w:rPr>
        <w:t> and applied within your chosen career. Transferable skills are highly valuable and essential for career success.</w:t>
      </w:r>
    </w:p>
    <w:p w:rsidR="009D6B76" w:rsidRPr="009D6B76" w:rsidRDefault="009D6B76" w:rsidP="009D6B76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D6B76">
        <w:rPr>
          <w:rFonts w:ascii="Arial" w:eastAsia="Times New Roman" w:hAnsi="Arial" w:cs="Arial"/>
          <w:color w:val="555753"/>
          <w:sz w:val="20"/>
          <w:szCs w:val="20"/>
        </w:rPr>
        <w:t>Rasmussen College recognizes the following as the top transferable skills required by employers today:</w:t>
      </w:r>
    </w:p>
    <w:tbl>
      <w:tblPr>
        <w:tblW w:w="0" w:type="auto"/>
        <w:shd w:val="clear" w:color="auto" w:fill="EAEAD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310"/>
        <w:gridCol w:w="4440"/>
      </w:tblGrid>
      <w:tr w:rsidR="009D6B76" w:rsidRPr="009D6B76" w:rsidTr="009D6B76">
        <w:tc>
          <w:tcPr>
            <w:tcW w:w="1395" w:type="dxa"/>
            <w:vMerge w:val="restart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D6B76" w:rsidRPr="009D6B76" w:rsidRDefault="009D6B76" w:rsidP="009D6B76">
            <w:pPr>
              <w:spacing w:after="0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br/>
            </w: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Personal Skills</w:t>
            </w: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Critical Thinking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Improving thinking, including problem-solving and creativity, by applying intellectual standards such as clarity, precision, logic, and reflection.</w:t>
            </w:r>
          </w:p>
        </w:tc>
      </w:tr>
      <w:tr w:rsidR="009D6B76" w:rsidRPr="009D6B76" w:rsidTr="009D6B76">
        <w:tc>
          <w:tcPr>
            <w:tcW w:w="0" w:type="auto"/>
            <w:vMerge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vAlign w:val="center"/>
            <w:hideMark/>
          </w:tcPr>
          <w:p w:rsidR="009D6B76" w:rsidRPr="009D6B76" w:rsidRDefault="009D6B76" w:rsidP="009D6B76">
            <w:pPr>
              <w:spacing w:after="0" w:line="240" w:lineRule="auto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Digital Fluency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Effectively employing and understanding digital tools to express ideas in appropriate contexts.</w:t>
            </w:r>
          </w:p>
        </w:tc>
      </w:tr>
      <w:tr w:rsidR="009D6B76" w:rsidRPr="009D6B76" w:rsidTr="009D6B76">
        <w:tc>
          <w:tcPr>
            <w:tcW w:w="0" w:type="auto"/>
            <w:vMerge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vAlign w:val="center"/>
            <w:hideMark/>
          </w:tcPr>
          <w:p w:rsidR="009D6B76" w:rsidRPr="009D6B76" w:rsidRDefault="009D6B76" w:rsidP="009D6B76">
            <w:pPr>
              <w:spacing w:after="0" w:line="240" w:lineRule="auto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Information Literacy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Recognizing when information is needed and possessing the ability to locate, evaluate, and use effectively needed information.</w:t>
            </w:r>
          </w:p>
        </w:tc>
      </w:tr>
      <w:tr w:rsidR="009D6B76" w:rsidRPr="009D6B76" w:rsidTr="009D6B76">
        <w:tc>
          <w:tcPr>
            <w:tcW w:w="1395" w:type="dxa"/>
            <w:vMerge w:val="restart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jc w:val="center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Global </w:t>
            </w: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br/>
            </w: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Skills</w:t>
            </w: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Ethics &amp; Professional Responsibility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Understanding and exhibiting principles of conduct and professional behavior which impact a greater good in the world and workplace. Understanding and applying ethical and professional principles of conduct.</w:t>
            </w:r>
          </w:p>
        </w:tc>
      </w:tr>
      <w:tr w:rsidR="009D6B76" w:rsidRPr="009D6B76" w:rsidTr="009D6B76">
        <w:tc>
          <w:tcPr>
            <w:tcW w:w="0" w:type="auto"/>
            <w:vMerge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vAlign w:val="center"/>
            <w:hideMark/>
          </w:tcPr>
          <w:p w:rsidR="009D6B76" w:rsidRPr="009D6B76" w:rsidRDefault="009D6B76" w:rsidP="009D6B76">
            <w:pPr>
              <w:spacing w:after="0" w:line="240" w:lineRule="auto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Communication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Displaying capability in writing, reading, and oral communication; understanding of non-verbal language.</w:t>
            </w:r>
          </w:p>
        </w:tc>
      </w:tr>
      <w:tr w:rsidR="009D6B76" w:rsidRPr="009D6B76" w:rsidTr="009D6B76">
        <w:tc>
          <w:tcPr>
            <w:tcW w:w="0" w:type="auto"/>
            <w:vMerge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vAlign w:val="center"/>
            <w:hideMark/>
          </w:tcPr>
          <w:p w:rsidR="009D6B76" w:rsidRPr="009D6B76" w:rsidRDefault="009D6B76" w:rsidP="009D6B76">
            <w:pPr>
              <w:spacing w:after="0" w:line="240" w:lineRule="auto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Diversity </w:t>
            </w: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br/>
            </w:r>
            <w:r w:rsidRPr="009D6B76">
              <w:rPr>
                <w:rFonts w:ascii="Arial" w:eastAsia="Times New Roman" w:hAnsi="Arial" w:cs="Arial"/>
                <w:b/>
                <w:bCs/>
                <w:color w:val="555753"/>
                <w:sz w:val="20"/>
                <w:szCs w:val="20"/>
              </w:rPr>
              <w:t>&amp; Teamwork</w:t>
            </w:r>
          </w:p>
        </w:tc>
        <w:tc>
          <w:tcPr>
            <w:tcW w:w="4440" w:type="dxa"/>
            <w:tcBorders>
              <w:top w:val="single" w:sz="6" w:space="0" w:color="857E5B"/>
              <w:left w:val="single" w:sz="6" w:space="0" w:color="857E5B"/>
              <w:bottom w:val="single" w:sz="6" w:space="0" w:color="857E5B"/>
              <w:right w:val="single" w:sz="6" w:space="0" w:color="857E5B"/>
            </w:tcBorders>
            <w:shd w:val="clear" w:color="auto" w:fill="EAEAD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6B76" w:rsidRPr="009D6B76" w:rsidRDefault="009D6B76" w:rsidP="009D6B76">
            <w:pPr>
              <w:spacing w:after="100" w:afterAutospacing="1" w:line="270" w:lineRule="atLeast"/>
              <w:rPr>
                <w:rFonts w:ascii="Arial" w:eastAsia="Times New Roman" w:hAnsi="Arial" w:cs="Arial"/>
                <w:color w:val="555753"/>
                <w:sz w:val="20"/>
                <w:szCs w:val="20"/>
              </w:rPr>
            </w:pPr>
            <w:r w:rsidRPr="009D6B76">
              <w:rPr>
                <w:rFonts w:ascii="Arial" w:eastAsia="Times New Roman" w:hAnsi="Arial" w:cs="Arial"/>
                <w:color w:val="555753"/>
                <w:sz w:val="20"/>
                <w:szCs w:val="20"/>
              </w:rPr>
              <w:t>Demonstrating awareness and empathy while working collaboratively with people of diverse backgrounds and perspectives.</w:t>
            </w:r>
          </w:p>
        </w:tc>
      </w:tr>
    </w:tbl>
    <w:p w:rsidR="009D6B76" w:rsidRPr="009D6B76" w:rsidRDefault="009D6B76" w:rsidP="009D6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6B7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D6B76" w:rsidRPr="009D6B76" w:rsidRDefault="009D6B76" w:rsidP="009D6B76">
      <w:pPr>
        <w:pBdr>
          <w:bottom w:val="dotted" w:sz="6" w:space="3" w:color="7F7F70"/>
        </w:pBd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</w:rPr>
      </w:pPr>
      <w:r w:rsidRPr="009D6B76"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</w:rPr>
        <w:t>Transferable Skills Summaries</w:t>
      </w:r>
    </w:p>
    <w:p w:rsidR="009D6B76" w:rsidRPr="009D6B76" w:rsidRDefault="009D6B76" w:rsidP="009D6B76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D6B76">
        <w:rPr>
          <w:rFonts w:ascii="Arial" w:eastAsia="Times New Roman" w:hAnsi="Arial" w:cs="Arial"/>
          <w:color w:val="555753"/>
          <w:sz w:val="20"/>
          <w:szCs w:val="20"/>
        </w:rPr>
        <w:t xml:space="preserve">The following transferable skills summaries will provide you with a deeper understanding of what each Transferable Skill means and how it will affect you in the future. </w:t>
      </w:r>
      <w:proofErr w:type="gramStart"/>
      <w:r w:rsidRPr="009D6B76">
        <w:rPr>
          <w:rFonts w:ascii="Arial" w:eastAsia="Times New Roman" w:hAnsi="Arial" w:cs="Arial"/>
          <w:color w:val="555753"/>
          <w:sz w:val="20"/>
          <w:szCs w:val="20"/>
        </w:rPr>
        <w:t>Having an understanding of</w:t>
      </w:r>
      <w:proofErr w:type="gramEnd"/>
      <w:r w:rsidRPr="009D6B76">
        <w:rPr>
          <w:rFonts w:ascii="Arial" w:eastAsia="Times New Roman" w:hAnsi="Arial" w:cs="Arial"/>
          <w:color w:val="555753"/>
          <w:sz w:val="20"/>
          <w:szCs w:val="20"/>
        </w:rPr>
        <w:t xml:space="preserve"> the Transferable Skill(s) you will be using will provide clarity as you complete your Capstone Portfolio. Click on each the title of each transferable skill to view the corresponding summary:</w:t>
      </w:r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5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Communication Transferable Skill Summary</w:t>
        </w:r>
      </w:hyperlink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6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Critical Thinking Transferable Skill Summary</w:t>
        </w:r>
      </w:hyperlink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7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Digital Fluency Transferable Skill Summary</w:t>
        </w:r>
      </w:hyperlink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8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Diversity &amp; Teamwork Transferable Skill Summary</w:t>
        </w:r>
      </w:hyperlink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9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Ethics &amp; Professional Responsibility Transferable Skill Summary</w:t>
        </w:r>
      </w:hyperlink>
    </w:p>
    <w:p w:rsidR="009D6B76" w:rsidRPr="009D6B76" w:rsidRDefault="009D6B76" w:rsidP="009D6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0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Information Literacy Transferable Skill Summary</w:t>
        </w:r>
      </w:hyperlink>
    </w:p>
    <w:p w:rsidR="009D6B76" w:rsidRPr="009D6B76" w:rsidRDefault="009D6B76" w:rsidP="009D6B76">
      <w:pPr>
        <w:pBdr>
          <w:bottom w:val="dotted" w:sz="6" w:space="3" w:color="7F7F70"/>
        </w:pBd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</w:rPr>
      </w:pPr>
      <w:r w:rsidRPr="009D6B76">
        <w:rPr>
          <w:rFonts w:ascii="Arial" w:eastAsia="Times New Roman" w:hAnsi="Arial" w:cs="Arial"/>
          <w:b/>
          <w:bCs/>
          <w:color w:val="963823"/>
          <w:spacing w:val="15"/>
          <w:kern w:val="36"/>
          <w:sz w:val="27"/>
          <w:szCs w:val="27"/>
        </w:rPr>
        <w:t>Transferable Skills Rubrics</w:t>
      </w:r>
    </w:p>
    <w:p w:rsidR="009D6B76" w:rsidRPr="009D6B76" w:rsidRDefault="009D6B76" w:rsidP="009D6B76">
      <w:p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</w:rPr>
      </w:pPr>
      <w:r w:rsidRPr="009D6B76">
        <w:rPr>
          <w:rFonts w:ascii="Arial" w:eastAsia="Times New Roman" w:hAnsi="Arial" w:cs="Arial"/>
          <w:color w:val="555753"/>
          <w:sz w:val="20"/>
          <w:szCs w:val="20"/>
        </w:rPr>
        <w:t>For this course, you will need to assess the suitability of assignments to demonstrate your proficiency in </w:t>
      </w:r>
      <w:r w:rsidRPr="009D6B76">
        <w:rPr>
          <w:rFonts w:ascii="Arial" w:eastAsia="Times New Roman" w:hAnsi="Arial" w:cs="Arial"/>
          <w:b/>
          <w:bCs/>
          <w:color w:val="555753"/>
          <w:sz w:val="20"/>
          <w:szCs w:val="20"/>
        </w:rPr>
        <w:t>at least three</w:t>
      </w:r>
      <w:r w:rsidRPr="009D6B76">
        <w:rPr>
          <w:rFonts w:ascii="Arial" w:eastAsia="Times New Roman" w:hAnsi="Arial" w:cs="Arial"/>
          <w:color w:val="555753"/>
          <w:sz w:val="20"/>
          <w:szCs w:val="20"/>
        </w:rPr>
        <w:t> of the transferable skills by using the transferrable skill rubrics below. Click on each title to view the corresponding transferable skill rubric:</w:t>
      </w:r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1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Communication Transferable Skill Rubric</w:t>
        </w:r>
      </w:hyperlink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2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Critical Thinking Transferable Skill Rubric</w:t>
        </w:r>
      </w:hyperlink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3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Digital Fluency Transferable Skill Rubric</w:t>
        </w:r>
      </w:hyperlink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4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Diversity &amp; Teamwork Transferable Skill Rubric</w:t>
        </w:r>
      </w:hyperlink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5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Ethics and Professional Responsibility Transferable Skill Rubric</w:t>
        </w:r>
      </w:hyperlink>
    </w:p>
    <w:p w:rsidR="009D6B76" w:rsidRPr="009D6B76" w:rsidRDefault="009D6B76" w:rsidP="009D6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1020"/>
        <w:rPr>
          <w:rFonts w:ascii="Arial" w:eastAsia="Times New Roman" w:hAnsi="Arial" w:cs="Arial"/>
          <w:color w:val="555753"/>
          <w:sz w:val="20"/>
          <w:szCs w:val="20"/>
        </w:rPr>
      </w:pPr>
      <w:hyperlink r:id="rId16" w:history="1">
        <w:r w:rsidRPr="009D6B76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Information Literacy Transferable Skill Rubric</w:t>
        </w:r>
      </w:hyperlink>
    </w:p>
    <w:p w:rsidR="009D6B76" w:rsidRPr="009D6B76" w:rsidRDefault="009D6B76" w:rsidP="009D6B76">
      <w:pPr>
        <w:shd w:val="clear" w:color="auto" w:fill="857E5B"/>
        <w:spacing w:after="100" w:afterAutospacing="1" w:line="240" w:lineRule="auto"/>
        <w:jc w:val="center"/>
        <w:rPr>
          <w:rFonts w:ascii="Arial" w:eastAsia="Times New Roman" w:hAnsi="Arial" w:cs="Arial"/>
          <w:color w:val="FFFFFF"/>
          <w:sz w:val="17"/>
          <w:szCs w:val="17"/>
        </w:rPr>
      </w:pPr>
      <w:r w:rsidRPr="009D6B76">
        <w:rPr>
          <w:rFonts w:ascii="Arial" w:eastAsia="Times New Roman" w:hAnsi="Arial" w:cs="Arial"/>
          <w:color w:val="FFFFFF"/>
          <w:sz w:val="17"/>
          <w:szCs w:val="17"/>
        </w:rPr>
        <w:t>Rasmussen Personal Support Center, call toll-free</w:t>
      </w:r>
    </w:p>
    <w:p w:rsidR="002026C9" w:rsidRDefault="003A354D"/>
    <w:sectPr w:rsidR="0020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3F3F"/>
    <w:multiLevelType w:val="multilevel"/>
    <w:tmpl w:val="04B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477F7"/>
    <w:multiLevelType w:val="multilevel"/>
    <w:tmpl w:val="448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76"/>
    <w:rsid w:val="003A354D"/>
    <w:rsid w:val="00762B9F"/>
    <w:rsid w:val="009D6B76"/>
    <w:rsid w:val="009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0A1F7-91CA-4D61-8947-C6789A8F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6B76"/>
  </w:style>
  <w:style w:type="character" w:styleId="Emphasis">
    <w:name w:val="Emphasis"/>
    <w:basedOn w:val="DefaultParagraphFont"/>
    <w:uiPriority w:val="20"/>
    <w:qFormat/>
    <w:rsid w:val="009D6B76"/>
    <w:rPr>
      <w:i/>
      <w:iCs/>
    </w:rPr>
  </w:style>
  <w:style w:type="character" w:styleId="Strong">
    <w:name w:val="Strong"/>
    <w:basedOn w:val="DefaultParagraphFont"/>
    <w:uiPriority w:val="22"/>
    <w:qFormat/>
    <w:rsid w:val="009D6B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21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6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learntoday.info/course_files/transferable_skills/Media/Diversity%20and%20Teamwork%20Transferable%20Skill%20Summary.pdf" TargetMode="External"/><Relationship Id="rId13" Type="http://schemas.openxmlformats.org/officeDocument/2006/relationships/hyperlink" Target="https://content.learntoday.info/course_files/transferable_skills/Media/Digital%20Fluency%20Transferable%20Skill%20Rubric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tent.learntoday.info/course_files/transferable_skills/Media/Digital%20Fluency%20Transferable%20Skill%20Summary.pdf" TargetMode="External"/><Relationship Id="rId12" Type="http://schemas.openxmlformats.org/officeDocument/2006/relationships/hyperlink" Target="https://content.learntoday.info/course_files/transferable_skills/Media/Critical%20Thinking%20Transferable%20Skills%20Rubric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tent.learntoday.info/course_files/transferable_skills/Media/Information%20Literacy%20Transferable%20Skill%20Rubri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tent.learntoday.info/course_files/transferable_skills/Media/Critical_Thinking%20Transferable%20Skill%20Summary.pdf" TargetMode="External"/><Relationship Id="rId11" Type="http://schemas.openxmlformats.org/officeDocument/2006/relationships/hyperlink" Target="https://content.learntoday.info/course_files/transferable_skills/Media/New%20Communication%20Transferable%20Skill%20Rubric.pdf" TargetMode="External"/><Relationship Id="rId5" Type="http://schemas.openxmlformats.org/officeDocument/2006/relationships/hyperlink" Target="https://content.learntoday.info/course_files/transferable_skills/Media/Communication%20Transferable%20Skill%20Summary.pdf" TargetMode="External"/><Relationship Id="rId15" Type="http://schemas.openxmlformats.org/officeDocument/2006/relationships/hyperlink" Target="https://content.learntoday.info/course_files/transferable_skills/Media/Ethics%20and%20Professional%20Responsibility%20Transferable%20Skill%20Rubric.pdf" TargetMode="External"/><Relationship Id="rId10" Type="http://schemas.openxmlformats.org/officeDocument/2006/relationships/hyperlink" Target="https://content.learntoday.info/course_files/transferable_skills/Media/Information_Literacy_Transferable%20Skill%20Summ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learntoday.info/course_files/transferable_skills/Media/Ethics_and_Professional_Responsibility_Transferable%20Skill%20Summary.pdf" TargetMode="External"/><Relationship Id="rId14" Type="http://schemas.openxmlformats.org/officeDocument/2006/relationships/hyperlink" Target="https://content.learntoday.info/course_files/transferable_skills/Media/Diversity%20Awareness%20and%20Teamwork%20Transferable%20Skill%20Rubr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Transferable Skills</vt:lpstr>
      <vt:lpstr>Transferable Skills Summaries</vt:lpstr>
      <vt:lpstr>Transferable Skills Rubrics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jakua_000</dc:creator>
  <cp:keywords/>
  <dc:description/>
  <cp:lastModifiedBy>jakua_000</cp:lastModifiedBy>
  <cp:revision>2</cp:revision>
  <dcterms:created xsi:type="dcterms:W3CDTF">2016-11-09T00:04:00Z</dcterms:created>
  <dcterms:modified xsi:type="dcterms:W3CDTF">2016-11-09T00:07:00Z</dcterms:modified>
</cp:coreProperties>
</file>