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38"/>
        </w:rPr>
        <w:t>Angebot: Halbzeitevaluierung Wasserprojekt Nalu</w:t>
      </w:r>
    </w:p>
    <w:p>
      <w:r>
        <w:rPr>
          <w:i/>
          <w:sz w:val="21"/>
        </w:rPr>
        <w:t>Institut für Wirkungsanalyse Süd (fiktiv)</w:t>
      </w:r>
    </w:p>
    <w:p>
      <w:pPr>
        <w:pStyle w:val="Heading1"/>
      </w:pPr>
      <w:r>
        <w:t>1 Verständnis des Auftrags</w:t>
      </w:r>
    </w:p>
    <w:p>
      <w:r>
        <w:t>Das Projekt errichtet solarbetriebene Brunnen in drei Gemeinden des Distrikts Nalu. Die Halbzeitevaluierung soll prüfen, ob die bisherigen Ergebnisse die geplante Wirkung erwarten lassen, und Empfehlungen für die zweite Projekthälfte geben.</w:t>
      </w:r>
    </w:p>
    <w:p>
      <w:pPr>
        <w:pStyle w:val="Heading1"/>
      </w:pPr>
      <w:r>
        <w:t>2 Methodik</w:t>
      </w:r>
    </w:p>
    <w:p>
      <w:pPr>
        <w:pStyle w:val="Heading2"/>
      </w:pPr>
      <w:r>
        <w:t>2.1 Haushaltsbefragung</w:t>
      </w:r>
    </w:p>
    <w:p>
      <w:r>
        <w:t>Wir befragen eine Stichprobe von n = 300 Haushalten, geschichtet nach Gemeinde. Der Fragebogen wird mit Wasserkomitees abgestimmt und vorab an 15 Haushalten getestet.</w:t>
      </w:r>
    </w:p>
    <w:p>
      <w:pPr>
        <w:pStyle w:val="Heading2"/>
      </w:pPr>
      <w:r>
        <w:t>2.2 Fokusgruppen</w:t>
      </w:r>
    </w:p>
    <w:p>
      <w:r>
        <w:t>Wir führen sechs Fokusgruppen durch, davon drei ausschließlich mit Frauen, moderiert von einer weiblichen Interviewerin.</w:t>
      </w:r>
    </w:p>
    <w:p>
      <w:pPr>
        <w:pStyle w:val="Heading2"/>
      </w:pPr>
      <w:r>
        <w:t>2.3 Interviews</w:t>
      </w:r>
    </w:p>
    <w:p>
      <w:r>
        <w:t>Wir führen Interviews mit Vertreterinnen und Vertretern der Sabu, mit den Wasserkomitees und dem lokalen Partner. Für die Sabu planen wir einen Termin während des saisonalen Aufenthalts im Distrikt.</w:t>
      </w:r>
    </w:p>
    <w:p>
      <w:pPr>
        <w:pStyle w:val="Heading2"/>
      </w:pPr>
      <w:r>
        <w:t>2.4 Datenschutz</w:t>
      </w:r>
    </w:p>
    <w:p>
      <w:r>
        <w:t>Alle Daten werden pseudonymisiert erhoben und auf verschlüsselten Geräten gespeichert. Einwilligungen werden mündlich und schriftlich dokumentiert. Rohdaten werden nach Abschluss des Auftrags gelöscht, anonymisierte Datensätze auf Wunsch übergeben.</w:t>
      </w:r>
    </w:p>
    <w:p>
      <w:pPr>
        <w:pStyle w:val="Heading1"/>
      </w:pPr>
      <w:r>
        <w:t>3 Zeitplan</w:t>
      </w:r>
    </w:p>
    <w:tbl>
      <w:tblPr>
        <w:tblStyle w:val="TableGrid"/>
        <w:tblW w:type="auto" w:w="0"/>
        <w:tblLook w:firstColumn="1" w:firstRow="1" w:lastColumn="0" w:lastRow="0" w:noHBand="0" w:noVBand="1" w:val="04A0"/>
      </w:tblPr>
      <w:tblGrid>
        <w:gridCol w:w="4592"/>
        <w:gridCol w:w="4592"/>
      </w:tblGrid>
      <w:tr>
        <w:tc>
          <w:tcPr>
            <w:tcW w:type="dxa" w:w="6236"/>
            <w:shd w:val="clear" w:fill="DCE4EE"/>
          </w:tcPr>
          <w:p>
            <w:r/>
            <w:r>
              <w:rPr>
                <w:b/>
                <w:sz w:val="20"/>
              </w:rPr>
              <w:t>Phase</w:t>
            </w:r>
          </w:p>
        </w:tc>
        <w:tc>
          <w:tcPr>
            <w:tcW w:type="dxa" w:w="2948"/>
            <w:shd w:val="clear" w:fill="DCE4EE"/>
          </w:tcPr>
          <w:p>
            <w:r/>
            <w:r>
              <w:rPr>
                <w:b/>
                <w:sz w:val="20"/>
              </w:rPr>
              <w:t>Dauer</w:t>
            </w:r>
          </w:p>
        </w:tc>
      </w:tr>
      <w:tr>
        <w:tc>
          <w:tcPr>
            <w:tcW w:type="dxa" w:w="6236"/>
          </w:tcPr>
          <w:p>
            <w:pPr>
              <w:spacing w:after="20"/>
            </w:pPr>
            <w:r/>
            <w:r>
              <w:rPr>
                <w:sz w:val="20"/>
              </w:rPr>
              <w:t>Vorbereitung und Fragebogentest</w:t>
            </w:r>
          </w:p>
        </w:tc>
        <w:tc>
          <w:tcPr>
            <w:tcW w:type="dxa" w:w="2948"/>
          </w:tcPr>
          <w:p>
            <w:pPr>
              <w:spacing w:after="20"/>
            </w:pPr>
            <w:r/>
            <w:r>
              <w:rPr>
                <w:sz w:val="20"/>
              </w:rPr>
              <w:t>4 Wochen</w:t>
            </w:r>
          </w:p>
        </w:tc>
      </w:tr>
      <w:tr>
        <w:tc>
          <w:tcPr>
            <w:tcW w:type="dxa" w:w="6236"/>
          </w:tcPr>
          <w:p>
            <w:pPr>
              <w:spacing w:after="20"/>
            </w:pPr>
            <w:r/>
            <w:r>
              <w:rPr>
                <w:sz w:val="20"/>
              </w:rPr>
              <w:t>Feldphase (14 Feldtage)</w:t>
            </w:r>
          </w:p>
        </w:tc>
        <w:tc>
          <w:tcPr>
            <w:tcW w:type="dxa" w:w="2948"/>
          </w:tcPr>
          <w:p>
            <w:pPr>
              <w:spacing w:after="20"/>
            </w:pPr>
            <w:r/>
            <w:r>
              <w:rPr>
                <w:sz w:val="20"/>
              </w:rPr>
              <w:t>5 Wochen</w:t>
            </w:r>
          </w:p>
        </w:tc>
      </w:tr>
      <w:tr>
        <w:tc>
          <w:tcPr>
            <w:tcW w:type="dxa" w:w="6236"/>
          </w:tcPr>
          <w:p>
            <w:pPr>
              <w:spacing w:after="20"/>
            </w:pPr>
            <w:r/>
            <w:r>
              <w:rPr>
                <w:sz w:val="20"/>
              </w:rPr>
              <w:t>Auswertung und Berichtslegung</w:t>
            </w:r>
          </w:p>
        </w:tc>
        <w:tc>
          <w:tcPr>
            <w:tcW w:type="dxa" w:w="2948"/>
          </w:tcPr>
          <w:p>
            <w:pPr>
              <w:spacing w:after="20"/>
            </w:pPr>
            <w:r/>
            <w:r>
              <w:rPr>
                <w:sz w:val="20"/>
              </w:rPr>
              <w:t>5 Wochen</w:t>
            </w:r>
          </w:p>
        </w:tc>
      </w:tr>
      <w:tr>
        <w:tc>
          <w:tcPr>
            <w:tcW w:type="dxa" w:w="6236"/>
          </w:tcPr>
          <w:p>
            <w:pPr>
              <w:spacing w:after="20"/>
            </w:pPr>
            <w:r/>
            <w:r>
              <w:rPr>
                <w:sz w:val="20"/>
              </w:rPr>
              <w:t>Gesamt</w:t>
            </w:r>
          </w:p>
        </w:tc>
        <w:tc>
          <w:tcPr>
            <w:tcW w:type="dxa" w:w="2948"/>
          </w:tcPr>
          <w:p>
            <w:pPr>
              <w:spacing w:after="20"/>
            </w:pPr>
            <w:r/>
            <w:r>
              <w:rPr>
                <w:sz w:val="20"/>
              </w:rPr>
              <w:t>14 Wochen</w:t>
            </w:r>
          </w:p>
        </w:tc>
      </w:tr>
    </w:tbl>
    <w:p>
      <w:pPr>
        <w:spacing w:after="40"/>
      </w:pPr>
    </w:p>
    <w:p>
      <w:pPr>
        <w:pStyle w:val="Heading1"/>
      </w:pPr>
      <w:r>
        <w:t>4 Team</w:t>
      </w:r>
    </w:p>
    <w:p>
      <w:pPr>
        <w:pStyle w:val="ListBullet"/>
        <w:spacing w:after="40"/>
      </w:pPr>
      <w:r>
        <w:t>Dr. Lena Ferreira, Teamleiterin (Verfügbarkeit unter Vorbehalt): Sozialwissenschaftlerin, 14 Jahre Erfahrung in Wirkungsevaluierungen, Schwerpunkt Wasser und Sanitärversorgung.</w:t>
      </w:r>
    </w:p>
    <w:p>
      <w:pPr>
        <w:pStyle w:val="ListBullet"/>
        <w:spacing w:after="40"/>
      </w:pPr>
      <w:r>
        <w:t>Tomás Abara, Feldleiter: Statistiker, 9 Jahre Erfahrung in Haushaltsbefragungen in Ostafrika.</w:t>
      </w:r>
    </w:p>
    <w:p>
      <w:pPr>
        <w:pStyle w:val="ListBullet"/>
        <w:spacing w:after="40"/>
      </w:pPr>
      <w:r>
        <w:t>Nia Okello, Gender- und Inklusionsexpertin: 11 Jahre Erfahrung in partizipativen Methoden.</w:t>
      </w:r>
    </w:p>
    <w:p>
      <w:pPr>
        <w:pStyle w:val="Heading1"/>
      </w:pPr>
      <w:r>
        <w:t>5 Preis</w:t>
      </w:r>
    </w:p>
    <w:tbl>
      <w:tblPr>
        <w:tblStyle w:val="TableGrid"/>
        <w:tblW w:type="auto" w:w="0"/>
        <w:tblLook w:firstColumn="1" w:firstRow="1" w:lastColumn="0" w:lastRow="0" w:noHBand="0" w:noVBand="1" w:val="04A0"/>
      </w:tblPr>
      <w:tblGrid>
        <w:gridCol w:w="4592"/>
        <w:gridCol w:w="4592"/>
      </w:tblGrid>
      <w:tr>
        <w:tc>
          <w:tcPr>
            <w:tcW w:type="dxa" w:w="6236"/>
            <w:shd w:val="clear" w:fill="DCE4EE"/>
          </w:tcPr>
          <w:p>
            <w:r/>
            <w:r>
              <w:rPr>
                <w:b/>
                <w:sz w:val="20"/>
              </w:rPr>
              <w:t>Position</w:t>
            </w:r>
          </w:p>
        </w:tc>
        <w:tc>
          <w:tcPr>
            <w:tcW w:type="dxa" w:w="2948"/>
            <w:shd w:val="clear" w:fill="DCE4EE"/>
          </w:tcPr>
          <w:p>
            <w:r/>
            <w:r>
              <w:rPr>
                <w:b/>
                <w:sz w:val="20"/>
              </w:rPr>
              <w:t>Betrag in EUR</w:t>
            </w:r>
          </w:p>
        </w:tc>
      </w:tr>
      <w:tr>
        <w:tc>
          <w:tcPr>
            <w:tcW w:type="dxa" w:w="6236"/>
          </w:tcPr>
          <w:p>
            <w:pPr>
              <w:spacing w:after="20"/>
            </w:pPr>
            <w:r/>
            <w:r>
              <w:rPr>
                <w:sz w:val="20"/>
              </w:rPr>
              <w:t>Honorar (14 Feldtage plus Vor- und Nachbereitung)</w:t>
            </w:r>
          </w:p>
        </w:tc>
        <w:tc>
          <w:tcPr>
            <w:tcW w:type="dxa" w:w="2948"/>
          </w:tcPr>
          <w:p>
            <w:pPr>
              <w:spacing w:after="20"/>
            </w:pPr>
            <w:r/>
            <w:r>
              <w:rPr>
                <w:sz w:val="20"/>
              </w:rPr>
              <w:t>41.900</w:t>
            </w:r>
          </w:p>
        </w:tc>
      </w:tr>
      <w:tr>
        <w:tc>
          <w:tcPr>
            <w:tcW w:type="dxa" w:w="6236"/>
          </w:tcPr>
          <w:p>
            <w:pPr>
              <w:spacing w:after="20"/>
            </w:pPr>
            <w:r/>
            <w:r>
              <w:rPr>
                <w:sz w:val="20"/>
              </w:rPr>
              <w:t>Reise- und Nebenkosten</w:t>
            </w:r>
          </w:p>
        </w:tc>
        <w:tc>
          <w:tcPr>
            <w:tcW w:type="dxa" w:w="2948"/>
          </w:tcPr>
          <w:p>
            <w:pPr>
              <w:spacing w:after="20"/>
            </w:pPr>
            <w:r/>
            <w:r>
              <w:rPr>
                <w:sz w:val="20"/>
              </w:rPr>
              <w:t>11.000</w:t>
            </w:r>
          </w:p>
        </w:tc>
      </w:tr>
      <w:tr>
        <w:tc>
          <w:tcPr>
            <w:tcW w:type="dxa" w:w="6236"/>
          </w:tcPr>
          <w:p>
            <w:pPr>
              <w:spacing w:after="20"/>
            </w:pPr>
            <w:r/>
            <w:r>
              <w:rPr>
                <w:sz w:val="20"/>
              </w:rPr>
              <w:t>Gesamtpreis</w:t>
            </w:r>
          </w:p>
        </w:tc>
        <w:tc>
          <w:tcPr>
            <w:tcW w:type="dxa" w:w="2948"/>
          </w:tcPr>
          <w:p>
            <w:pPr>
              <w:spacing w:after="20"/>
            </w:pPr>
            <w:r/>
            <w:r>
              <w:rPr>
                <w:sz w:val="20"/>
              </w:rPr>
              <w:t>52.900</w:t>
            </w:r>
          </w:p>
        </w:tc>
      </w:tr>
    </w:tbl>
    <w:p>
      <w:pPr>
        <w:spacing w:after="40"/>
      </w:pPr>
    </w:p>
    <w:sectPr w:rsidR="00FC693F" w:rsidRPr="0006063C" w:rsidSect="00034616">
      <w:headerReference w:type="default" r:id="rId9"/>
      <w:footerReference w:type="default" r:id="rId10"/>
      <w:pgSz w:w="11906" w:h="16838"/>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Seite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9B1828"/>
        <w:sz w:val="17"/>
      </w:rPr>
      <w:t>ÜBUNGSDOKUMENT · frei erfunden · tecTrain 13.10.2026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