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1165" w:rsidRDefault="00134F05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Muzea a památníky revolučního hnutí a pokrokových tradic</w:t>
      </w:r>
    </w:p>
    <w:p w14:paraId="00000002" w14:textId="77777777" w:rsidR="00751165" w:rsidRDefault="00134F0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Struktura, řešení a cíle výzkumu</w:t>
      </w:r>
    </w:p>
    <w:p w14:paraId="00000003" w14:textId="77777777" w:rsidR="00751165" w:rsidRDefault="00751165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00000004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Popis cílů a obsahu mapy</w:t>
      </w:r>
    </w:p>
    <w:p w14:paraId="00000005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Cílem mapy je inventura paměťových institucí socialismu, které svoji činnost zaměřovaly na popularizaci a </w:t>
      </w:r>
      <w:proofErr w:type="spellStart"/>
      <w:r>
        <w:rPr>
          <w:rFonts w:ascii="Calibri" w:eastAsia="Calibri" w:hAnsi="Calibri" w:cs="Calibri"/>
        </w:rPr>
        <w:t>didaktizaci</w:t>
      </w:r>
      <w:proofErr w:type="spellEnd"/>
      <w:r>
        <w:rPr>
          <w:rFonts w:ascii="Calibri" w:eastAsia="Calibri" w:hAnsi="Calibri" w:cs="Calibri"/>
        </w:rPr>
        <w:t xml:space="preserve"> základních konstrukcí stranické historiografie: tradice revolučních bojů a dějin dělnického hnutí.</w:t>
      </w:r>
      <w:r>
        <w:rPr>
          <w:rFonts w:ascii="Calibri" w:eastAsia="Calibri" w:hAnsi="Calibri" w:cs="Calibri"/>
          <w:vertAlign w:val="superscript"/>
        </w:rPr>
        <w:footnoteReference w:id="1"/>
      </w:r>
      <w:r>
        <w:rPr>
          <w:rFonts w:ascii="Calibri" w:eastAsia="Calibri" w:hAnsi="Calibri" w:cs="Calibri"/>
        </w:rPr>
        <w:t xml:space="preserve"> Zanesení těchto institucí do mapového </w:t>
      </w:r>
      <w:r>
        <w:rPr>
          <w:rFonts w:ascii="Calibri" w:eastAsia="Calibri" w:hAnsi="Calibri" w:cs="Calibri"/>
        </w:rPr>
        <w:t>podkladu představuje ve svém důsledku tezi silné snahy kulturní politiky pěstovat určitou specifickou kolektivní paměť.</w:t>
      </w:r>
      <w:r>
        <w:rPr>
          <w:rFonts w:ascii="Calibri" w:eastAsia="Calibri" w:hAnsi="Calibri" w:cs="Calibri"/>
          <w:vertAlign w:val="superscript"/>
        </w:rPr>
        <w:footnoteReference w:id="2"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Instituce, jež mapa zobrazuje, se věnovaly jak </w:t>
      </w:r>
      <w:proofErr w:type="spellStart"/>
      <w:r>
        <w:rPr>
          <w:rFonts w:ascii="Calibri" w:eastAsia="Calibri" w:hAnsi="Calibri" w:cs="Calibri"/>
        </w:rPr>
        <w:t>muzealizaci</w:t>
      </w:r>
      <w:proofErr w:type="spellEnd"/>
      <w:r>
        <w:rPr>
          <w:rFonts w:ascii="Calibri" w:eastAsia="Calibri" w:hAnsi="Calibri" w:cs="Calibri"/>
        </w:rPr>
        <w:t xml:space="preserve"> takto pojatého příběhu československých dějin jako celku, tak výrazným posta</w:t>
      </w:r>
      <w:r>
        <w:rPr>
          <w:rFonts w:ascii="Calibri" w:eastAsia="Calibri" w:hAnsi="Calibri" w:cs="Calibri"/>
        </w:rPr>
        <w:t>vám dělnického a komunistického hnutí či klíčovým událostem. Zvláštní kategorii představují podnikové síně tradic a tovární muzea, která cílila na začlenění míst práce, v komunistickém symbolickém světě velmi důležitých, do obecně pojaté revoluční tradice.</w:t>
      </w:r>
      <w:r>
        <w:rPr>
          <w:rFonts w:ascii="Calibri" w:eastAsia="Calibri" w:hAnsi="Calibri" w:cs="Calibri"/>
          <w:vertAlign w:val="superscript"/>
        </w:rPr>
        <w:footnoteReference w:id="3"/>
      </w:r>
      <w:r>
        <w:rPr>
          <w:rFonts w:ascii="Calibri" w:eastAsia="Calibri" w:hAnsi="Calibri" w:cs="Calibri"/>
        </w:rPr>
        <w:t xml:space="preserve"> Základním kritériem pro zařazení instituce do geograficky vytyčeného soupisu byla existence samostatné expozice, která popularizovala vytyčená témata.</w:t>
      </w:r>
    </w:p>
    <w:p w14:paraId="00000006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Klíčová slova</w:t>
      </w:r>
    </w:p>
    <w:p w14:paraId="00000007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Muzeum – revoluční tradice – expozice – památník – instituce </w:t>
      </w:r>
    </w:p>
    <w:p w14:paraId="00000008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Časové pokrytí</w:t>
      </w:r>
    </w:p>
    <w:p w14:paraId="00000009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Rozmezí let </w:t>
      </w:r>
      <w:r>
        <w:rPr>
          <w:rFonts w:ascii="Calibri" w:eastAsia="Calibri" w:hAnsi="Calibri" w:cs="Calibri"/>
        </w:rPr>
        <w:t>1948–1989</w:t>
      </w:r>
    </w:p>
    <w:p w14:paraId="0000000A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Zvolené období zohledňuje čtyřicet let socialistické diktatury skrze institucionální zakotvení její politiky paměti. Snaha datovat instituce dle jejich vzniku a zániku ukazuje na širší trendy ve finanční podpoře popularizace minulosti a jejího př</w:t>
      </w:r>
      <w:r>
        <w:rPr>
          <w:rFonts w:ascii="Calibri" w:eastAsia="Calibri" w:hAnsi="Calibri" w:cs="Calibri"/>
        </w:rPr>
        <w:t>evažujícího zaměření.</w:t>
      </w:r>
    </w:p>
    <w:p w14:paraId="0000000B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Státy </w:t>
      </w:r>
    </w:p>
    <w:p w14:paraId="0000000C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Československá republika, Československá socialistická republika</w:t>
      </w:r>
    </w:p>
    <w:p w14:paraId="0000000D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Typy objektů</w:t>
      </w:r>
    </w:p>
    <w:p w14:paraId="0000000E" w14:textId="77777777" w:rsidR="00751165" w:rsidRDefault="00134F05">
      <w:pPr>
        <w:spacing w:after="160" w:line="259" w:lineRule="auto"/>
        <w:rPr>
          <w:rFonts w:ascii="Calibri" w:eastAsia="Calibri" w:hAnsi="Calibri" w:cs="Calibri"/>
          <w:i/>
        </w:rPr>
      </w:pPr>
      <w:bookmarkStart w:id="0" w:name="_i5x2v5gvfvoj" w:colFirst="0" w:colLast="0"/>
      <w:bookmarkEnd w:id="0"/>
      <w:r>
        <w:rPr>
          <w:rFonts w:ascii="Calibri" w:eastAsia="Calibri" w:hAnsi="Calibri" w:cs="Calibri"/>
          <w:i/>
        </w:rPr>
        <w:t>Muzea</w:t>
      </w:r>
    </w:p>
    <w:p w14:paraId="0000000F" w14:textId="77777777" w:rsidR="00751165" w:rsidRDefault="00134F05">
      <w:pPr>
        <w:spacing w:after="160" w:line="259" w:lineRule="auto"/>
        <w:rPr>
          <w:rFonts w:ascii="Calibri" w:eastAsia="Calibri" w:hAnsi="Calibri" w:cs="Calibri"/>
        </w:rPr>
      </w:pPr>
      <w:bookmarkStart w:id="1" w:name="_su3qqpe05hzb" w:colFirst="0" w:colLast="0"/>
      <w:bookmarkEnd w:id="1"/>
      <w:r>
        <w:rPr>
          <w:rFonts w:ascii="Calibri" w:eastAsia="Calibri" w:hAnsi="Calibri" w:cs="Calibri"/>
        </w:rPr>
        <w:t>Na mapě jsou takto označena muzea, která se zabývají odkazem postav, událostí, dějinných období či jiným způsobem se vztahují k tématu mapy.</w:t>
      </w:r>
    </w:p>
    <w:p w14:paraId="07BC3C4F" w14:textId="77777777" w:rsidR="002B1535" w:rsidRDefault="002B1535">
      <w:pPr>
        <w:spacing w:after="160" w:line="259" w:lineRule="auto"/>
        <w:rPr>
          <w:rFonts w:ascii="Calibri" w:eastAsia="Calibri" w:hAnsi="Calibri" w:cs="Calibri"/>
          <w:i/>
        </w:rPr>
      </w:pPr>
      <w:bookmarkStart w:id="2" w:name="_f4tlr7cepko7" w:colFirst="0" w:colLast="0"/>
      <w:bookmarkEnd w:id="2"/>
    </w:p>
    <w:p w14:paraId="00000010" w14:textId="0098FA05" w:rsidR="00751165" w:rsidRDefault="00134F05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</w:t>
      </w:r>
      <w:r>
        <w:rPr>
          <w:rFonts w:ascii="Calibri" w:eastAsia="Calibri" w:hAnsi="Calibri" w:cs="Calibri"/>
          <w:i/>
        </w:rPr>
        <w:t>mátníky</w:t>
      </w:r>
    </w:p>
    <w:p w14:paraId="00000011" w14:textId="77777777" w:rsidR="00751165" w:rsidRDefault="00134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mapě jsou takto označeny památníky, které se zaměřují na připomínání konkrétních událostí či jednotlivců skrze stálou expozici a další </w:t>
      </w:r>
      <w:proofErr w:type="spellStart"/>
      <w:r>
        <w:rPr>
          <w:rFonts w:ascii="Calibri" w:eastAsia="Calibri" w:hAnsi="Calibri" w:cs="Calibri"/>
        </w:rPr>
        <w:t>sosutavnou</w:t>
      </w:r>
      <w:proofErr w:type="spellEnd"/>
      <w:r>
        <w:rPr>
          <w:rFonts w:ascii="Calibri" w:eastAsia="Calibri" w:hAnsi="Calibri" w:cs="Calibri"/>
        </w:rPr>
        <w:t xml:space="preserve"> činnost. V rámci celé mapové aplikace jsou zobrazeny také pomníky, busty, pamětní desky, sochy a da</w:t>
      </w:r>
      <w:r>
        <w:rPr>
          <w:rFonts w:ascii="Calibri" w:eastAsia="Calibri" w:hAnsi="Calibri" w:cs="Calibri"/>
        </w:rPr>
        <w:t xml:space="preserve">lší umělecká díla ve veřejném prostoru s podobným posláním, nicméně pro potřeby této konkrétní mapy jsme se rozhodli pro užší vymezení. </w:t>
      </w:r>
    </w:p>
    <w:p w14:paraId="00000012" w14:textId="77777777" w:rsidR="00751165" w:rsidRDefault="00751165">
      <w:pPr>
        <w:rPr>
          <w:rFonts w:ascii="Calibri" w:eastAsia="Calibri" w:hAnsi="Calibri" w:cs="Calibri"/>
        </w:rPr>
      </w:pPr>
    </w:p>
    <w:p w14:paraId="00000013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Kategorie (zvolené vrstvy mapy)</w:t>
      </w:r>
    </w:p>
    <w:p w14:paraId="00000014" w14:textId="77777777" w:rsidR="00751165" w:rsidRDefault="00134F05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Památníky a muzea revolučního hnutí</w:t>
      </w:r>
    </w:p>
    <w:p w14:paraId="00000015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nstituce, jejichž výstavní, sbírková a popřípadě výzkumná činnost se zabývaly tématy, </w:t>
      </w:r>
      <w:proofErr w:type="gramStart"/>
      <w:r>
        <w:rPr>
          <w:rFonts w:ascii="Calibri" w:eastAsia="Calibri" w:hAnsi="Calibri" w:cs="Calibri"/>
        </w:rPr>
        <w:t>které</w:t>
      </w:r>
      <w:proofErr w:type="gramEnd"/>
      <w:r>
        <w:rPr>
          <w:rFonts w:ascii="Calibri" w:eastAsia="Calibri" w:hAnsi="Calibri" w:cs="Calibri"/>
        </w:rPr>
        <w:t xml:space="preserve"> zapadají do celkového pojetí dějin revolučních tradic. Měly výraznou ambici toto svébytné pojetí dějin popularizovat jako celek na regionální či státní úrovni.</w:t>
      </w:r>
    </w:p>
    <w:p w14:paraId="00000016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17" w14:textId="77777777" w:rsidR="00751165" w:rsidRDefault="00134F05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Muz</w:t>
      </w:r>
      <w:r>
        <w:rPr>
          <w:rFonts w:ascii="Calibri" w:eastAsia="Calibri" w:hAnsi="Calibri" w:cs="Calibri"/>
          <w:i/>
        </w:rPr>
        <w:t>ea a památníky spojené s klíčovou událostí či s konkrétním dějinným obdobím</w:t>
      </w:r>
    </w:p>
    <w:p w14:paraId="00000018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Instituce, jež se zaměřovaly na konkrétní události důležité pro historii dělnického hnutí nebo revolučních tradic. Událost je v tomto ohledu pojímána široce jako krátký akt jednání omezeného počtu osob, ale i jako přesně ohraničené dějinné období.</w:t>
      </w:r>
      <w:r>
        <w:rPr>
          <w:rFonts w:ascii="Calibri" w:eastAsia="Calibri" w:hAnsi="Calibri" w:cs="Calibri"/>
        </w:rPr>
        <w:br/>
        <w:t xml:space="preserve"> </w:t>
      </w:r>
    </w:p>
    <w:p w14:paraId="00000019" w14:textId="77777777" w:rsidR="00751165" w:rsidRDefault="00134F05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Muzea </w:t>
      </w:r>
      <w:r>
        <w:rPr>
          <w:rFonts w:ascii="Calibri" w:eastAsia="Calibri" w:hAnsi="Calibri" w:cs="Calibri"/>
          <w:i/>
        </w:rPr>
        <w:t>a památníky spojené s jednotlivými osobnostmi</w:t>
      </w:r>
    </w:p>
    <w:p w14:paraId="0000001A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Instituce, které se věnovaly životu konkrétní osobnosti, jež byla dobově považována za důležitého aktéra dějin. Její život byl pro chod instituce klíčovým tématem a okolnosti šířeji pojaté minulosti byly zmiňov</w:t>
      </w:r>
      <w:r>
        <w:rPr>
          <w:rFonts w:ascii="Calibri" w:eastAsia="Calibri" w:hAnsi="Calibri" w:cs="Calibri"/>
        </w:rPr>
        <w:t>ány jen z hlediska kontextu.</w:t>
      </w:r>
    </w:p>
    <w:p w14:paraId="0000001B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1C" w14:textId="77777777" w:rsidR="00751165" w:rsidRDefault="00134F05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Podniková a tovární muzea</w:t>
      </w:r>
    </w:p>
    <w:p w14:paraId="0000001D" w14:textId="77777777" w:rsidR="00751165" w:rsidRDefault="00134F05">
      <w:pPr>
        <w:spacing w:after="160"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Zvláštní expozice, jež se nacházely přímo v továrnách nebo byly navázané na konkrétní podniky. Hlavním cílem stálých výstav bylo tematizovat a popularizovat dějiny továren jako míst třídních bojů a bu</w:t>
      </w:r>
      <w:r>
        <w:rPr>
          <w:rFonts w:ascii="Calibri" w:eastAsia="Calibri" w:hAnsi="Calibri" w:cs="Calibri"/>
        </w:rPr>
        <w:t>dování socialismu, jejichž příběh byl neodmyslitelně spjatý s revoluční tradicí.</w:t>
      </w:r>
    </w:p>
    <w:p w14:paraId="0000001E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Struktura jednotlivého hesla</w:t>
      </w:r>
      <w:r>
        <w:rPr>
          <w:rFonts w:ascii="Calibri" w:eastAsia="Calibri" w:hAnsi="Calibri" w:cs="Calibri"/>
          <w:b/>
          <w:i/>
        </w:rPr>
        <w:t xml:space="preserve"> </w:t>
      </w:r>
    </w:p>
    <w:p w14:paraId="0000001F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Bod na mapě je nosičem souboru informací, tematizujících instituci, její zaměření a hlavní záměr expozice.  Tyto informace jsou jednotně členěny </w:t>
      </w:r>
      <w:r>
        <w:rPr>
          <w:rFonts w:ascii="Calibri" w:eastAsia="Calibri" w:hAnsi="Calibri" w:cs="Calibri"/>
        </w:rPr>
        <w:t>následujícím způsobem:</w:t>
      </w:r>
    </w:p>
    <w:p w14:paraId="00000020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Poloha</w:t>
      </w:r>
    </w:p>
    <w:p w14:paraId="00000021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GPS souřadnice místa, kde instituce sídlila.</w:t>
      </w:r>
    </w:p>
    <w:p w14:paraId="00000022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23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Jméno</w:t>
      </w:r>
    </w:p>
    <w:p w14:paraId="00000024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Název instituce</w:t>
      </w:r>
    </w:p>
    <w:p w14:paraId="00000025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26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Typ objektu</w:t>
      </w:r>
    </w:p>
    <w:p w14:paraId="00000027" w14:textId="77777777" w:rsidR="00751165" w:rsidRDefault="00134F05">
      <w:pPr>
        <w:spacing w:line="259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Muzeum/Památník</w:t>
      </w:r>
    </w:p>
    <w:p w14:paraId="00000028" w14:textId="77777777" w:rsidR="00751165" w:rsidRDefault="00751165">
      <w:pPr>
        <w:spacing w:line="259" w:lineRule="auto"/>
        <w:ind w:firstLine="720"/>
        <w:jc w:val="both"/>
        <w:rPr>
          <w:rFonts w:ascii="Calibri" w:eastAsia="Calibri" w:hAnsi="Calibri" w:cs="Calibri"/>
        </w:rPr>
      </w:pPr>
    </w:p>
    <w:p w14:paraId="00000029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Popis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</w:rPr>
        <w:t xml:space="preserve">Text shrnující historii instituce, její zaměření a obsah expozice. </w:t>
      </w:r>
    </w:p>
    <w:p w14:paraId="0000002A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2B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Rok vzniku a zániku</w:t>
      </w:r>
    </w:p>
    <w:p w14:paraId="6434EFB0" w14:textId="77777777" w:rsidR="002B1535" w:rsidRDefault="002B153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2C" w14:textId="5B62466F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Většina institucí, které se zaměřovaly na dějiny dělnického hnutí, nepřežila rozklad socialistického zřízení. Nicméně některá se transformovala do podoby lokálních muzeí či jiných typů paměťových institucí. Ve sledovaném období muzea a expozice nejen vznik</w:t>
      </w:r>
      <w:r>
        <w:rPr>
          <w:rFonts w:ascii="Calibri" w:eastAsia="Calibri" w:hAnsi="Calibri" w:cs="Calibri"/>
        </w:rPr>
        <w:t>aly, ale v některých případech i zanikaly. Z této informace můžeme usuzovat na priority tehdejší politiky paměti.</w:t>
      </w:r>
    </w:p>
    <w:p w14:paraId="0000002D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  <w:i/>
        </w:rPr>
      </w:pPr>
    </w:p>
    <w:p w14:paraId="0000002E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Galerie</w:t>
      </w:r>
    </w:p>
    <w:p w14:paraId="0000002F" w14:textId="77777777" w:rsidR="00751165" w:rsidRDefault="00134F05">
      <w:pPr>
        <w:spacing w:line="25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Zde uživatel nalezne dobové fotografie muzejních budov a dobové záběry z expozic, případně další doprovodné materiály jako například </w:t>
      </w:r>
      <w:r>
        <w:rPr>
          <w:rFonts w:ascii="Calibri" w:eastAsia="Calibri" w:hAnsi="Calibri" w:cs="Calibri"/>
        </w:rPr>
        <w:t>propagační plakáty.</w:t>
      </w:r>
    </w:p>
    <w:p w14:paraId="00000030" w14:textId="77777777" w:rsidR="00751165" w:rsidRDefault="00751165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0000031" w14:textId="77777777" w:rsidR="00751165" w:rsidRDefault="00134F05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Zdroje</w:t>
      </w:r>
    </w:p>
    <w:p w14:paraId="00000032" w14:textId="77777777" w:rsidR="00751165" w:rsidRDefault="00134F05">
      <w:pPr>
        <w:spacing w:before="240" w:after="240" w:line="259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Jedná o seznam zdrojů, ze kterých vychází výkladový text.</w:t>
      </w:r>
    </w:p>
    <w:p w14:paraId="00000033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Pramenná základna a další zdroje</w:t>
      </w:r>
    </w:p>
    <w:p w14:paraId="00000034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Základní zdroje informací o expozicích a tematickém zaměření jednotlivých institucí představovaly fondy archivů bývalých stranických muze</w:t>
      </w:r>
      <w:r>
        <w:rPr>
          <w:rFonts w:ascii="Calibri" w:eastAsia="Calibri" w:hAnsi="Calibri" w:cs="Calibri"/>
        </w:rPr>
        <w:t>í, zejména jejich dobová evidence spřátelených institucí. Důležitou roli hrálo také detailní studium publikovaných soupisů paměťových institucí, muzejních průvodců a propagačních materiálů.</w:t>
      </w:r>
    </w:p>
    <w:p w14:paraId="00000035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Archivní fondy</w:t>
      </w:r>
    </w:p>
    <w:p w14:paraId="00000036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Národní muzeum, Sbírka Muzea dělnického hnutí, kolekce brožur, knihovna</w:t>
      </w:r>
    </w:p>
    <w:p w14:paraId="00000037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Archiv Národního muzea, fond Muzeum dělnického hnutí, nezpracováno</w:t>
      </w:r>
    </w:p>
    <w:p w14:paraId="00000038" w14:textId="77777777" w:rsidR="00751165" w:rsidRDefault="00134F05">
      <w:pPr>
        <w:spacing w:after="160" w:line="259" w:lineRule="auto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Výběr publikovaných pramenů a dobové literatury</w:t>
      </w:r>
    </w:p>
    <w:p w14:paraId="00000039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Babicová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Melánia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a kol.: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Sprievodca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po podnikových a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závodných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múzeá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ch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sieňach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revolučných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tradicií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v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Slovenskej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socialistickej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republike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Bratislava: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Práca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1988</w:t>
      </w:r>
    </w:p>
    <w:p w14:paraId="0000003A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Gloser, Jaroslav – Růžička, Jindřich: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Sto let bojů za socialismus. Výklad k expozici z dějin dělnického a komunistického hnutí v okrese Svitavy</w:t>
      </w:r>
      <w:r>
        <w:rPr>
          <w:rFonts w:ascii="Calibri" w:eastAsia="Calibri" w:hAnsi="Calibri" w:cs="Calibri"/>
          <w:sz w:val="20"/>
          <w:szCs w:val="20"/>
          <w:highlight w:val="white"/>
        </w:rPr>
        <w:t>, Svitavy 1976</w:t>
      </w:r>
    </w:p>
    <w:p w14:paraId="0000003B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Ha</w:t>
      </w:r>
      <w:r>
        <w:rPr>
          <w:rFonts w:ascii="Calibri" w:eastAsia="Calibri" w:hAnsi="Calibri" w:cs="Calibri"/>
          <w:sz w:val="20"/>
          <w:szCs w:val="20"/>
          <w:highlight w:val="white"/>
        </w:rPr>
        <w:t>uner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Miroslav: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Západní Čechy: krajina, architektura, umění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Plzeň: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Zápodočeské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nakladatelství 1984</w:t>
      </w:r>
    </w:p>
    <w:p w14:paraId="0000003C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Hromádka, Milan – Poláková, Marie – Valentová, Jarmila: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Kulturní adresář ČSR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Ústav pro výzkum kultury 1973</w:t>
      </w:r>
    </w:p>
    <w:p w14:paraId="0000003D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Chotěbor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Petr – Čížek, Jiří: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Hrady a zám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ky v Čechách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Olympia 1986</w:t>
      </w:r>
    </w:p>
    <w:p w14:paraId="0000003E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Jožák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Jiří: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Místa bojů a vítězství. Výběr památných míst protifašistického boje v českých zemích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Naše vojsko 1977</w:t>
      </w:r>
    </w:p>
    <w:p w14:paraId="0000003F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Kalus, Jaromír: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Muzea na Moravě a ve Slezsku</w:t>
      </w:r>
      <w:r>
        <w:rPr>
          <w:rFonts w:ascii="Calibri" w:eastAsia="Calibri" w:hAnsi="Calibri" w:cs="Calibri"/>
          <w:sz w:val="20"/>
          <w:szCs w:val="20"/>
          <w:highlight w:val="white"/>
        </w:rPr>
        <w:t>, Ostrava: Profil 1988</w:t>
      </w:r>
    </w:p>
    <w:p w14:paraId="00000040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Kavka, František – Pánek, Stanis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lav – Pavel, Jakub – Polišenský, Josef – Vorlíčková, Marie: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Bílá hora. Národní kulturní památka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Muzeum Aloise Jiráska a Mikoláše Alše – Olympia 196</w:t>
      </w:r>
      <w:r>
        <w:rPr>
          <w:rFonts w:ascii="Calibri" w:eastAsia="Calibri" w:hAnsi="Calibri" w:cs="Calibri"/>
          <w:highlight w:val="white"/>
        </w:rPr>
        <w:t>9</w:t>
      </w:r>
    </w:p>
    <w:p w14:paraId="00000041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Múzeá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vo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východoslovenskom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kraji. Stručný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sprievodca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Košice: Východoslovenské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múzeúm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v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Košiciach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1</w:t>
      </w:r>
      <w:r>
        <w:rPr>
          <w:rFonts w:ascii="Calibri" w:eastAsia="Calibri" w:hAnsi="Calibri" w:cs="Calibri"/>
          <w:sz w:val="20"/>
          <w:szCs w:val="20"/>
          <w:highlight w:val="white"/>
        </w:rPr>
        <w:t>979</w:t>
      </w:r>
    </w:p>
    <w:p w14:paraId="60612341" w14:textId="77777777" w:rsidR="002B1535" w:rsidRDefault="002B153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</w:p>
    <w:p w14:paraId="00000042" w14:textId="5DDC1D69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bookmarkStart w:id="3" w:name="_GoBack"/>
      <w:bookmarkEnd w:id="3"/>
      <w:r>
        <w:rPr>
          <w:rFonts w:ascii="Calibri" w:eastAsia="Calibri" w:hAnsi="Calibri" w:cs="Calibri"/>
          <w:sz w:val="20"/>
          <w:szCs w:val="20"/>
          <w:highlight w:val="white"/>
        </w:rPr>
        <w:t xml:space="preserve">Nečas, Jaroslav: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Mistr Jan Hus a Husinec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Svépomoc 1969</w:t>
      </w:r>
    </w:p>
    <w:p w14:paraId="00000043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Pobořil, Rudolf: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Síň Antonína Zápotockého v Dělnickém domě v Kladně</w:t>
      </w:r>
      <w:r>
        <w:rPr>
          <w:rFonts w:ascii="Calibri" w:eastAsia="Calibri" w:hAnsi="Calibri" w:cs="Calibri"/>
          <w:sz w:val="20"/>
          <w:szCs w:val="20"/>
          <w:highlight w:val="white"/>
        </w:rPr>
        <w:t>, Kladno: Dům politické výchovy [198-?]</w:t>
      </w:r>
    </w:p>
    <w:p w14:paraId="00000044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Pubal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Václav: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Muzea a galerie v ČSR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Národní muzeum 1972</w:t>
      </w:r>
    </w:p>
    <w:p w14:paraId="00000045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Pubal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Václav: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Muzea, galerie a památkové objekty v ČSR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Národní muzeum 1973</w:t>
      </w:r>
    </w:p>
    <w:p w14:paraId="00000046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Pubal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Václav: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Podniková - závodní muzea a síně revolučních tradic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Ústřední škola ROH A. Zápotockého 1985</w:t>
      </w:r>
    </w:p>
    <w:p w14:paraId="00000047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Rybecký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Milan a kol.: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Sprievodca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po </w:t>
      </w:r>
      <w:proofErr w:type="spellStart"/>
      <w:r>
        <w:rPr>
          <w:rFonts w:ascii="Calibri" w:eastAsia="Calibri" w:hAnsi="Calibri" w:cs="Calibri"/>
          <w:i/>
          <w:sz w:val="20"/>
          <w:szCs w:val="20"/>
          <w:highlight w:val="white"/>
        </w:rPr>
        <w:t>múzeách</w:t>
      </w:r>
      <w:proofErr w:type="spellEnd"/>
      <w:r>
        <w:rPr>
          <w:rFonts w:ascii="Calibri" w:eastAsia="Calibri" w:hAnsi="Calibri" w:cs="Calibri"/>
          <w:i/>
          <w:sz w:val="20"/>
          <w:szCs w:val="20"/>
          <w:highlight w:val="white"/>
        </w:rPr>
        <w:t xml:space="preserve"> na Slovensku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Bratislava: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Vy</w:t>
      </w:r>
      <w:r>
        <w:rPr>
          <w:rFonts w:ascii="Calibri" w:eastAsia="Calibri" w:hAnsi="Calibri" w:cs="Calibri"/>
          <w:sz w:val="20"/>
          <w:szCs w:val="20"/>
          <w:highlight w:val="white"/>
        </w:rPr>
        <w:t>davaťelstvo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politickej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literatúry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1964</w:t>
      </w:r>
    </w:p>
    <w:p w14:paraId="00000048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Soukup, Jaroslav: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Praha. Město revolučních tradic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Olympia 1971</w:t>
      </w:r>
    </w:p>
    <w:p w14:paraId="00000049" w14:textId="77777777" w:rsidR="00751165" w:rsidRDefault="00134F05">
      <w:pPr>
        <w:spacing w:before="240" w:after="240" w:line="259" w:lineRule="auto"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Zenger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, Zdeněk M.: </w:t>
      </w:r>
      <w:r>
        <w:rPr>
          <w:rFonts w:ascii="Calibri" w:eastAsia="Calibri" w:hAnsi="Calibri" w:cs="Calibri"/>
          <w:i/>
          <w:sz w:val="20"/>
          <w:szCs w:val="20"/>
          <w:highlight w:val="white"/>
        </w:rPr>
        <w:t>Jiráskovy Skály</w:t>
      </w:r>
      <w:r>
        <w:rPr>
          <w:rFonts w:ascii="Calibri" w:eastAsia="Calibri" w:hAnsi="Calibri" w:cs="Calibri"/>
          <w:sz w:val="20"/>
          <w:szCs w:val="20"/>
          <w:highlight w:val="white"/>
        </w:rPr>
        <w:t>, Praha: Čedok 1953</w:t>
      </w:r>
    </w:p>
    <w:p w14:paraId="0000004A" w14:textId="77777777" w:rsidR="00751165" w:rsidRDefault="00751165"/>
    <w:sectPr w:rsidR="00751165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E9CDC" w14:textId="77777777" w:rsidR="00134F05" w:rsidRDefault="00134F05">
      <w:pPr>
        <w:spacing w:line="240" w:lineRule="auto"/>
      </w:pPr>
      <w:r>
        <w:separator/>
      </w:r>
    </w:p>
  </w:endnote>
  <w:endnote w:type="continuationSeparator" w:id="0">
    <w:p w14:paraId="2121FE52" w14:textId="77777777" w:rsidR="00134F05" w:rsidRDefault="00134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4FCB2" w14:textId="77777777" w:rsidR="00134F05" w:rsidRDefault="00134F05">
      <w:pPr>
        <w:spacing w:line="240" w:lineRule="auto"/>
      </w:pPr>
      <w:r>
        <w:separator/>
      </w:r>
    </w:p>
  </w:footnote>
  <w:footnote w:type="continuationSeparator" w:id="0">
    <w:p w14:paraId="11B49CD3" w14:textId="77777777" w:rsidR="00134F05" w:rsidRDefault="00134F05">
      <w:pPr>
        <w:spacing w:line="240" w:lineRule="auto"/>
      </w:pPr>
      <w:r>
        <w:continuationSeparator/>
      </w:r>
    </w:p>
  </w:footnote>
  <w:footnote w:id="1">
    <w:p w14:paraId="0000004B" w14:textId="77777777" w:rsidR="00751165" w:rsidRDefault="00134F0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 xml:space="preserve"> V pojetí muzea a památníku s expozicí  jako institutu kulturní paměti socialistické dikta</w:t>
      </w:r>
      <w:r>
        <w:rPr>
          <w:rFonts w:ascii="Calibri" w:eastAsia="Calibri" w:hAnsi="Calibri" w:cs="Calibri"/>
          <w:sz w:val="20"/>
          <w:szCs w:val="20"/>
        </w:rPr>
        <w:t xml:space="preserve">tury navazujeme na některé starší výzkumy. Viz např. Táborský, Ondřej: Dějiny podle plánu. Politika dějin a paměti v normalizačním muzejnictví, In: </w:t>
      </w:r>
      <w:r>
        <w:rPr>
          <w:rFonts w:ascii="Calibri" w:eastAsia="Calibri" w:hAnsi="Calibri" w:cs="Calibri"/>
          <w:i/>
          <w:sz w:val="20"/>
          <w:szCs w:val="20"/>
        </w:rPr>
        <w:t>Česká paměť. Národ, dějiny a místa paměti</w:t>
      </w:r>
      <w:r>
        <w:rPr>
          <w:rFonts w:ascii="Calibri" w:eastAsia="Calibri" w:hAnsi="Calibri" w:cs="Calibri"/>
          <w:sz w:val="20"/>
          <w:szCs w:val="20"/>
        </w:rPr>
        <w:t xml:space="preserve">, Radka Šustrová – Luba </w:t>
      </w:r>
      <w:proofErr w:type="spellStart"/>
      <w:r>
        <w:rPr>
          <w:rFonts w:ascii="Calibri" w:eastAsia="Calibri" w:hAnsi="Calibri" w:cs="Calibri"/>
          <w:sz w:val="20"/>
          <w:szCs w:val="20"/>
        </w:rPr>
        <w:t>Hédlová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eds</w:t>
      </w:r>
      <w:proofErr w:type="spellEnd"/>
      <w:r>
        <w:rPr>
          <w:rFonts w:ascii="Calibri" w:eastAsia="Calibri" w:hAnsi="Calibri" w:cs="Calibri"/>
          <w:sz w:val="20"/>
          <w:szCs w:val="20"/>
        </w:rPr>
        <w:t>.), Praha: Nakladatelství Acade</w:t>
      </w:r>
      <w:r>
        <w:rPr>
          <w:rFonts w:ascii="Calibri" w:eastAsia="Calibri" w:hAnsi="Calibri" w:cs="Calibri"/>
          <w:sz w:val="20"/>
          <w:szCs w:val="20"/>
        </w:rPr>
        <w:t>mia 2014 či Jan Galandauer:</w:t>
      </w:r>
      <w:r>
        <w:rPr>
          <w:rFonts w:ascii="Calibri" w:eastAsia="Calibri" w:hAnsi="Calibri" w:cs="Calibri"/>
          <w:i/>
          <w:sz w:val="20"/>
          <w:szCs w:val="20"/>
        </w:rPr>
        <w:t xml:space="preserve"> Chrám bez boha nad Prahou. Památník na Vítkově</w:t>
      </w:r>
      <w:r>
        <w:rPr>
          <w:rFonts w:ascii="Calibri" w:eastAsia="Calibri" w:hAnsi="Calibri" w:cs="Calibri"/>
          <w:sz w:val="20"/>
          <w:szCs w:val="20"/>
        </w:rPr>
        <w:t>, Praha: Havran 2014.</w:t>
      </w:r>
    </w:p>
  </w:footnote>
  <w:footnote w:id="2">
    <w:p w14:paraId="0000004C" w14:textId="77777777" w:rsidR="00751165" w:rsidRDefault="00134F0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 xml:space="preserve"> Muzea dělnického hnutí a části expozic ostatních muzeí věnované tomuto tématu čerpala zvláště v padesátých letech ze sovětských vzorů  a stranická muzea vznik</w:t>
      </w:r>
      <w:r>
        <w:rPr>
          <w:rFonts w:ascii="Calibri" w:eastAsia="Calibri" w:hAnsi="Calibri" w:cs="Calibri"/>
          <w:sz w:val="20"/>
          <w:szCs w:val="20"/>
        </w:rPr>
        <w:t>ala ve spolupráci se sovětskými experty. Stávala se tak součástí stalinistické a post-stalinistické kulturní politiky. Vycházely zde také překlady sovětských metodik. Viz např. Jochman, Vladimír (</w:t>
      </w:r>
      <w:proofErr w:type="spellStart"/>
      <w:r>
        <w:rPr>
          <w:rFonts w:ascii="Calibri" w:eastAsia="Calibri" w:hAnsi="Calibri" w:cs="Calibri"/>
          <w:sz w:val="20"/>
          <w:szCs w:val="20"/>
        </w:rPr>
        <w:t>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.): </w:t>
      </w:r>
      <w:r>
        <w:rPr>
          <w:rFonts w:ascii="Calibri" w:eastAsia="Calibri" w:hAnsi="Calibri" w:cs="Calibri"/>
          <w:i/>
          <w:sz w:val="20"/>
          <w:szCs w:val="20"/>
        </w:rPr>
        <w:t xml:space="preserve">Z práce sovětských museí. Sborník překladů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museologick</w:t>
      </w:r>
      <w:r>
        <w:rPr>
          <w:rFonts w:ascii="Calibri" w:eastAsia="Calibri" w:hAnsi="Calibri" w:cs="Calibri"/>
          <w:i/>
          <w:sz w:val="20"/>
          <w:szCs w:val="20"/>
        </w:rPr>
        <w:t>ých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článků z časopisu Kulturno-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Prosvetitelnaja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Rabota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1948–1955</w:t>
      </w:r>
      <w:r>
        <w:rPr>
          <w:rFonts w:ascii="Calibri" w:eastAsia="Calibri" w:hAnsi="Calibri" w:cs="Calibri"/>
          <w:sz w:val="20"/>
          <w:szCs w:val="20"/>
        </w:rPr>
        <w:t>, Olomouc: Krajské nakladatelství 1957.</w:t>
      </w:r>
    </w:p>
  </w:footnote>
  <w:footnote w:id="3">
    <w:p w14:paraId="0000004D" w14:textId="77777777" w:rsidR="00751165" w:rsidRDefault="00134F0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 xml:space="preserve"> K fungování síní tradic viz </w:t>
      </w:r>
      <w:proofErr w:type="spellStart"/>
      <w:r>
        <w:rPr>
          <w:rFonts w:ascii="Calibri" w:eastAsia="Calibri" w:hAnsi="Calibri" w:cs="Calibri"/>
          <w:sz w:val="20"/>
          <w:szCs w:val="20"/>
        </w:rPr>
        <w:t>Vitko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Martin: Fenomén </w:t>
      </w:r>
      <w:proofErr w:type="spellStart"/>
      <w:r>
        <w:rPr>
          <w:rFonts w:ascii="Calibri" w:eastAsia="Calibri" w:hAnsi="Calibri" w:cs="Calibri"/>
          <w:sz w:val="20"/>
          <w:szCs w:val="20"/>
        </w:rPr>
        <w:t>izieb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revolučních </w:t>
      </w:r>
      <w:proofErr w:type="spellStart"/>
      <w:r>
        <w:rPr>
          <w:rFonts w:ascii="Calibri" w:eastAsia="Calibri" w:hAnsi="Calibri" w:cs="Calibri"/>
          <w:sz w:val="20"/>
          <w:szCs w:val="20"/>
        </w:rPr>
        <w:t>tradicií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v </w:t>
      </w:r>
      <w:proofErr w:type="spellStart"/>
      <w:r>
        <w:rPr>
          <w:rFonts w:ascii="Calibri" w:eastAsia="Calibri" w:hAnsi="Calibri" w:cs="Calibri"/>
          <w:sz w:val="20"/>
          <w:szCs w:val="20"/>
        </w:rPr>
        <w:t>socialistickom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Československu, In: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Museologica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Brunensia</w:t>
      </w:r>
      <w:r>
        <w:rPr>
          <w:rFonts w:ascii="Calibri" w:eastAsia="Calibri" w:hAnsi="Calibri" w:cs="Calibri"/>
          <w:sz w:val="20"/>
          <w:szCs w:val="20"/>
        </w:rPr>
        <w:t>, Brno: FF MU 2</w:t>
      </w:r>
      <w:r>
        <w:rPr>
          <w:rFonts w:ascii="Calibri" w:eastAsia="Calibri" w:hAnsi="Calibri" w:cs="Calibri"/>
          <w:sz w:val="20"/>
          <w:szCs w:val="20"/>
        </w:rPr>
        <w:t>015, roč. 4,  č.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B655E" w14:textId="5F126F3E" w:rsidR="002B1535" w:rsidRDefault="002B1535">
    <w:pPr>
      <w:pStyle w:val="Zhlav"/>
    </w:pPr>
    <w:r w:rsidRPr="004E097A">
      <w:rPr>
        <w:rFonts w:ascii="Roboto" w:hAnsi="Roboto"/>
        <w:noProof/>
        <w:lang w:val="cs-CZ"/>
      </w:rPr>
      <w:drawing>
        <wp:anchor distT="0" distB="0" distL="114300" distR="114300" simplePos="0" relativeHeight="251659264" behindDoc="0" locked="0" layoutInCell="1" allowOverlap="1" wp14:anchorId="61429149" wp14:editId="5F695CAB">
          <wp:simplePos x="0" y="0"/>
          <wp:positionH relativeFrom="margin">
            <wp:posOffset>5067300</wp:posOffset>
          </wp:positionH>
          <wp:positionV relativeFrom="paragraph">
            <wp:posOffset>-215900</wp:posOffset>
          </wp:positionV>
          <wp:extent cx="1341120" cy="454367"/>
          <wp:effectExtent l="0" t="0" r="0" b="3175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-red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454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A099F"/>
    <w:multiLevelType w:val="multilevel"/>
    <w:tmpl w:val="7AB019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2F3B"/>
    <w:multiLevelType w:val="multilevel"/>
    <w:tmpl w:val="41C458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65"/>
    <w:rsid w:val="00134F05"/>
    <w:rsid w:val="002B1535"/>
    <w:rsid w:val="00751165"/>
    <w:rsid w:val="007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49CD"/>
  <w15:docId w15:val="{A5E8427B-60D5-4D9F-905E-64B51D3D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2B153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B1535"/>
  </w:style>
  <w:style w:type="paragraph" w:styleId="Zpat">
    <w:name w:val="footer"/>
    <w:basedOn w:val="Normln"/>
    <w:link w:val="ZpatChar"/>
    <w:uiPriority w:val="99"/>
    <w:unhideWhenUsed/>
    <w:rsid w:val="002B153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Pýcha Čeněk, Ph.D.</dc:creator>
  <cp:lastModifiedBy>Pýcha Čeněk, Ph.D.</cp:lastModifiedBy>
  <cp:revision>3</cp:revision>
  <dcterms:created xsi:type="dcterms:W3CDTF">2022-02-28T12:42:00Z</dcterms:created>
  <dcterms:modified xsi:type="dcterms:W3CDTF">2022-02-28T12:44:00Z</dcterms:modified>
</cp:coreProperties>
</file>