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before="260" w:line="335.99999999999994" w:lineRule="auto"/>
        <w:jc w:val="both"/>
        <w:rPr>
          <w:sz w:val="27"/>
          <w:szCs w:val="27"/>
        </w:rPr>
      </w:pPr>
      <w:r w:rsidDel="00000000" w:rsidR="00000000" w:rsidRPr="00000000">
        <w:rPr>
          <w:sz w:val="27"/>
          <w:szCs w:val="27"/>
          <w:rtl w:val="0"/>
        </w:rPr>
        <w:t xml:space="preserve">An urban design project located in Jelenia Góra, Poland, in close proximity to industrial areas. Developed collaboratively with Paweł Dąbrowski and Zuzanna Słabicka.</w:t>
      </w:r>
    </w:p>
    <w:p w:rsidR="00000000" w:rsidDel="00000000" w:rsidP="00000000" w:rsidRDefault="00000000" w:rsidRPr="00000000" w14:paraId="00000002">
      <w:pPr>
        <w:spacing w:after="260" w:before="260" w:line="335.99999999999994" w:lineRule="auto"/>
        <w:jc w:val="both"/>
        <w:rPr>
          <w:sz w:val="27"/>
          <w:szCs w:val="27"/>
        </w:rPr>
      </w:pPr>
      <w:r w:rsidDel="00000000" w:rsidR="00000000" w:rsidRPr="00000000">
        <w:rPr>
          <w:sz w:val="27"/>
          <w:szCs w:val="27"/>
          <w:rtl w:val="0"/>
        </w:rPr>
        <w:t xml:space="preserve">The main objective of the project was to create a welcoming living environment that would encourage people to settle in a city experiencing population decline. An important aspect was also to isolate the proposed development from the busy road and adjacent industrial areas.</w:t>
      </w:r>
    </w:p>
    <w:p w:rsidR="00000000" w:rsidDel="00000000" w:rsidP="00000000" w:rsidRDefault="00000000" w:rsidRPr="00000000" w14:paraId="00000003">
      <w:pPr>
        <w:spacing w:after="260" w:before="260" w:line="335.99999999999994" w:lineRule="auto"/>
        <w:jc w:val="both"/>
        <w:rPr>
          <w:sz w:val="27"/>
          <w:szCs w:val="27"/>
        </w:rPr>
      </w:pPr>
      <w:r w:rsidDel="00000000" w:rsidR="00000000" w:rsidRPr="00000000">
        <w:rPr>
          <w:sz w:val="27"/>
          <w:szCs w:val="27"/>
          <w:rtl w:val="0"/>
        </w:rPr>
        <w:t xml:space="preserve">An additional access road runs along the length of the site. Its winding layout is intended to reduce vehicle speeds and improve safety. Buildings were designed along the industrial edge to serve as an acoustic barrier, protecting the rest of the development from noise.</w:t>
      </w:r>
    </w:p>
    <w:p w:rsidR="00000000" w:rsidDel="00000000" w:rsidP="00000000" w:rsidRDefault="00000000" w:rsidRPr="00000000" w14:paraId="00000004">
      <w:pPr>
        <w:spacing w:after="260" w:before="260" w:line="335.99999999999994" w:lineRule="auto"/>
        <w:jc w:val="both"/>
        <w:rPr>
          <w:sz w:val="27"/>
          <w:szCs w:val="27"/>
        </w:rPr>
      </w:pPr>
      <w:r w:rsidDel="00000000" w:rsidR="00000000" w:rsidRPr="00000000">
        <w:rPr>
          <w:sz w:val="27"/>
          <w:szCs w:val="27"/>
          <w:rtl w:val="0"/>
        </w:rPr>
        <w:t xml:space="preserve">One of the key elements of the design is a network of green pedestrian routes connecting the proposed development with existing vegetation and a nearby watercourse. The existing water basin was preserved, restored, and incorporated into the overall spatial structure.</w:t>
      </w:r>
    </w:p>
    <w:p w:rsidR="00000000" w:rsidDel="00000000" w:rsidP="00000000" w:rsidRDefault="00000000" w:rsidRPr="00000000" w14:paraId="00000005">
      <w:pPr>
        <w:spacing w:after="260" w:before="260" w:line="335.99999999999994" w:lineRule="auto"/>
        <w:jc w:val="both"/>
        <w:rPr>
          <w:sz w:val="27"/>
          <w:szCs w:val="27"/>
        </w:rPr>
      </w:pPr>
      <w:r w:rsidDel="00000000" w:rsidR="00000000" w:rsidRPr="00000000">
        <w:rPr>
          <w:sz w:val="27"/>
          <w:szCs w:val="27"/>
          <w:rtl w:val="0"/>
        </w:rPr>
        <w:t xml:space="preserve">Services and educational facilities were located at strategic points across the site - at both ends and in the central area - strengthening the local community hub.</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oboto" w:cs="Roboto" w:eastAsia="Roboto" w:hAnsi="Roboto"/>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