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wykład-5-zasiedzenie-i-przedawnienie"/>
    <w:p>
      <w:pPr>
        <w:pStyle w:val="Heading1"/>
      </w:pPr>
      <w:r>
        <w:t xml:space="preserve">Wykład 5 – Zasiedzenie i przedawnienie</w:t>
      </w:r>
    </w:p>
    <w:bookmarkStart w:id="20" w:name="zasiedzenie"/>
    <w:p>
      <w:pPr>
        <w:pStyle w:val="Heading2"/>
      </w:pPr>
      <w:r>
        <w:t xml:space="preserve">Zasiedzenie</w:t>
      </w:r>
    </w:p>
    <w:p>
      <w:pPr>
        <w:pStyle w:val="FirstParagraph"/>
      </w:pPr>
      <w:r>
        <w:t xml:space="preserve">Zasiedzenie to pierwotny sposób nabycia własności przez długotrwałe posiadanie samoistne. WAŻNE – będzie na egzaminie!</w:t>
      </w:r>
    </w:p>
    <w:p>
      <w:pPr>
        <w:pStyle w:val="BodyText"/>
      </w:pPr>
      <w:r>
        <w:t xml:space="preserve">Zgodnie z art. 172 § 1 k.c. posiadacz nieruchomości niebędący jej właścicielem nabywa własność, jeżeli posiada nieruchomość nieprzerwanie od lat dwudziestu jako posiadacz samoistny, chyba że uzyskał posiadanie w złej wierze.</w:t>
      </w:r>
    </w:p>
    <w:p>
      <w:pPr>
        <w:pStyle w:val="BodyText"/>
      </w:pPr>
      <w:r>
        <w:t xml:space="preserve">Według art. 172 § 2 k.c. po upływie lat trzydziestu posiadacz nieruchomości nabywa jej własność, choćby uzyskał posiadanie w złej wierze.</w:t>
      </w:r>
    </w:p>
    <w:p>
      <w:pPr>
        <w:pStyle w:val="BodyText"/>
      </w:pPr>
      <w:r>
        <w:t xml:space="preserve">Przesłankami zasiedzenia nieruchomości są posiadanie samoistne oraz nieprzerwany upływ czasu określonego w ustawie.</w:t>
      </w:r>
    </w:p>
    <w:p>
      <w:pPr>
        <w:pStyle w:val="BodyText"/>
      </w:pPr>
      <w:r>
        <w:t xml:space="preserve">Zasiedzenie ruchomości reguluje art. 174 k.c.: posiadacz rzeczy ruchomej niebędący jej właścicielem nabywa własność, jeżeli posiada rzecz nieprzerwanie od lat trzech jako posiadacz samoistny, chyba że posiada w złej wierze.</w:t>
      </w:r>
    </w:p>
    <w:p>
      <w:pPr>
        <w:pStyle w:val="BodyText"/>
      </w:pPr>
      <w:r>
        <w:t xml:space="preserve">Odróżnij zasiedzenie od przedawnienia: zasiedzenie prowadzi do nabycia prawa, a przedawnienie nie powoduje wygaśnięcia roszczenia.</w:t>
      </w:r>
    </w:p>
    <w:bookmarkEnd w:id="20"/>
    <w:bookmarkStart w:id="21" w:name="przedawnienie-roszczeń"/>
    <w:p>
      <w:pPr>
        <w:pStyle w:val="Heading2"/>
      </w:pPr>
      <w:r>
        <w:t xml:space="preserve">Przedawnienie roszczeń</w:t>
      </w:r>
    </w:p>
    <w:p>
      <w:pPr>
        <w:pStyle w:val="FirstParagraph"/>
      </w:pPr>
      <w:r>
        <w:t xml:space="preserve">Roszczenia majątkowe ulegają przedawnieniu (art. 117 § 1 k.c.). Po upływie terminu przedawnienia ten, przeciwko komu przysługuje roszczenie, może uchylić się od jego zaspokojenia.</w:t>
      </w:r>
    </w:p>
    <w:p>
      <w:pPr>
        <w:pStyle w:val="BodyText"/>
      </w:pPr>
      <w:r>
        <w:t xml:space="preserve">Termin przedawnienia wynosi sześć lat, a dla roszczeń o świadczenia okresowe oraz roszczeń związanych z prowadzeniem działalności gospodarczej – trzy lata (art. 118 k.c.).</w:t>
      </w:r>
    </w:p>
    <w:p>
      <w:pPr>
        <w:pStyle w:val="BodyText"/>
      </w:pPr>
      <w:r>
        <w:t xml:space="preserve">Koniec terminu przedawnienia przypada na ostatni dzień roku kalendarzowego, chyba że termin przedawnienia jest krótszy niż dwa lata.</w:t>
      </w:r>
    </w:p>
    <w:p>
      <w:pPr>
        <w:pStyle w:val="BodyText"/>
      </w:pPr>
      <w:r>
        <w:t xml:space="preserve">Celem przedawnienia jest stabilizacja stosunków prawnych i dyscyplinowanie wierzyciela.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2026-10-06T17:08:57Z</dcterms:created>
  <dcterms:modified xsi:type="dcterms:W3CDTF">2026-10-06T17:08:57Z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