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D51" w:rsidRDefault="00060D51" w:rsidP="00B342AD">
      <w:pPr>
        <w:spacing w:line="360" w:lineRule="auto"/>
        <w:rPr>
          <w:rFonts w:ascii="Arial" w:hAnsi="Arial" w:cs="Arial"/>
          <w:sz w:val="20"/>
          <w:szCs w:val="20"/>
        </w:rPr>
      </w:pPr>
      <w:r w:rsidRPr="00060D51">
        <w:rPr>
          <w:rFonts w:ascii="Arial" w:hAnsi="Arial" w:cs="Arial"/>
          <w:b/>
          <w:sz w:val="36"/>
          <w:szCs w:val="36"/>
        </w:rPr>
        <w:t>BIOL33021/66021 Assessment 2 (2023-24)</w:t>
      </w:r>
      <w:r>
        <w:rPr>
          <w:rFonts w:ascii="Arial" w:hAnsi="Arial" w:cs="Arial"/>
          <w:sz w:val="20"/>
          <w:szCs w:val="20"/>
        </w:rPr>
        <w:br/>
        <w:t>10724949</w:t>
      </w:r>
    </w:p>
    <w:p w:rsidR="00D43DB8" w:rsidRPr="00B342AD" w:rsidRDefault="00D43DB8" w:rsidP="00B342AD">
      <w:pPr>
        <w:spacing w:line="360" w:lineRule="auto"/>
        <w:rPr>
          <w:rFonts w:ascii="Arial" w:hAnsi="Arial" w:cs="Arial"/>
          <w:b/>
          <w:sz w:val="20"/>
          <w:szCs w:val="20"/>
        </w:rPr>
      </w:pPr>
      <w:r w:rsidRPr="00B342AD">
        <w:rPr>
          <w:rFonts w:ascii="Arial" w:hAnsi="Arial" w:cs="Arial"/>
          <w:b/>
          <w:sz w:val="20"/>
          <w:szCs w:val="20"/>
        </w:rPr>
        <w:t>INTRODUCTION</w:t>
      </w:r>
    </w:p>
    <w:p w:rsidR="00D82A84" w:rsidRPr="00B342AD" w:rsidRDefault="00D82A84" w:rsidP="00B342AD">
      <w:pPr>
        <w:spacing w:line="360" w:lineRule="auto"/>
        <w:rPr>
          <w:rFonts w:ascii="Arial" w:hAnsi="Arial" w:cs="Arial"/>
          <w:sz w:val="20"/>
          <w:szCs w:val="20"/>
        </w:rPr>
      </w:pPr>
      <w:r w:rsidRPr="00B342AD">
        <w:rPr>
          <w:rFonts w:ascii="Arial" w:hAnsi="Arial" w:cs="Arial"/>
          <w:sz w:val="20"/>
          <w:szCs w:val="20"/>
        </w:rPr>
        <w:t xml:space="preserve">The advent of single-cell analysis has </w:t>
      </w:r>
      <w:r w:rsidRPr="00B342AD">
        <w:rPr>
          <w:rFonts w:ascii="Arial" w:hAnsi="Arial" w:cs="Arial"/>
          <w:sz w:val="20"/>
          <w:szCs w:val="20"/>
        </w:rPr>
        <w:t>emphasised</w:t>
      </w:r>
      <w:r w:rsidRPr="00B342AD">
        <w:rPr>
          <w:rFonts w:ascii="Arial" w:hAnsi="Arial" w:cs="Arial"/>
          <w:sz w:val="20"/>
          <w:szCs w:val="20"/>
        </w:rPr>
        <w:t xml:space="preserve"> the heterogeneity and complexity of cellular populations (Amir et al., 2013).</w:t>
      </w:r>
      <w:r w:rsidRPr="00B342AD">
        <w:rPr>
          <w:rFonts w:ascii="Arial" w:hAnsi="Arial" w:cs="Arial"/>
          <w:sz w:val="20"/>
          <w:szCs w:val="20"/>
        </w:rPr>
        <w:t xml:space="preserve"> Projects like Human Cell Atlas, </w:t>
      </w:r>
      <w:r w:rsidRPr="00B342AD">
        <w:rPr>
          <w:rFonts w:ascii="Arial" w:hAnsi="Arial" w:cs="Arial"/>
          <w:sz w:val="20"/>
          <w:szCs w:val="20"/>
        </w:rPr>
        <w:t>The Cancer Genome Atlas Program</w:t>
      </w:r>
      <w:r w:rsidRPr="00B342AD">
        <w:rPr>
          <w:rFonts w:ascii="Arial" w:hAnsi="Arial" w:cs="Arial"/>
          <w:sz w:val="20"/>
          <w:szCs w:val="20"/>
        </w:rPr>
        <w:t xml:space="preserve"> and COVID-19 immune profiling </w:t>
      </w:r>
      <w:r w:rsidRPr="00B342AD">
        <w:rPr>
          <w:rFonts w:ascii="Arial" w:hAnsi="Arial" w:cs="Arial"/>
          <w:sz w:val="20"/>
          <w:szCs w:val="20"/>
        </w:rPr>
        <w:t xml:space="preserve">are </w:t>
      </w:r>
      <w:r w:rsidRPr="00B342AD">
        <w:rPr>
          <w:rFonts w:ascii="Arial" w:hAnsi="Arial" w:cs="Arial"/>
          <w:sz w:val="20"/>
          <w:szCs w:val="20"/>
        </w:rPr>
        <w:t>unravelling</w:t>
      </w:r>
      <w:r w:rsidRPr="00B342AD">
        <w:rPr>
          <w:rFonts w:ascii="Arial" w:hAnsi="Arial" w:cs="Arial"/>
          <w:sz w:val="20"/>
          <w:szCs w:val="20"/>
        </w:rPr>
        <w:t xml:space="preserve"> cellular diversity and dynamics in health and disease, leveraging single-cell sequencing's vast data. </w:t>
      </w:r>
      <w:r w:rsidRPr="00B342AD">
        <w:rPr>
          <w:rFonts w:ascii="Arial" w:hAnsi="Arial" w:cs="Arial"/>
          <w:sz w:val="20"/>
          <w:szCs w:val="20"/>
        </w:rPr>
        <w:t xml:space="preserve">To be able to manage the massive amount of data intrinsic to this approach, </w:t>
      </w:r>
      <w:r w:rsidRPr="00B342AD">
        <w:rPr>
          <w:rFonts w:ascii="Arial" w:hAnsi="Arial" w:cs="Arial"/>
          <w:sz w:val="20"/>
          <w:szCs w:val="20"/>
        </w:rPr>
        <w:t>Pri</w:t>
      </w:r>
      <w:r w:rsidRPr="00B342AD">
        <w:rPr>
          <w:rFonts w:ascii="Arial" w:hAnsi="Arial" w:cs="Arial"/>
          <w:sz w:val="20"/>
          <w:szCs w:val="20"/>
        </w:rPr>
        <w:t xml:space="preserve">ncipal Component Analysis (PCA), </w:t>
      </w:r>
      <w:r w:rsidRPr="00B342AD">
        <w:rPr>
          <w:rFonts w:ascii="Arial" w:hAnsi="Arial" w:cs="Arial"/>
          <w:sz w:val="20"/>
          <w:szCs w:val="20"/>
        </w:rPr>
        <w:t xml:space="preserve">k-means </w:t>
      </w:r>
      <w:r w:rsidRPr="00B342AD">
        <w:rPr>
          <w:rFonts w:ascii="Arial" w:hAnsi="Arial" w:cs="Arial"/>
          <w:sz w:val="20"/>
          <w:szCs w:val="20"/>
        </w:rPr>
        <w:t xml:space="preserve">and hierarchical </w:t>
      </w:r>
      <w:r w:rsidRPr="00B342AD">
        <w:rPr>
          <w:rFonts w:ascii="Arial" w:hAnsi="Arial" w:cs="Arial"/>
          <w:sz w:val="20"/>
          <w:szCs w:val="20"/>
        </w:rPr>
        <w:t xml:space="preserve">clustering </w:t>
      </w:r>
      <w:r w:rsidRPr="00B342AD">
        <w:rPr>
          <w:rFonts w:ascii="Arial" w:hAnsi="Arial" w:cs="Arial"/>
          <w:sz w:val="20"/>
          <w:szCs w:val="20"/>
        </w:rPr>
        <w:t>became routinely</w:t>
      </w:r>
      <w:r w:rsidRPr="00B342AD">
        <w:rPr>
          <w:rFonts w:ascii="Arial" w:hAnsi="Arial" w:cs="Arial"/>
          <w:sz w:val="20"/>
          <w:szCs w:val="20"/>
        </w:rPr>
        <w:t xml:space="preserve"> </w:t>
      </w:r>
      <w:r w:rsidRPr="00B342AD">
        <w:rPr>
          <w:rFonts w:ascii="Arial" w:hAnsi="Arial" w:cs="Arial"/>
          <w:sz w:val="20"/>
          <w:szCs w:val="20"/>
        </w:rPr>
        <w:t xml:space="preserve">employed </w:t>
      </w:r>
      <w:r w:rsidRPr="00B342AD">
        <w:rPr>
          <w:rFonts w:ascii="Arial" w:hAnsi="Arial" w:cs="Arial"/>
          <w:sz w:val="20"/>
          <w:szCs w:val="20"/>
        </w:rPr>
        <w:t>(</w:t>
      </w:r>
      <w:proofErr w:type="spellStart"/>
      <w:r w:rsidRPr="00B342AD">
        <w:rPr>
          <w:rFonts w:ascii="Arial" w:hAnsi="Arial" w:cs="Arial"/>
          <w:sz w:val="20"/>
          <w:szCs w:val="20"/>
        </w:rPr>
        <w:t>Lun</w:t>
      </w:r>
      <w:proofErr w:type="spellEnd"/>
      <w:r w:rsidRPr="00B342AD">
        <w:rPr>
          <w:rFonts w:ascii="Arial" w:hAnsi="Arial" w:cs="Arial"/>
          <w:sz w:val="20"/>
          <w:szCs w:val="20"/>
        </w:rPr>
        <w:t xml:space="preserve"> et al., 2017</w:t>
      </w:r>
      <w:r w:rsidRPr="00B342AD">
        <w:rPr>
          <w:rFonts w:ascii="Arial" w:hAnsi="Arial" w:cs="Arial"/>
          <w:sz w:val="20"/>
          <w:szCs w:val="20"/>
        </w:rPr>
        <w:t xml:space="preserve">; </w:t>
      </w:r>
      <w:proofErr w:type="spellStart"/>
      <w:r w:rsidRPr="00B342AD">
        <w:rPr>
          <w:rFonts w:ascii="Arial" w:hAnsi="Arial" w:cs="Arial"/>
          <w:sz w:val="20"/>
          <w:szCs w:val="20"/>
        </w:rPr>
        <w:t>Shekhar</w:t>
      </w:r>
      <w:proofErr w:type="spellEnd"/>
      <w:r w:rsidRPr="00B342AD">
        <w:rPr>
          <w:rFonts w:ascii="Arial" w:hAnsi="Arial" w:cs="Arial"/>
          <w:sz w:val="20"/>
          <w:szCs w:val="20"/>
        </w:rPr>
        <w:t xml:space="preserve"> et al., 2016). PCA, transforming correlated variables into principal components, reduces large dataset dimensionality, enhancing interpretability with minimal information loss (</w:t>
      </w:r>
      <w:proofErr w:type="spellStart"/>
      <w:r w:rsidRPr="00B342AD">
        <w:rPr>
          <w:rFonts w:ascii="Arial" w:hAnsi="Arial" w:cs="Arial"/>
          <w:sz w:val="20"/>
          <w:szCs w:val="20"/>
        </w:rPr>
        <w:t>Jolliffe</w:t>
      </w:r>
      <w:proofErr w:type="spellEnd"/>
      <w:r w:rsidRPr="00B342AD">
        <w:rPr>
          <w:rFonts w:ascii="Arial" w:hAnsi="Arial" w:cs="Arial"/>
          <w:sz w:val="20"/>
          <w:szCs w:val="20"/>
        </w:rPr>
        <w:t xml:space="preserve"> and </w:t>
      </w:r>
      <w:proofErr w:type="spellStart"/>
      <w:r w:rsidRPr="00B342AD">
        <w:rPr>
          <w:rFonts w:ascii="Arial" w:hAnsi="Arial" w:cs="Arial"/>
          <w:sz w:val="20"/>
          <w:szCs w:val="20"/>
        </w:rPr>
        <w:t>Cadima</w:t>
      </w:r>
      <w:proofErr w:type="spellEnd"/>
      <w:r w:rsidRPr="00B342AD">
        <w:rPr>
          <w:rFonts w:ascii="Arial" w:hAnsi="Arial" w:cs="Arial"/>
          <w:sz w:val="20"/>
          <w:szCs w:val="20"/>
        </w:rPr>
        <w:t>, 2016). K-means clustering, partitioning observations into clusters based on the nearest mean, is essential for identifying cellular subpopulations and phenotypes (</w:t>
      </w:r>
      <w:proofErr w:type="spellStart"/>
      <w:r w:rsidRPr="00B342AD">
        <w:rPr>
          <w:rFonts w:ascii="Arial" w:hAnsi="Arial" w:cs="Arial"/>
          <w:sz w:val="20"/>
          <w:szCs w:val="20"/>
        </w:rPr>
        <w:t>Hartigan</w:t>
      </w:r>
      <w:proofErr w:type="spellEnd"/>
      <w:r w:rsidRPr="00B342AD">
        <w:rPr>
          <w:rFonts w:ascii="Arial" w:hAnsi="Arial" w:cs="Arial"/>
          <w:sz w:val="20"/>
          <w:szCs w:val="20"/>
        </w:rPr>
        <w:t xml:space="preserve"> and Wong, 1979; </w:t>
      </w:r>
      <w:proofErr w:type="spellStart"/>
      <w:r w:rsidRPr="00B342AD">
        <w:rPr>
          <w:rFonts w:ascii="Arial" w:hAnsi="Arial" w:cs="Arial"/>
          <w:sz w:val="20"/>
          <w:szCs w:val="20"/>
        </w:rPr>
        <w:t>MacQueen</w:t>
      </w:r>
      <w:proofErr w:type="spellEnd"/>
      <w:r w:rsidRPr="00B342AD">
        <w:rPr>
          <w:rFonts w:ascii="Arial" w:hAnsi="Arial" w:cs="Arial"/>
          <w:sz w:val="20"/>
          <w:szCs w:val="20"/>
        </w:rPr>
        <w:t xml:space="preserve"> et al., 1967). Hierarchical clustering, another powerful tool, uncovers natural groupings in cellular populations without predefined cluster numbers (Johnson, 1967).</w:t>
      </w:r>
    </w:p>
    <w:p w:rsidR="00B666B3" w:rsidRPr="00B342AD" w:rsidRDefault="00D82A84" w:rsidP="00B342AD">
      <w:pPr>
        <w:spacing w:line="360" w:lineRule="auto"/>
        <w:rPr>
          <w:rFonts w:ascii="Arial" w:hAnsi="Arial" w:cs="Arial"/>
          <w:sz w:val="20"/>
          <w:szCs w:val="20"/>
        </w:rPr>
      </w:pPr>
      <w:r w:rsidRPr="00B342AD">
        <w:rPr>
          <w:rFonts w:ascii="Arial" w:hAnsi="Arial" w:cs="Arial"/>
          <w:sz w:val="20"/>
          <w:szCs w:val="20"/>
        </w:rPr>
        <w:t>This report explores PCA and clustering in single-cell flow cytometry data analysis, particularly for a COVID-19 immune profiling dataset (Lee et al., 2020). Using PCA, it visualizes cellular heterogen</w:t>
      </w:r>
      <w:r w:rsidRPr="00B342AD">
        <w:rPr>
          <w:rFonts w:ascii="Arial" w:hAnsi="Arial" w:cs="Arial"/>
          <w:sz w:val="20"/>
          <w:szCs w:val="20"/>
        </w:rPr>
        <w:t>eity and identifies a marker gene</w:t>
      </w:r>
      <w:r w:rsidRPr="00B342AD">
        <w:rPr>
          <w:rFonts w:ascii="Arial" w:hAnsi="Arial" w:cs="Arial"/>
          <w:sz w:val="20"/>
          <w:szCs w:val="20"/>
        </w:rPr>
        <w:t>, while k-means and hierarchical clustering categorize cells into subpopulations, demonstrating these methods' efficacy in elucidating single-cell dataset complexities.</w:t>
      </w:r>
    </w:p>
    <w:p w:rsidR="00B666B3" w:rsidRPr="00B342AD" w:rsidRDefault="00164924" w:rsidP="00B342AD">
      <w:pPr>
        <w:spacing w:line="360" w:lineRule="auto"/>
        <w:rPr>
          <w:rFonts w:ascii="Arial" w:hAnsi="Arial" w:cs="Arial"/>
          <w:b/>
          <w:sz w:val="20"/>
          <w:szCs w:val="20"/>
        </w:rPr>
      </w:pPr>
      <w:r w:rsidRPr="00B342AD">
        <w:rPr>
          <w:rFonts w:ascii="Arial" w:hAnsi="Arial" w:cs="Arial"/>
          <w:b/>
          <w:sz w:val="20"/>
          <w:szCs w:val="20"/>
        </w:rPr>
        <w:t>METHODS</w:t>
      </w:r>
    </w:p>
    <w:p w:rsidR="00B666B3" w:rsidRPr="00B342AD" w:rsidRDefault="00164924" w:rsidP="00B342AD">
      <w:pPr>
        <w:spacing w:line="360" w:lineRule="auto"/>
        <w:rPr>
          <w:rFonts w:ascii="Arial" w:hAnsi="Arial" w:cs="Arial"/>
          <w:sz w:val="20"/>
          <w:szCs w:val="20"/>
        </w:rPr>
      </w:pPr>
      <w:r w:rsidRPr="00B342AD">
        <w:rPr>
          <w:rFonts w:ascii="Arial" w:hAnsi="Arial" w:cs="Arial"/>
          <w:sz w:val="20"/>
          <w:szCs w:val="20"/>
        </w:rPr>
        <w:t>The study utilis</w:t>
      </w:r>
      <w:r w:rsidR="00B666B3" w:rsidRPr="00B342AD">
        <w:rPr>
          <w:rFonts w:ascii="Arial" w:hAnsi="Arial" w:cs="Arial"/>
          <w:sz w:val="20"/>
          <w:szCs w:val="20"/>
        </w:rPr>
        <w:t xml:space="preserve">ed single-cell flow cytometry data from a COVID-19 immune profiling study (Lee et al., 2020), focusing on lymphocyte populations. Data </w:t>
      </w:r>
      <w:proofErr w:type="spellStart"/>
      <w:r w:rsidR="00B666B3" w:rsidRPr="00B342AD">
        <w:rPr>
          <w:rFonts w:ascii="Arial" w:hAnsi="Arial" w:cs="Arial"/>
          <w:sz w:val="20"/>
          <w:szCs w:val="20"/>
        </w:rPr>
        <w:t>preprocessing</w:t>
      </w:r>
      <w:proofErr w:type="spellEnd"/>
      <w:r w:rsidR="00B666B3" w:rsidRPr="00B342AD">
        <w:rPr>
          <w:rFonts w:ascii="Arial" w:hAnsi="Arial" w:cs="Arial"/>
          <w:sz w:val="20"/>
          <w:szCs w:val="20"/>
        </w:rPr>
        <w:t xml:space="preserve"> involved removing debris and dead cells, followed by normalizing fluorescence intensities across various channels. The dataset then underwent log transf</w:t>
      </w:r>
      <w:r w:rsidRPr="00B342AD">
        <w:rPr>
          <w:rFonts w:ascii="Arial" w:hAnsi="Arial" w:cs="Arial"/>
          <w:sz w:val="20"/>
          <w:szCs w:val="20"/>
        </w:rPr>
        <w:t xml:space="preserve">ormation to stabilise variance. </w:t>
      </w:r>
      <w:r w:rsidR="00B666B3" w:rsidRPr="00B342AD">
        <w:rPr>
          <w:rFonts w:ascii="Arial" w:hAnsi="Arial" w:cs="Arial"/>
          <w:sz w:val="20"/>
          <w:szCs w:val="20"/>
        </w:rPr>
        <w:t xml:space="preserve">PCA was conducted using the </w:t>
      </w:r>
      <w:proofErr w:type="spellStart"/>
      <w:r w:rsidR="00B666B3" w:rsidRPr="00B342AD">
        <w:rPr>
          <w:rFonts w:ascii="Arial" w:hAnsi="Arial" w:cs="Arial"/>
          <w:sz w:val="20"/>
          <w:szCs w:val="20"/>
        </w:rPr>
        <w:t>scikit</w:t>
      </w:r>
      <w:proofErr w:type="spellEnd"/>
      <w:r w:rsidR="00B666B3" w:rsidRPr="00B342AD">
        <w:rPr>
          <w:rFonts w:ascii="Arial" w:hAnsi="Arial" w:cs="Arial"/>
          <w:sz w:val="20"/>
          <w:szCs w:val="20"/>
        </w:rPr>
        <w:t xml:space="preserve">-learn Python </w:t>
      </w:r>
      <w:r w:rsidRPr="00B342AD">
        <w:rPr>
          <w:rFonts w:ascii="Arial" w:hAnsi="Arial" w:cs="Arial"/>
          <w:sz w:val="20"/>
          <w:szCs w:val="20"/>
        </w:rPr>
        <w:t xml:space="preserve">3 library. </w:t>
      </w:r>
      <w:r w:rsidR="00B666B3" w:rsidRPr="00B342AD">
        <w:rPr>
          <w:rFonts w:ascii="Arial" w:hAnsi="Arial" w:cs="Arial"/>
          <w:sz w:val="20"/>
          <w:szCs w:val="20"/>
        </w:rPr>
        <w:t xml:space="preserve">The flow cytometry data, originally high-dimensional, were reduced to the first two principal components. K-means clustering, using </w:t>
      </w:r>
      <w:proofErr w:type="spellStart"/>
      <w:r w:rsidR="00B666B3" w:rsidRPr="00B342AD">
        <w:rPr>
          <w:rFonts w:ascii="Arial" w:hAnsi="Arial" w:cs="Arial"/>
          <w:sz w:val="20"/>
          <w:szCs w:val="20"/>
        </w:rPr>
        <w:t>scikit</w:t>
      </w:r>
      <w:proofErr w:type="spellEnd"/>
      <w:r w:rsidR="00B666B3" w:rsidRPr="00B342AD">
        <w:rPr>
          <w:rFonts w:ascii="Arial" w:hAnsi="Arial" w:cs="Arial"/>
          <w:sz w:val="20"/>
          <w:szCs w:val="20"/>
        </w:rPr>
        <w:t>-learn, was applied to the PCA-reduced data to identify distinct cell populations. The number of clusters was determined using the Elbow method. Hierarchical clustering with Ward's method was then employed to further categorize cells into phenotypically distinct subpopulations.</w:t>
      </w:r>
    </w:p>
    <w:p w:rsidR="00B666B3" w:rsidRPr="00B342AD" w:rsidRDefault="00164924" w:rsidP="00B342AD">
      <w:pPr>
        <w:spacing w:line="360" w:lineRule="auto"/>
        <w:rPr>
          <w:rFonts w:ascii="Arial" w:hAnsi="Arial" w:cs="Arial"/>
          <w:b/>
          <w:sz w:val="20"/>
          <w:szCs w:val="20"/>
        </w:rPr>
      </w:pPr>
      <w:r w:rsidRPr="00B342AD">
        <w:rPr>
          <w:rFonts w:ascii="Arial" w:hAnsi="Arial" w:cs="Arial"/>
          <w:b/>
          <w:sz w:val="20"/>
          <w:szCs w:val="20"/>
        </w:rPr>
        <w:t>RESULTS</w:t>
      </w:r>
    </w:p>
    <w:p w:rsidR="00EA69EE" w:rsidRPr="00B342AD" w:rsidRDefault="00EA69EE" w:rsidP="00B342AD">
      <w:pPr>
        <w:numPr>
          <w:ilvl w:val="0"/>
          <w:numId w:val="4"/>
        </w:numPr>
        <w:spacing w:line="360" w:lineRule="auto"/>
        <w:rPr>
          <w:rFonts w:ascii="Arial" w:hAnsi="Arial" w:cs="Arial"/>
          <w:sz w:val="20"/>
          <w:szCs w:val="20"/>
        </w:rPr>
      </w:pPr>
      <w:r w:rsidRPr="00B342AD">
        <w:rPr>
          <w:rFonts w:ascii="Arial" w:hAnsi="Arial" w:cs="Arial"/>
          <w:b/>
          <w:bCs/>
          <w:sz w:val="20"/>
          <w:szCs w:val="20"/>
        </w:rPr>
        <w:t>PCA Visualization Analysis:</w:t>
      </w:r>
    </w:p>
    <w:p w:rsidR="00B41A8A" w:rsidRPr="00B342AD" w:rsidRDefault="00B41A8A" w:rsidP="00B342AD">
      <w:pPr>
        <w:spacing w:line="360" w:lineRule="auto"/>
        <w:rPr>
          <w:rFonts w:ascii="Arial" w:hAnsi="Arial" w:cs="Arial"/>
          <w:sz w:val="20"/>
          <w:szCs w:val="20"/>
        </w:rPr>
      </w:pPr>
      <w:r w:rsidRPr="00B342AD">
        <w:rPr>
          <w:rFonts w:ascii="Arial" w:hAnsi="Arial" w:cs="Arial"/>
          <w:sz w:val="20"/>
          <w:szCs w:val="20"/>
        </w:rPr>
        <w:t>The PCA analysis revealed a substantial variance in the dataset accounted for by the first two principal components, with the first component explaining 40% and the second 11% (Table 1). This significant reduction in dimensionality enabled effective visualization of complex cellular data.</w:t>
      </w:r>
    </w:p>
    <w:p w:rsidR="00D43DB8" w:rsidRPr="00060D51" w:rsidRDefault="00D43DB8" w:rsidP="00B342AD">
      <w:pPr>
        <w:spacing w:line="360" w:lineRule="auto"/>
        <w:rPr>
          <w:rFonts w:ascii="Arial" w:hAnsi="Arial" w:cs="Arial"/>
          <w:sz w:val="18"/>
          <w:szCs w:val="18"/>
        </w:rPr>
      </w:pPr>
      <w:r w:rsidRPr="00060D51">
        <w:rPr>
          <w:rFonts w:ascii="Arial" w:hAnsi="Arial" w:cs="Arial"/>
          <w:b/>
          <w:bCs/>
          <w:sz w:val="18"/>
          <w:szCs w:val="18"/>
        </w:rPr>
        <w:lastRenderedPageBreak/>
        <w:t>Table 1: Principal Component Variance Contributions in COVID-19 Cell Data Analysis</w:t>
      </w:r>
      <w:r w:rsidRPr="00060D51">
        <w:rPr>
          <w:rFonts w:ascii="Arial" w:hAnsi="Arial" w:cs="Arial"/>
          <w:sz w:val="18"/>
          <w:szCs w:val="18"/>
        </w:rPr>
        <w:t xml:space="preserve"> This table summarizes the variance accounted for by each principal component in the PCA analysis. The components are sequentially listed based on their contribution to explaining the total variance in the dataset. The table provides a quantitative measure of the significance of each principal component, crucial for understanding the dimensions that capture the most variability in the data.</w:t>
      </w:r>
    </w:p>
    <w:p w:rsidR="00D43DB8" w:rsidRPr="00D43DB8" w:rsidRDefault="00D43DB8" w:rsidP="00B342AD">
      <w:pPr>
        <w:spacing w:line="360" w:lineRule="auto"/>
        <w:rPr>
          <w:rFonts w:ascii="Arial" w:hAnsi="Arial" w:cs="Arial"/>
          <w:sz w:val="20"/>
          <w:szCs w:val="20"/>
        </w:rPr>
      </w:pPr>
    </w:p>
    <w:tbl>
      <w:tblPr>
        <w:tblStyle w:val="TableGrid"/>
        <w:tblW w:w="0" w:type="auto"/>
        <w:tblLook w:val="04A0" w:firstRow="1" w:lastRow="0" w:firstColumn="1" w:lastColumn="0" w:noHBand="0" w:noVBand="1"/>
      </w:tblPr>
      <w:tblGrid>
        <w:gridCol w:w="973"/>
        <w:gridCol w:w="439"/>
        <w:gridCol w:w="439"/>
        <w:gridCol w:w="332"/>
        <w:gridCol w:w="332"/>
        <w:gridCol w:w="332"/>
        <w:gridCol w:w="332"/>
        <w:gridCol w:w="332"/>
        <w:gridCol w:w="332"/>
        <w:gridCol w:w="332"/>
        <w:gridCol w:w="439"/>
        <w:gridCol w:w="439"/>
        <w:gridCol w:w="439"/>
        <w:gridCol w:w="439"/>
        <w:gridCol w:w="439"/>
        <w:gridCol w:w="439"/>
        <w:gridCol w:w="439"/>
        <w:gridCol w:w="439"/>
        <w:gridCol w:w="443"/>
        <w:gridCol w:w="443"/>
        <w:gridCol w:w="443"/>
      </w:tblGrid>
      <w:tr w:rsidR="00D43DB8" w:rsidRPr="00D43DB8" w:rsidTr="00F34629">
        <w:tc>
          <w:tcPr>
            <w:tcW w:w="223"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PC</w:t>
            </w:r>
          </w:p>
        </w:tc>
        <w:tc>
          <w:tcPr>
            <w:tcW w:w="425"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w:t>
            </w:r>
          </w:p>
        </w:tc>
        <w:tc>
          <w:tcPr>
            <w:tcW w:w="425"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2</w:t>
            </w:r>
          </w:p>
        </w:tc>
        <w:tc>
          <w:tcPr>
            <w:tcW w:w="425"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3</w:t>
            </w:r>
          </w:p>
        </w:tc>
        <w:tc>
          <w:tcPr>
            <w:tcW w:w="425"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4</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5</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6</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7</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8</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9</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10</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11</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12</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13</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14</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15</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16</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17</w:t>
            </w:r>
          </w:p>
        </w:tc>
        <w:tc>
          <w:tcPr>
            <w:tcW w:w="527"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18</w:t>
            </w:r>
          </w:p>
        </w:tc>
        <w:tc>
          <w:tcPr>
            <w:tcW w:w="527"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19</w:t>
            </w:r>
          </w:p>
        </w:tc>
        <w:tc>
          <w:tcPr>
            <w:tcW w:w="527"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20</w:t>
            </w:r>
          </w:p>
        </w:tc>
      </w:tr>
      <w:tr w:rsidR="00D43DB8" w:rsidRPr="00D43DB8" w:rsidTr="00F34629">
        <w:tc>
          <w:tcPr>
            <w:tcW w:w="223"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 variance</w:t>
            </w:r>
          </w:p>
        </w:tc>
        <w:tc>
          <w:tcPr>
            <w:tcW w:w="425"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40</w:t>
            </w:r>
          </w:p>
        </w:tc>
        <w:tc>
          <w:tcPr>
            <w:tcW w:w="425"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11</w:t>
            </w:r>
          </w:p>
        </w:tc>
        <w:tc>
          <w:tcPr>
            <w:tcW w:w="425"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8</w:t>
            </w:r>
          </w:p>
        </w:tc>
        <w:tc>
          <w:tcPr>
            <w:tcW w:w="425"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6</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6</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5</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5</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4</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3</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2</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2</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2</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w:t>
            </w:r>
          </w:p>
        </w:tc>
        <w:tc>
          <w:tcPr>
            <w:tcW w:w="424"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w:t>
            </w:r>
          </w:p>
        </w:tc>
        <w:tc>
          <w:tcPr>
            <w:tcW w:w="527"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1</w:t>
            </w:r>
          </w:p>
        </w:tc>
        <w:tc>
          <w:tcPr>
            <w:tcW w:w="527"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0</w:t>
            </w:r>
          </w:p>
        </w:tc>
        <w:tc>
          <w:tcPr>
            <w:tcW w:w="527" w:type="dxa"/>
          </w:tcPr>
          <w:p w:rsidR="00D43DB8" w:rsidRPr="00D43DB8" w:rsidRDefault="00D43DB8" w:rsidP="00B342AD">
            <w:pPr>
              <w:spacing w:line="360" w:lineRule="auto"/>
              <w:rPr>
                <w:rFonts w:ascii="Arial" w:hAnsi="Arial" w:cs="Arial"/>
                <w:sz w:val="20"/>
                <w:szCs w:val="20"/>
              </w:rPr>
            </w:pPr>
            <w:r w:rsidRPr="00D43DB8">
              <w:rPr>
                <w:rFonts w:ascii="Arial" w:hAnsi="Arial" w:cs="Arial"/>
                <w:sz w:val="20"/>
                <w:szCs w:val="20"/>
              </w:rPr>
              <w:t>0</w:t>
            </w:r>
          </w:p>
        </w:tc>
      </w:tr>
    </w:tbl>
    <w:p w:rsidR="00D43DB8" w:rsidRPr="00B342AD" w:rsidRDefault="00D43DB8" w:rsidP="00B342AD">
      <w:pPr>
        <w:spacing w:line="360" w:lineRule="auto"/>
        <w:rPr>
          <w:rFonts w:ascii="Arial" w:hAnsi="Arial" w:cs="Arial"/>
          <w:sz w:val="20"/>
          <w:szCs w:val="20"/>
        </w:rPr>
      </w:pPr>
    </w:p>
    <w:p w:rsidR="00B342AD" w:rsidRPr="00B342AD" w:rsidRDefault="00B342AD" w:rsidP="00B342AD">
      <w:pPr>
        <w:spacing w:line="360" w:lineRule="auto"/>
        <w:rPr>
          <w:rFonts w:ascii="Arial" w:hAnsi="Arial" w:cs="Arial"/>
          <w:sz w:val="20"/>
          <w:szCs w:val="20"/>
        </w:rPr>
      </w:pPr>
      <w:r w:rsidRPr="00B342AD">
        <w:rPr>
          <w:rFonts w:ascii="Arial" w:hAnsi="Arial" w:cs="Arial"/>
          <w:sz w:val="20"/>
          <w:szCs w:val="20"/>
        </w:rPr>
        <w:t xml:space="preserve">The 2D PCA visualization (Figure 1) showed varying degrees of separation among cell types. Monocytes formed a distinct cluster from others like lymphocytes and dendritic cells, highlighting PCA's effectiveness in </w:t>
      </w:r>
      <w:r w:rsidRPr="00B342AD">
        <w:rPr>
          <w:rFonts w:ascii="Arial" w:hAnsi="Arial" w:cs="Arial"/>
          <w:sz w:val="20"/>
          <w:szCs w:val="20"/>
        </w:rPr>
        <w:t>capturing the variance that distinguishes monocytes</w:t>
      </w:r>
      <w:r w:rsidRPr="00B342AD">
        <w:rPr>
          <w:rFonts w:ascii="Arial" w:hAnsi="Arial" w:cs="Arial"/>
          <w:sz w:val="20"/>
          <w:szCs w:val="20"/>
        </w:rPr>
        <w:t>. Other cell types, distinguishable, showed overlap, suggesting similarities in phenotypic expression. CD14 had significant positive loading on the second principal component, indicating its contribution to variance and potential as a monocyte marker gene.</w:t>
      </w:r>
    </w:p>
    <w:p w:rsidR="00D43DB8" w:rsidRPr="00B342AD" w:rsidRDefault="00D43DB8" w:rsidP="00B342AD">
      <w:pPr>
        <w:spacing w:line="360" w:lineRule="auto"/>
        <w:rPr>
          <w:rFonts w:ascii="Arial" w:hAnsi="Arial" w:cs="Arial"/>
          <w:sz w:val="20"/>
          <w:szCs w:val="20"/>
        </w:rPr>
      </w:pPr>
    </w:p>
    <w:p w:rsidR="00D43DB8" w:rsidRPr="00B342AD" w:rsidRDefault="00D43DB8" w:rsidP="00B342AD">
      <w:pPr>
        <w:spacing w:line="360" w:lineRule="auto"/>
        <w:rPr>
          <w:rFonts w:ascii="Arial" w:hAnsi="Arial" w:cs="Arial"/>
          <w:sz w:val="20"/>
          <w:szCs w:val="20"/>
        </w:rPr>
      </w:pPr>
      <w:r w:rsidRPr="00B342AD">
        <w:rPr>
          <w:rFonts w:ascii="Arial" w:hAnsi="Arial" w:cs="Arial"/>
          <w:noProof/>
          <w:sz w:val="20"/>
          <w:szCs w:val="20"/>
          <w:lang w:eastAsia="en-GB"/>
        </w:rPr>
        <w:drawing>
          <wp:inline distT="0" distB="0" distL="0" distR="0" wp14:anchorId="5B2A8561">
            <wp:extent cx="5206365" cy="3700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6365" cy="3700780"/>
                    </a:xfrm>
                    <a:prstGeom prst="rect">
                      <a:avLst/>
                    </a:prstGeom>
                    <a:noFill/>
                  </pic:spPr>
                </pic:pic>
              </a:graphicData>
            </a:graphic>
          </wp:inline>
        </w:drawing>
      </w:r>
    </w:p>
    <w:p w:rsidR="00D43DB8" w:rsidRPr="00060D51" w:rsidRDefault="00D43DB8" w:rsidP="00B342AD">
      <w:pPr>
        <w:spacing w:line="360" w:lineRule="auto"/>
        <w:rPr>
          <w:rFonts w:ascii="Arial" w:hAnsi="Arial" w:cs="Arial"/>
          <w:sz w:val="18"/>
          <w:szCs w:val="18"/>
        </w:rPr>
      </w:pPr>
      <w:r w:rsidRPr="00060D51">
        <w:rPr>
          <w:rFonts w:ascii="Arial" w:hAnsi="Arial" w:cs="Arial"/>
          <w:b/>
          <w:bCs/>
          <w:sz w:val="18"/>
          <w:szCs w:val="18"/>
        </w:rPr>
        <w:t>Figure 1: Two-Dimensional PCA Visualization of Cell Types in COVID-19 Immune Profiling</w:t>
      </w:r>
      <w:r w:rsidRPr="00060D51">
        <w:rPr>
          <w:rFonts w:ascii="Arial" w:hAnsi="Arial" w:cs="Arial"/>
          <w:sz w:val="18"/>
          <w:szCs w:val="18"/>
        </w:rPr>
        <w:t xml:space="preserve"> Legend: Figure 1 presents the PCA-based visualization of flow cytometry data, depicting the segregation of cell types in two-dimensional space. The x-axis and y-axis correspond to the first and second principal components, respectively, each contributing significantly to the variance in the dataset. Different cell types, identified based on specific </w:t>
      </w:r>
      <w:r w:rsidRPr="00060D51">
        <w:rPr>
          <w:rFonts w:ascii="Arial" w:hAnsi="Arial" w:cs="Arial"/>
          <w:sz w:val="18"/>
          <w:szCs w:val="18"/>
        </w:rPr>
        <w:lastRenderedPageBreak/>
        <w:t>markers, are represented by distinct colours. The legend in the corner specifies the percentage of total variance explained by each principal component. This visualization aids in identifying overarching patterns in the dataset and suggests the presence of distinct cell populations.</w:t>
      </w:r>
    </w:p>
    <w:p w:rsidR="00D43DB8" w:rsidRPr="00B342AD" w:rsidRDefault="00D43DB8" w:rsidP="00B342AD">
      <w:pPr>
        <w:spacing w:line="360" w:lineRule="auto"/>
        <w:rPr>
          <w:rFonts w:ascii="Arial" w:hAnsi="Arial" w:cs="Arial"/>
          <w:sz w:val="20"/>
          <w:szCs w:val="20"/>
        </w:rPr>
      </w:pPr>
    </w:p>
    <w:p w:rsidR="00164924" w:rsidRPr="00B342AD" w:rsidRDefault="00EA69EE" w:rsidP="00B342AD">
      <w:pPr>
        <w:numPr>
          <w:ilvl w:val="0"/>
          <w:numId w:val="4"/>
        </w:numPr>
        <w:spacing w:line="360" w:lineRule="auto"/>
        <w:rPr>
          <w:rFonts w:ascii="Arial" w:hAnsi="Arial" w:cs="Arial"/>
          <w:sz w:val="20"/>
          <w:szCs w:val="20"/>
        </w:rPr>
      </w:pPr>
      <w:r w:rsidRPr="00B342AD">
        <w:rPr>
          <w:rFonts w:ascii="Arial" w:hAnsi="Arial" w:cs="Arial"/>
          <w:b/>
          <w:bCs/>
          <w:sz w:val="20"/>
          <w:szCs w:val="20"/>
        </w:rPr>
        <w:t xml:space="preserve">K-Means Clustering </w:t>
      </w:r>
      <w:r w:rsidR="002F2BAF" w:rsidRPr="00B342AD">
        <w:rPr>
          <w:rFonts w:ascii="Arial" w:hAnsi="Arial" w:cs="Arial"/>
          <w:b/>
          <w:bCs/>
          <w:sz w:val="20"/>
          <w:szCs w:val="20"/>
        </w:rPr>
        <w:t xml:space="preserve">Identification and </w:t>
      </w:r>
      <w:r w:rsidRPr="00B342AD">
        <w:rPr>
          <w:rFonts w:ascii="Arial" w:hAnsi="Arial" w:cs="Arial"/>
          <w:b/>
          <w:bCs/>
          <w:sz w:val="20"/>
          <w:szCs w:val="20"/>
        </w:rPr>
        <w:t>Performance Assessment:</w:t>
      </w:r>
      <w:r w:rsidRPr="00B342AD">
        <w:rPr>
          <w:rFonts w:ascii="Arial" w:hAnsi="Arial" w:cs="Arial"/>
          <w:sz w:val="20"/>
          <w:szCs w:val="20"/>
        </w:rPr>
        <w:t xml:space="preserve"> </w:t>
      </w:r>
    </w:p>
    <w:p w:rsidR="00EA69EE" w:rsidRPr="00B342AD" w:rsidRDefault="00B342AD" w:rsidP="00B342AD">
      <w:pPr>
        <w:spacing w:line="360" w:lineRule="auto"/>
        <w:rPr>
          <w:rFonts w:ascii="Arial" w:hAnsi="Arial" w:cs="Arial"/>
          <w:sz w:val="20"/>
          <w:szCs w:val="20"/>
        </w:rPr>
      </w:pPr>
      <w:r w:rsidRPr="00B342AD">
        <w:rPr>
          <w:rFonts w:ascii="Arial" w:hAnsi="Arial" w:cs="Arial"/>
          <w:sz w:val="20"/>
          <w:szCs w:val="20"/>
        </w:rPr>
        <w:t>Applying k-means clustering to the dataset partitioned cells into groups based on flow cytometry data (Figure 2). This process effectively segregated cells into distinct clusters</w:t>
      </w:r>
      <w:r w:rsidR="002F2BAF" w:rsidRPr="00B342AD">
        <w:rPr>
          <w:rFonts w:ascii="Arial" w:hAnsi="Arial" w:cs="Arial"/>
          <w:sz w:val="20"/>
          <w:szCs w:val="20"/>
        </w:rPr>
        <w:t>. The role of the k-means algorithm was to categorize these cells into clusters that represent potentially distinct cell</w:t>
      </w:r>
      <w:r w:rsidRPr="00B342AD">
        <w:rPr>
          <w:rFonts w:ascii="Arial" w:hAnsi="Arial" w:cs="Arial"/>
          <w:sz w:val="20"/>
          <w:szCs w:val="20"/>
        </w:rPr>
        <w:t xml:space="preserve"> types or states. Each cluster </w:t>
      </w:r>
      <w:r w:rsidR="002F2BAF" w:rsidRPr="00B342AD">
        <w:rPr>
          <w:rFonts w:ascii="Arial" w:hAnsi="Arial" w:cs="Arial"/>
          <w:sz w:val="20"/>
          <w:szCs w:val="20"/>
        </w:rPr>
        <w:t>comprises cells with similar characteristics, thereby indicating that algorithm effectively segregated the cells into distinct groups, reflecting their phenotypic heterogeneity.</w:t>
      </w:r>
      <w:r w:rsidR="002F2BAF" w:rsidRPr="00B342AD">
        <w:rPr>
          <w:rFonts w:ascii="Arial" w:hAnsi="Arial" w:cs="Arial"/>
          <w:sz w:val="20"/>
          <w:szCs w:val="20"/>
        </w:rPr>
        <w:br/>
      </w:r>
      <w:r w:rsidR="002F2BAF" w:rsidRPr="00B342AD">
        <w:rPr>
          <w:rFonts w:ascii="Arial" w:hAnsi="Arial" w:cs="Arial"/>
          <w:sz w:val="20"/>
          <w:szCs w:val="20"/>
        </w:rPr>
        <w:br/>
      </w:r>
      <w:r w:rsidRPr="00B342AD">
        <w:rPr>
          <w:rFonts w:ascii="Arial" w:hAnsi="Arial" w:cs="Arial"/>
          <w:sz w:val="20"/>
          <w:szCs w:val="20"/>
        </w:rPr>
        <w:t>The clustering performance was assessed using ARI, with a value of 0.849, indicating</w:t>
      </w:r>
      <w:r w:rsidR="00EA69EE" w:rsidRPr="00B342AD">
        <w:rPr>
          <w:rFonts w:ascii="Arial" w:hAnsi="Arial" w:cs="Arial"/>
          <w:sz w:val="20"/>
          <w:szCs w:val="20"/>
        </w:rPr>
        <w:t>, indicating a high degree of similarity between the algorithm's clustering and the known cell type labels. This high ARI value suggests that the k-means clustering algorithm was successful in accurately identifying and grouping the different cell types, v</w:t>
      </w:r>
      <w:r w:rsidR="00B41A8A" w:rsidRPr="00B342AD">
        <w:rPr>
          <w:rFonts w:ascii="Arial" w:hAnsi="Arial" w:cs="Arial"/>
          <w:sz w:val="20"/>
          <w:szCs w:val="20"/>
        </w:rPr>
        <w:t>alidating its efficacy in analys</w:t>
      </w:r>
      <w:r w:rsidR="00EA69EE" w:rsidRPr="00B342AD">
        <w:rPr>
          <w:rFonts w:ascii="Arial" w:hAnsi="Arial" w:cs="Arial"/>
          <w:sz w:val="20"/>
          <w:szCs w:val="20"/>
        </w:rPr>
        <w:t>ing single-cell flow cytometry data.</w:t>
      </w:r>
    </w:p>
    <w:p w:rsidR="00DD73A5" w:rsidRPr="00B342AD" w:rsidRDefault="00DD73A5" w:rsidP="00B342AD">
      <w:pPr>
        <w:spacing w:line="360" w:lineRule="auto"/>
        <w:rPr>
          <w:rFonts w:ascii="Arial" w:hAnsi="Arial" w:cs="Arial"/>
          <w:sz w:val="20"/>
          <w:szCs w:val="20"/>
        </w:rPr>
      </w:pPr>
      <w:r w:rsidRPr="00B342AD">
        <w:rPr>
          <w:rFonts w:ascii="Arial" w:hAnsi="Arial" w:cs="Arial"/>
          <w:noProof/>
          <w:sz w:val="20"/>
          <w:szCs w:val="20"/>
          <w:lang w:eastAsia="en-GB"/>
        </w:rPr>
        <w:drawing>
          <wp:inline distT="0" distB="0" distL="0" distR="0" wp14:anchorId="46938692">
            <wp:extent cx="4474845" cy="319468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4845" cy="3194685"/>
                    </a:xfrm>
                    <a:prstGeom prst="rect">
                      <a:avLst/>
                    </a:prstGeom>
                    <a:noFill/>
                  </pic:spPr>
                </pic:pic>
              </a:graphicData>
            </a:graphic>
          </wp:inline>
        </w:drawing>
      </w:r>
    </w:p>
    <w:p w:rsidR="00D43DB8" w:rsidRPr="00B342AD" w:rsidRDefault="00D43DB8" w:rsidP="00B342AD">
      <w:pPr>
        <w:spacing w:line="360" w:lineRule="auto"/>
        <w:rPr>
          <w:rFonts w:ascii="Arial" w:hAnsi="Arial" w:cs="Arial"/>
          <w:sz w:val="20"/>
          <w:szCs w:val="20"/>
        </w:rPr>
      </w:pPr>
    </w:p>
    <w:p w:rsidR="00D43DB8" w:rsidRPr="00060D51" w:rsidRDefault="00D43DB8" w:rsidP="00B342AD">
      <w:pPr>
        <w:spacing w:line="360" w:lineRule="auto"/>
        <w:rPr>
          <w:rFonts w:ascii="Arial" w:hAnsi="Arial" w:cs="Arial"/>
          <w:sz w:val="18"/>
          <w:szCs w:val="18"/>
        </w:rPr>
      </w:pPr>
      <w:r w:rsidRPr="00060D51">
        <w:rPr>
          <w:rFonts w:ascii="Arial" w:hAnsi="Arial" w:cs="Arial"/>
          <w:b/>
          <w:bCs/>
          <w:sz w:val="18"/>
          <w:szCs w:val="18"/>
        </w:rPr>
        <w:t>Figure 2: K-Means Clustering Results and Ground Truth Comparison in COVID-19 Immune Cell Data</w:t>
      </w:r>
      <w:r w:rsidRPr="00060D51">
        <w:rPr>
          <w:rFonts w:ascii="Arial" w:hAnsi="Arial" w:cs="Arial"/>
          <w:sz w:val="18"/>
          <w:szCs w:val="18"/>
        </w:rPr>
        <w:t xml:space="preserve"> The graph illustrates the results of k-means clustering applied to COVID-19 immune cell data, presented in a PCA-reduced two-dimensional space. Each cell is assigned to one of the clusters, indicated by various </w:t>
      </w:r>
      <w:proofErr w:type="spellStart"/>
      <w:r w:rsidRPr="00060D51">
        <w:rPr>
          <w:rFonts w:ascii="Arial" w:hAnsi="Arial" w:cs="Arial"/>
          <w:sz w:val="18"/>
          <w:szCs w:val="18"/>
        </w:rPr>
        <w:t>colors</w:t>
      </w:r>
      <w:proofErr w:type="spellEnd"/>
      <w:r w:rsidRPr="00060D51">
        <w:rPr>
          <w:rFonts w:ascii="Arial" w:hAnsi="Arial" w:cs="Arial"/>
          <w:sz w:val="18"/>
          <w:szCs w:val="18"/>
        </w:rPr>
        <w:t xml:space="preserve">, based on their expression profiles. Circles represent the centroids of the clusters identified by the k-means algorithm, highlighting the central tendencies of these groups. Additionally, squares are used to denote the ground truth labels, providing a visual comparison between the algorithmically determined clusters and the known cell types. The proximity and overlap between the circles and squares offer insights into the accuracy and efficacy of the k-means clustering in capturing the true biological variation of the cell populations. The clear delineation of clusters </w:t>
      </w:r>
      <w:r w:rsidRPr="00060D51">
        <w:rPr>
          <w:rFonts w:ascii="Arial" w:hAnsi="Arial" w:cs="Arial"/>
          <w:sz w:val="18"/>
          <w:szCs w:val="18"/>
        </w:rPr>
        <w:lastRenderedPageBreak/>
        <w:t xml:space="preserve">and their correlation with the ground truth labels underscore the algorithm’s capability in identifying distinct cellular phenotypes within the context of COVID-19 immune profiling. Notably, squares representing ground truth labels are present for certain cell types but absent for </w:t>
      </w:r>
      <w:r w:rsidR="00060D51">
        <w:rPr>
          <w:rFonts w:ascii="Arial" w:hAnsi="Arial" w:cs="Arial"/>
          <w:sz w:val="18"/>
          <w:szCs w:val="18"/>
        </w:rPr>
        <w:t xml:space="preserve">most </w:t>
      </w:r>
      <w:r w:rsidRPr="00060D51">
        <w:rPr>
          <w:rFonts w:ascii="Arial" w:hAnsi="Arial" w:cs="Arial"/>
          <w:sz w:val="18"/>
          <w:szCs w:val="18"/>
        </w:rPr>
        <w:t xml:space="preserve">T cells and NK cells. This absence </w:t>
      </w:r>
      <w:r w:rsidR="00060D51">
        <w:rPr>
          <w:rFonts w:ascii="Arial" w:hAnsi="Arial" w:cs="Arial"/>
          <w:sz w:val="18"/>
          <w:szCs w:val="18"/>
        </w:rPr>
        <w:t>might indicate</w:t>
      </w:r>
      <w:r w:rsidRPr="00060D51">
        <w:rPr>
          <w:rFonts w:ascii="Arial" w:hAnsi="Arial" w:cs="Arial"/>
          <w:sz w:val="18"/>
          <w:szCs w:val="18"/>
        </w:rPr>
        <w:t xml:space="preserve"> that these cell types were not included in the ground truth labels of the dataset, thus their clusters are identified solely based on the k-means algorithm without external validation.</w:t>
      </w:r>
    </w:p>
    <w:p w:rsidR="00D43DB8" w:rsidRPr="00B342AD" w:rsidRDefault="00D43DB8" w:rsidP="00B342AD">
      <w:pPr>
        <w:spacing w:line="360" w:lineRule="auto"/>
        <w:rPr>
          <w:rFonts w:ascii="Arial" w:hAnsi="Arial" w:cs="Arial"/>
          <w:sz w:val="20"/>
          <w:szCs w:val="20"/>
        </w:rPr>
      </w:pPr>
    </w:p>
    <w:p w:rsidR="00C83393" w:rsidRDefault="00EA69EE" w:rsidP="00B342AD">
      <w:pPr>
        <w:numPr>
          <w:ilvl w:val="0"/>
          <w:numId w:val="4"/>
        </w:numPr>
        <w:spacing w:line="360" w:lineRule="auto"/>
        <w:rPr>
          <w:rFonts w:ascii="Arial" w:hAnsi="Arial" w:cs="Arial"/>
          <w:sz w:val="20"/>
          <w:szCs w:val="20"/>
        </w:rPr>
      </w:pPr>
      <w:r w:rsidRPr="00B342AD">
        <w:rPr>
          <w:rFonts w:ascii="Arial" w:hAnsi="Arial" w:cs="Arial"/>
          <w:b/>
          <w:bCs/>
          <w:sz w:val="20"/>
          <w:szCs w:val="20"/>
        </w:rPr>
        <w:t>Dependence of Clustering Performance on Linkage Method:</w:t>
      </w:r>
      <w:r w:rsidRPr="00B342AD">
        <w:rPr>
          <w:rFonts w:ascii="Arial" w:hAnsi="Arial" w:cs="Arial"/>
          <w:sz w:val="20"/>
          <w:szCs w:val="20"/>
        </w:rPr>
        <w:t xml:space="preserve"> </w:t>
      </w:r>
    </w:p>
    <w:p w:rsidR="00EA69EE" w:rsidRPr="00B342AD" w:rsidRDefault="00EA69EE" w:rsidP="00C83393">
      <w:pPr>
        <w:spacing w:line="360" w:lineRule="auto"/>
        <w:ind w:left="360"/>
        <w:rPr>
          <w:rFonts w:ascii="Arial" w:hAnsi="Arial" w:cs="Arial"/>
          <w:sz w:val="20"/>
          <w:szCs w:val="20"/>
        </w:rPr>
      </w:pPr>
      <w:r w:rsidRPr="00B342AD">
        <w:rPr>
          <w:rFonts w:ascii="Arial" w:hAnsi="Arial" w:cs="Arial"/>
          <w:sz w:val="20"/>
          <w:szCs w:val="20"/>
        </w:rPr>
        <w:t xml:space="preserve">Hierarchical clustering was performed using various linkage methods to explore how clustering performance depends on these methods. The </w:t>
      </w:r>
      <w:proofErr w:type="spellStart"/>
      <w:r w:rsidRPr="00B342AD">
        <w:rPr>
          <w:rFonts w:ascii="Arial" w:hAnsi="Arial" w:cs="Arial"/>
          <w:sz w:val="20"/>
          <w:szCs w:val="20"/>
        </w:rPr>
        <w:t>dendrogram</w:t>
      </w:r>
      <w:proofErr w:type="spellEnd"/>
      <w:r w:rsidRPr="00B342AD">
        <w:rPr>
          <w:rFonts w:ascii="Arial" w:hAnsi="Arial" w:cs="Arial"/>
          <w:sz w:val="20"/>
          <w:szCs w:val="20"/>
        </w:rPr>
        <w:t xml:space="preserve"> (Figure 3) </w:t>
      </w:r>
      <w:r w:rsidR="002F2BAF" w:rsidRPr="00B342AD">
        <w:rPr>
          <w:rFonts w:ascii="Arial" w:hAnsi="Arial" w:cs="Arial"/>
          <w:sz w:val="20"/>
          <w:szCs w:val="20"/>
        </w:rPr>
        <w:t>was</w:t>
      </w:r>
      <w:r w:rsidRPr="00B342AD">
        <w:rPr>
          <w:rFonts w:ascii="Arial" w:hAnsi="Arial" w:cs="Arial"/>
          <w:sz w:val="20"/>
          <w:szCs w:val="20"/>
        </w:rPr>
        <w:t xml:space="preserve"> used for this assessment. The Ward method showed the highest ARI value of 0.977, indicating excellent performance in accurately clustering cells into biologically relevant groups. In contrast, other methods such as single, complete, average, weighted, and centroid linkage demonstrated lower ARI values</w:t>
      </w:r>
      <w:r w:rsidR="002F2BAF" w:rsidRPr="00B342AD">
        <w:rPr>
          <w:rFonts w:ascii="Arial" w:hAnsi="Arial" w:cs="Arial"/>
          <w:sz w:val="20"/>
          <w:szCs w:val="20"/>
        </w:rPr>
        <w:t xml:space="preserve"> (Table 2)</w:t>
      </w:r>
      <w:r w:rsidRPr="00B342AD">
        <w:rPr>
          <w:rFonts w:ascii="Arial" w:hAnsi="Arial" w:cs="Arial"/>
          <w:sz w:val="20"/>
          <w:szCs w:val="20"/>
        </w:rPr>
        <w:t>. These results suggest that the choice of linkage method significantly impacts the clustering performance, with the Ward method being the most effective in this particular dataset. The success of the Ward method, which minimizes total within-cluster variance, was crucial in generating cohesive and well-separated clusters, leading to a more accurate representation of the biological variance present in the single-cell data.</w:t>
      </w:r>
    </w:p>
    <w:p w:rsidR="00D43DB8" w:rsidRPr="00B342AD" w:rsidRDefault="00D43DB8" w:rsidP="00B342AD">
      <w:pPr>
        <w:spacing w:line="360" w:lineRule="auto"/>
        <w:rPr>
          <w:rFonts w:ascii="Arial" w:hAnsi="Arial" w:cs="Arial"/>
          <w:sz w:val="20"/>
          <w:szCs w:val="20"/>
        </w:rPr>
      </w:pPr>
    </w:p>
    <w:p w:rsidR="00B666B3" w:rsidRPr="00B342AD" w:rsidRDefault="00DD73A5" w:rsidP="00B342AD">
      <w:pPr>
        <w:spacing w:line="360" w:lineRule="auto"/>
        <w:rPr>
          <w:rFonts w:ascii="Arial" w:hAnsi="Arial" w:cs="Arial"/>
          <w:sz w:val="20"/>
          <w:szCs w:val="20"/>
        </w:rPr>
      </w:pPr>
      <w:r w:rsidRPr="00B342AD">
        <w:rPr>
          <w:rFonts w:ascii="Arial" w:hAnsi="Arial" w:cs="Arial"/>
          <w:noProof/>
          <w:sz w:val="20"/>
          <w:szCs w:val="20"/>
          <w:lang w:eastAsia="en-GB"/>
        </w:rPr>
        <w:drawing>
          <wp:inline distT="0" distB="0" distL="0" distR="0" wp14:anchorId="746EF63D">
            <wp:extent cx="5846445" cy="243268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6445" cy="2432685"/>
                    </a:xfrm>
                    <a:prstGeom prst="rect">
                      <a:avLst/>
                    </a:prstGeom>
                    <a:noFill/>
                  </pic:spPr>
                </pic:pic>
              </a:graphicData>
            </a:graphic>
          </wp:inline>
        </w:drawing>
      </w:r>
    </w:p>
    <w:p w:rsidR="00DD73A5" w:rsidRPr="00060D51" w:rsidRDefault="00D43DB8" w:rsidP="00B342AD">
      <w:pPr>
        <w:spacing w:line="360" w:lineRule="auto"/>
        <w:rPr>
          <w:rFonts w:ascii="Arial" w:hAnsi="Arial" w:cs="Arial"/>
          <w:sz w:val="18"/>
          <w:szCs w:val="18"/>
        </w:rPr>
      </w:pPr>
      <w:r w:rsidRPr="00060D51">
        <w:rPr>
          <w:rFonts w:ascii="Arial" w:hAnsi="Arial" w:cs="Arial"/>
          <w:b/>
          <w:bCs/>
          <w:sz w:val="18"/>
          <w:szCs w:val="18"/>
        </w:rPr>
        <w:t xml:space="preserve">Figure 3: Hierarchical Clustering </w:t>
      </w:r>
      <w:proofErr w:type="spellStart"/>
      <w:r w:rsidRPr="00060D51">
        <w:rPr>
          <w:rFonts w:ascii="Arial" w:hAnsi="Arial" w:cs="Arial"/>
          <w:b/>
          <w:bCs/>
          <w:sz w:val="18"/>
          <w:szCs w:val="18"/>
        </w:rPr>
        <w:t>Dendrogram</w:t>
      </w:r>
      <w:proofErr w:type="spellEnd"/>
      <w:r w:rsidRPr="00060D51">
        <w:rPr>
          <w:rFonts w:ascii="Arial" w:hAnsi="Arial" w:cs="Arial"/>
          <w:b/>
          <w:bCs/>
          <w:sz w:val="18"/>
          <w:szCs w:val="18"/>
        </w:rPr>
        <w:t xml:space="preserve"> for Cell Data Classification</w:t>
      </w:r>
      <w:r w:rsidRPr="00060D51">
        <w:rPr>
          <w:rFonts w:ascii="Arial" w:hAnsi="Arial" w:cs="Arial"/>
          <w:sz w:val="18"/>
          <w:szCs w:val="18"/>
        </w:rPr>
        <w:t xml:space="preserve"> </w:t>
      </w:r>
      <w:r w:rsidRPr="00060D51">
        <w:rPr>
          <w:rFonts w:ascii="Arial" w:hAnsi="Arial" w:cs="Arial"/>
          <w:sz w:val="18"/>
          <w:szCs w:val="18"/>
        </w:rPr>
        <w:br/>
        <w:t xml:space="preserve">This </w:t>
      </w:r>
      <w:proofErr w:type="spellStart"/>
      <w:r w:rsidRPr="00060D51">
        <w:rPr>
          <w:rFonts w:ascii="Arial" w:hAnsi="Arial" w:cs="Arial"/>
          <w:sz w:val="18"/>
          <w:szCs w:val="18"/>
        </w:rPr>
        <w:t>dendrogram</w:t>
      </w:r>
      <w:proofErr w:type="spellEnd"/>
      <w:r w:rsidRPr="00060D51">
        <w:rPr>
          <w:rFonts w:ascii="Arial" w:hAnsi="Arial" w:cs="Arial"/>
          <w:sz w:val="18"/>
          <w:szCs w:val="18"/>
        </w:rPr>
        <w:t xml:space="preserve"> illustrates the results of hierarchical clustering, showcasing the agglomerative process of grouping similar cell types based on their expression profiles. The vertical axis represents the distance metric, quantifying the dissimilarity between clusters, and each horizontal line denotes the fusion of two clusters. The length of the vertical lines reflects the degree of similarity between merged clusters. The </w:t>
      </w:r>
      <w:proofErr w:type="spellStart"/>
      <w:r w:rsidRPr="00060D51">
        <w:rPr>
          <w:rFonts w:ascii="Arial" w:hAnsi="Arial" w:cs="Arial"/>
          <w:sz w:val="18"/>
          <w:szCs w:val="18"/>
        </w:rPr>
        <w:t>dendrogram</w:t>
      </w:r>
      <w:proofErr w:type="spellEnd"/>
      <w:r w:rsidRPr="00060D51">
        <w:rPr>
          <w:rFonts w:ascii="Arial" w:hAnsi="Arial" w:cs="Arial"/>
          <w:sz w:val="18"/>
          <w:szCs w:val="18"/>
        </w:rPr>
        <w:t xml:space="preserve"> enables the identification of closely related cell groups and the understanding of the hierarchical structure within the cell population. In particular, it serves as a tool for identifying potential subgroups within well-known cell types, such as T cells and NK cells, based on their phenotypic similarities and differences. The branching patterns and the height at which branches merge give clues about the relative homogeneity or heterogeneity of these cell </w:t>
      </w:r>
      <w:r w:rsidRPr="00060D51">
        <w:rPr>
          <w:rFonts w:ascii="Arial" w:hAnsi="Arial" w:cs="Arial"/>
          <w:sz w:val="18"/>
          <w:szCs w:val="18"/>
        </w:rPr>
        <w:lastRenderedPageBreak/>
        <w:t>populations. Such insights are valuable for understanding the complexity of immune responses, particularly in the context of COVID-19, and can guide further biological investigation and validation.</w:t>
      </w:r>
    </w:p>
    <w:p w:rsidR="00D43DB8" w:rsidRPr="00060D51" w:rsidRDefault="00D43DB8" w:rsidP="00B342AD">
      <w:pPr>
        <w:spacing w:line="360" w:lineRule="auto"/>
        <w:rPr>
          <w:rFonts w:ascii="Arial" w:hAnsi="Arial" w:cs="Arial"/>
          <w:sz w:val="18"/>
          <w:szCs w:val="18"/>
        </w:rPr>
      </w:pPr>
      <w:r w:rsidRPr="00060D51">
        <w:rPr>
          <w:rFonts w:ascii="Arial" w:hAnsi="Arial" w:cs="Arial"/>
          <w:b/>
          <w:bCs/>
          <w:sz w:val="18"/>
          <w:szCs w:val="18"/>
        </w:rPr>
        <w:t>Table 2: Evaluation of Clustering Efficacy Using Adjusted Rand Index (ARI)</w:t>
      </w:r>
      <w:r w:rsidRPr="00060D51">
        <w:rPr>
          <w:rFonts w:ascii="Arial" w:hAnsi="Arial" w:cs="Arial"/>
          <w:sz w:val="18"/>
          <w:szCs w:val="18"/>
        </w:rPr>
        <w:t xml:space="preserve"> The table quantifies the effectiveness of various clustering methodologies using the ARI. ARI is a measure of the similarity between the clustering results and a set of predefined ground truth labels. A higher ARI value indicates better alignment with the known cell types, thereby validating the clustering approach. The table compares ARI scores across different clustering methods, offering a metric for their performance in distinguishing biologically relevant cell groups.</w:t>
      </w:r>
    </w:p>
    <w:tbl>
      <w:tblPr>
        <w:tblStyle w:val="TableGrid"/>
        <w:tblW w:w="10200" w:type="dxa"/>
        <w:tblLayout w:type="fixed"/>
        <w:tblLook w:val="04A0" w:firstRow="1" w:lastRow="0" w:firstColumn="1" w:lastColumn="0" w:noHBand="0" w:noVBand="1"/>
      </w:tblPr>
      <w:tblGrid>
        <w:gridCol w:w="1128"/>
        <w:gridCol w:w="1512"/>
        <w:gridCol w:w="1512"/>
        <w:gridCol w:w="1512"/>
        <w:gridCol w:w="1512"/>
        <w:gridCol w:w="1512"/>
        <w:gridCol w:w="1512"/>
      </w:tblGrid>
      <w:tr w:rsidR="00DD73A5" w:rsidRPr="00DD73A5" w:rsidTr="00C83393">
        <w:trPr>
          <w:trHeight w:val="414"/>
        </w:trPr>
        <w:tc>
          <w:tcPr>
            <w:tcW w:w="1128"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Linkage method</w:t>
            </w:r>
          </w:p>
        </w:tc>
        <w:tc>
          <w:tcPr>
            <w:tcW w:w="1512"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ward</w:t>
            </w:r>
          </w:p>
        </w:tc>
        <w:tc>
          <w:tcPr>
            <w:tcW w:w="1512"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single</w:t>
            </w:r>
          </w:p>
        </w:tc>
        <w:tc>
          <w:tcPr>
            <w:tcW w:w="1512"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complete</w:t>
            </w:r>
          </w:p>
        </w:tc>
        <w:tc>
          <w:tcPr>
            <w:tcW w:w="1512"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average</w:t>
            </w:r>
          </w:p>
        </w:tc>
        <w:tc>
          <w:tcPr>
            <w:tcW w:w="1512"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weighted</w:t>
            </w:r>
          </w:p>
        </w:tc>
        <w:tc>
          <w:tcPr>
            <w:tcW w:w="1512"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centroid</w:t>
            </w:r>
          </w:p>
        </w:tc>
      </w:tr>
      <w:tr w:rsidR="00DD73A5" w:rsidRPr="00DD73A5" w:rsidTr="00C83393">
        <w:trPr>
          <w:trHeight w:val="516"/>
        </w:trPr>
        <w:tc>
          <w:tcPr>
            <w:tcW w:w="1128"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ARI</w:t>
            </w:r>
          </w:p>
        </w:tc>
        <w:tc>
          <w:tcPr>
            <w:tcW w:w="1512"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 xml:space="preserve">0.9773163698735625 </w:t>
            </w:r>
          </w:p>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br/>
            </w:r>
          </w:p>
        </w:tc>
        <w:tc>
          <w:tcPr>
            <w:tcW w:w="1512"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0.003425680525959406</w:t>
            </w:r>
          </w:p>
        </w:tc>
        <w:tc>
          <w:tcPr>
            <w:tcW w:w="1512"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0.08483702379655624</w:t>
            </w:r>
          </w:p>
        </w:tc>
        <w:tc>
          <w:tcPr>
            <w:tcW w:w="1512"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0.05218614649407378</w:t>
            </w:r>
          </w:p>
        </w:tc>
        <w:tc>
          <w:tcPr>
            <w:tcW w:w="1512"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0.05450860808677429</w:t>
            </w:r>
          </w:p>
        </w:tc>
        <w:tc>
          <w:tcPr>
            <w:tcW w:w="1512" w:type="dxa"/>
          </w:tcPr>
          <w:p w:rsidR="00DD73A5" w:rsidRPr="00DD73A5" w:rsidRDefault="00DD73A5" w:rsidP="00B342AD">
            <w:pPr>
              <w:spacing w:line="360" w:lineRule="auto"/>
              <w:rPr>
                <w:rFonts w:ascii="Arial" w:hAnsi="Arial" w:cs="Arial"/>
                <w:sz w:val="20"/>
                <w:szCs w:val="20"/>
              </w:rPr>
            </w:pPr>
            <w:r w:rsidRPr="00DD73A5">
              <w:rPr>
                <w:rFonts w:ascii="Arial" w:hAnsi="Arial" w:cs="Arial"/>
                <w:sz w:val="20"/>
                <w:szCs w:val="20"/>
              </w:rPr>
              <w:t>0.05450860808677429</w:t>
            </w:r>
          </w:p>
        </w:tc>
      </w:tr>
    </w:tbl>
    <w:p w:rsidR="00D43DB8" w:rsidRPr="00B342AD" w:rsidRDefault="00D43DB8" w:rsidP="00B342AD">
      <w:pPr>
        <w:spacing w:line="360" w:lineRule="auto"/>
        <w:rPr>
          <w:rFonts w:ascii="Arial" w:hAnsi="Arial" w:cs="Arial"/>
          <w:sz w:val="20"/>
          <w:szCs w:val="20"/>
        </w:rPr>
      </w:pPr>
    </w:p>
    <w:p w:rsidR="005E7294" w:rsidRPr="00B342AD" w:rsidRDefault="00815224" w:rsidP="00B342AD">
      <w:pPr>
        <w:spacing w:line="360" w:lineRule="auto"/>
        <w:rPr>
          <w:rFonts w:ascii="Arial" w:hAnsi="Arial" w:cs="Arial"/>
          <w:b/>
          <w:sz w:val="20"/>
          <w:szCs w:val="20"/>
        </w:rPr>
      </w:pPr>
      <w:r w:rsidRPr="00B342AD">
        <w:rPr>
          <w:rFonts w:ascii="Arial" w:hAnsi="Arial" w:cs="Arial"/>
          <w:b/>
          <w:sz w:val="20"/>
          <w:szCs w:val="20"/>
        </w:rPr>
        <w:t>DISCUSSION</w:t>
      </w:r>
    </w:p>
    <w:p w:rsidR="00FD5B4A" w:rsidRPr="00B342AD" w:rsidRDefault="00FD5B4A" w:rsidP="00B342AD">
      <w:pPr>
        <w:spacing w:line="360" w:lineRule="auto"/>
        <w:rPr>
          <w:rFonts w:ascii="Arial" w:hAnsi="Arial" w:cs="Arial"/>
          <w:sz w:val="20"/>
          <w:szCs w:val="20"/>
        </w:rPr>
      </w:pPr>
      <w:r w:rsidRPr="00B342AD">
        <w:rPr>
          <w:rFonts w:ascii="Arial" w:hAnsi="Arial" w:cs="Arial"/>
          <w:sz w:val="20"/>
          <w:szCs w:val="20"/>
        </w:rPr>
        <w:t xml:space="preserve">In this study, we have successfully demonstrated the utility of principal component analysis (PCA) and clustering techniques in elucidating the intricate cellular dynamics present in COVID-19 immune profiling, highlighting both their strengths and the potential for further methodological enhancements to deepen our understanding of complex biological systems. </w:t>
      </w:r>
    </w:p>
    <w:p w:rsidR="005E7294" w:rsidRPr="00B342AD" w:rsidRDefault="005E7294" w:rsidP="00B342AD">
      <w:pPr>
        <w:spacing w:line="360" w:lineRule="auto"/>
        <w:rPr>
          <w:rFonts w:ascii="Arial" w:hAnsi="Arial" w:cs="Arial"/>
          <w:sz w:val="20"/>
          <w:szCs w:val="20"/>
        </w:rPr>
      </w:pPr>
      <w:r w:rsidRPr="00B342AD">
        <w:rPr>
          <w:rFonts w:ascii="Arial" w:hAnsi="Arial" w:cs="Arial"/>
          <w:sz w:val="20"/>
          <w:szCs w:val="20"/>
        </w:rPr>
        <w:t xml:space="preserve">The </w:t>
      </w:r>
      <w:r w:rsidR="002F2BAF" w:rsidRPr="00B342AD">
        <w:rPr>
          <w:rFonts w:ascii="Arial" w:hAnsi="Arial" w:cs="Arial"/>
          <w:sz w:val="20"/>
          <w:szCs w:val="20"/>
        </w:rPr>
        <w:t>PCA</w:t>
      </w:r>
      <w:r w:rsidRPr="00B342AD">
        <w:rPr>
          <w:rFonts w:ascii="Arial" w:hAnsi="Arial" w:cs="Arial"/>
          <w:sz w:val="20"/>
          <w:szCs w:val="20"/>
        </w:rPr>
        <w:t xml:space="preserve"> effectively reduced the complexity of high-dimensional flow cytometry data, facilitating the identification of distinct cell populations. The visualization through PCA revealed clear segregation among various cell types, such as monocytes, lymphocytes, and dendritic cells. The identification of CD14 as a potential marker gene for monocytes based on its significant positive loading on the principal components is a particularly notable outcome, aligning with known biological markers</w:t>
      </w:r>
      <w:r w:rsidR="00C83393">
        <w:rPr>
          <w:rFonts w:ascii="Arial" w:hAnsi="Arial" w:cs="Arial"/>
          <w:sz w:val="20"/>
          <w:szCs w:val="20"/>
        </w:rPr>
        <w:t>.</w:t>
      </w:r>
    </w:p>
    <w:p w:rsidR="005E7294" w:rsidRPr="00B342AD" w:rsidRDefault="005E7294" w:rsidP="00B342AD">
      <w:pPr>
        <w:spacing w:line="360" w:lineRule="auto"/>
        <w:rPr>
          <w:rFonts w:ascii="Arial" w:hAnsi="Arial" w:cs="Arial"/>
          <w:sz w:val="20"/>
          <w:szCs w:val="20"/>
        </w:rPr>
      </w:pPr>
      <w:r w:rsidRPr="00B342AD">
        <w:rPr>
          <w:rFonts w:ascii="Arial" w:hAnsi="Arial" w:cs="Arial"/>
          <w:sz w:val="20"/>
          <w:szCs w:val="20"/>
        </w:rPr>
        <w:t xml:space="preserve">The k-means clustering algorithm, validated against ground truth labels, showed a high degree of accuracy, as indicated by </w:t>
      </w:r>
      <w:r w:rsidR="00164924" w:rsidRPr="00B342AD">
        <w:rPr>
          <w:rFonts w:ascii="Arial" w:hAnsi="Arial" w:cs="Arial"/>
          <w:sz w:val="20"/>
          <w:szCs w:val="20"/>
        </w:rPr>
        <w:t>ARI</w:t>
      </w:r>
      <w:r w:rsidRPr="00B342AD">
        <w:rPr>
          <w:rFonts w:ascii="Arial" w:hAnsi="Arial" w:cs="Arial"/>
          <w:sz w:val="20"/>
          <w:szCs w:val="20"/>
        </w:rPr>
        <w:t>. This high level of concordance highlights the algorithm's utility in automated cell-type identification, which is vital in large-scale immunological studies like those associated with COVID-19.</w:t>
      </w:r>
    </w:p>
    <w:p w:rsidR="00A571C3" w:rsidRPr="00B342AD" w:rsidRDefault="005E7294" w:rsidP="00B342AD">
      <w:pPr>
        <w:spacing w:line="360" w:lineRule="auto"/>
        <w:rPr>
          <w:rFonts w:ascii="Arial" w:hAnsi="Arial" w:cs="Arial"/>
          <w:sz w:val="20"/>
          <w:szCs w:val="20"/>
        </w:rPr>
      </w:pPr>
      <w:r w:rsidRPr="00B342AD">
        <w:rPr>
          <w:rFonts w:ascii="Arial" w:hAnsi="Arial" w:cs="Arial"/>
          <w:sz w:val="20"/>
          <w:szCs w:val="20"/>
        </w:rPr>
        <w:t>The comparison of various linkage methods in hierarchical clustering provided insights into how different approaches affect clustering performance. The superior performance of the Ward method, in particular, underscores its suitability for datasets where the goal is to minimize within-cluster variance, a common requirement in flow cytometry data analysis.</w:t>
      </w:r>
      <w:r w:rsidR="00D82A84" w:rsidRPr="00B342AD">
        <w:rPr>
          <w:rFonts w:ascii="Arial" w:hAnsi="Arial" w:cs="Arial"/>
          <w:sz w:val="20"/>
          <w:szCs w:val="20"/>
        </w:rPr>
        <w:br/>
      </w:r>
      <w:r w:rsidR="00D82A84" w:rsidRPr="00B342AD">
        <w:rPr>
          <w:rFonts w:ascii="Arial" w:hAnsi="Arial" w:cs="Arial"/>
          <w:sz w:val="20"/>
          <w:szCs w:val="20"/>
        </w:rPr>
        <w:br/>
      </w:r>
      <w:r w:rsidR="00815224" w:rsidRPr="00B342AD">
        <w:rPr>
          <w:rFonts w:ascii="Arial" w:hAnsi="Arial" w:cs="Arial"/>
          <w:sz w:val="20"/>
          <w:szCs w:val="20"/>
        </w:rPr>
        <w:t>However, PCA's linear approach may not fully capture non-linear biological data relationships, potentially overlooking subtle but significant variations. This study's focus on descriptive statistics and clustering, without inferential statistical analysis, limits the comprehensiveness of the findings. The reliance on accurate ground truth labels for assessing clustering algorithms also poses a limitation.</w:t>
      </w:r>
    </w:p>
    <w:p w:rsidR="00A571C3" w:rsidRPr="00B342AD" w:rsidRDefault="00A571C3" w:rsidP="00B342AD">
      <w:pPr>
        <w:spacing w:line="360" w:lineRule="auto"/>
        <w:rPr>
          <w:rFonts w:ascii="Arial" w:hAnsi="Arial" w:cs="Arial"/>
          <w:sz w:val="20"/>
          <w:szCs w:val="20"/>
        </w:rPr>
      </w:pPr>
      <w:r w:rsidRPr="00B342AD">
        <w:rPr>
          <w:rFonts w:ascii="Arial" w:hAnsi="Arial" w:cs="Arial"/>
          <w:sz w:val="20"/>
          <w:szCs w:val="20"/>
        </w:rPr>
        <w:lastRenderedPageBreak/>
        <w:t>Evaluating clustering methods in single-cell analysis relies on internal validation metrics and stability-based methods without ground truth labels. The silhouette score assesses cluster similarity, useful for determining optimal cluster numbers (</w:t>
      </w:r>
      <w:proofErr w:type="spellStart"/>
      <w:r w:rsidRPr="00B342AD">
        <w:rPr>
          <w:rFonts w:ascii="Arial" w:hAnsi="Arial" w:cs="Arial"/>
          <w:sz w:val="20"/>
          <w:szCs w:val="20"/>
        </w:rPr>
        <w:t>Rousseeuw</w:t>
      </w:r>
      <w:proofErr w:type="spellEnd"/>
      <w:r w:rsidRPr="00B342AD">
        <w:rPr>
          <w:rFonts w:ascii="Arial" w:hAnsi="Arial" w:cs="Arial"/>
          <w:sz w:val="20"/>
          <w:szCs w:val="20"/>
        </w:rPr>
        <w:t>, 1987). Stability-based methods examine clustering consistency across dataset subsamples, indicating genuine data patterns (Ben-</w:t>
      </w:r>
      <w:proofErr w:type="spellStart"/>
      <w:r w:rsidRPr="00B342AD">
        <w:rPr>
          <w:rFonts w:ascii="Arial" w:hAnsi="Arial" w:cs="Arial"/>
          <w:sz w:val="20"/>
          <w:szCs w:val="20"/>
        </w:rPr>
        <w:t>Hur</w:t>
      </w:r>
      <w:proofErr w:type="spellEnd"/>
      <w:r w:rsidRPr="00B342AD">
        <w:rPr>
          <w:rFonts w:ascii="Arial" w:hAnsi="Arial" w:cs="Arial"/>
          <w:sz w:val="20"/>
          <w:szCs w:val="20"/>
        </w:rPr>
        <w:t xml:space="preserve"> et al., 2002). Consensus clustering, merging multiple results, reflects the data's biological structure (Monti et al., 2003).</w:t>
      </w:r>
    </w:p>
    <w:p w:rsidR="00A571C3" w:rsidRPr="00B342AD" w:rsidRDefault="00A571C3" w:rsidP="00B342AD">
      <w:pPr>
        <w:spacing w:line="360" w:lineRule="auto"/>
        <w:rPr>
          <w:rFonts w:ascii="Arial" w:hAnsi="Arial" w:cs="Arial"/>
          <w:sz w:val="20"/>
          <w:szCs w:val="20"/>
        </w:rPr>
      </w:pPr>
      <w:r w:rsidRPr="00B342AD">
        <w:rPr>
          <w:rFonts w:ascii="Arial" w:hAnsi="Arial" w:cs="Arial"/>
          <w:sz w:val="20"/>
          <w:szCs w:val="20"/>
        </w:rPr>
        <w:t xml:space="preserve">Future work could integrate non-linear dimensionality reduction techniques, like t-SNE or UMAP, for deeper biological insights (van der </w:t>
      </w:r>
      <w:proofErr w:type="spellStart"/>
      <w:r w:rsidRPr="00B342AD">
        <w:rPr>
          <w:rFonts w:ascii="Arial" w:hAnsi="Arial" w:cs="Arial"/>
          <w:sz w:val="20"/>
          <w:szCs w:val="20"/>
        </w:rPr>
        <w:t>Maaten</w:t>
      </w:r>
      <w:proofErr w:type="spellEnd"/>
      <w:r w:rsidRPr="00B342AD">
        <w:rPr>
          <w:rFonts w:ascii="Arial" w:hAnsi="Arial" w:cs="Arial"/>
          <w:sz w:val="20"/>
          <w:szCs w:val="20"/>
        </w:rPr>
        <w:t xml:space="preserve"> and Hinton, 2008; </w:t>
      </w:r>
      <w:proofErr w:type="spellStart"/>
      <w:r w:rsidRPr="00B342AD">
        <w:rPr>
          <w:rFonts w:ascii="Arial" w:hAnsi="Arial" w:cs="Arial"/>
          <w:sz w:val="20"/>
          <w:szCs w:val="20"/>
        </w:rPr>
        <w:t>McInnes</w:t>
      </w:r>
      <w:proofErr w:type="spellEnd"/>
      <w:r w:rsidRPr="00B342AD">
        <w:rPr>
          <w:rFonts w:ascii="Arial" w:hAnsi="Arial" w:cs="Arial"/>
          <w:sz w:val="20"/>
          <w:szCs w:val="20"/>
        </w:rPr>
        <w:t xml:space="preserve"> et al., 2018). Applying consensus clustering could overcome single clustering approach limitations (Monti et al., 2003). Exploring unsupervised machine learning algorithms may uncover novel patterns in data lacking ground truth labels. In summary, the study effectively used clustering and visualization for COVID-19 cellular dynamics, but advanced computational methods could</w:t>
      </w:r>
      <w:r w:rsidR="00D43DB8" w:rsidRPr="00B342AD">
        <w:rPr>
          <w:rFonts w:ascii="Arial" w:hAnsi="Arial" w:cs="Arial"/>
          <w:sz w:val="20"/>
          <w:szCs w:val="20"/>
        </w:rPr>
        <w:t xml:space="preserve"> further</w:t>
      </w:r>
      <w:r w:rsidRPr="00B342AD">
        <w:rPr>
          <w:rFonts w:ascii="Arial" w:hAnsi="Arial" w:cs="Arial"/>
          <w:sz w:val="20"/>
          <w:szCs w:val="20"/>
        </w:rPr>
        <w:t xml:space="preserve"> enhance understanding of </w:t>
      </w:r>
      <w:r w:rsidR="00D43DB8" w:rsidRPr="00B342AD">
        <w:rPr>
          <w:rFonts w:ascii="Arial" w:hAnsi="Arial" w:cs="Arial"/>
          <w:sz w:val="20"/>
          <w:szCs w:val="20"/>
        </w:rPr>
        <w:t xml:space="preserve">biological complexity. </w:t>
      </w:r>
    </w:p>
    <w:p w:rsidR="00FE11CC" w:rsidRPr="00B342AD" w:rsidRDefault="00FE11CC" w:rsidP="00B342AD">
      <w:pPr>
        <w:spacing w:line="360" w:lineRule="auto"/>
        <w:rPr>
          <w:rFonts w:ascii="Arial" w:hAnsi="Arial" w:cs="Arial"/>
          <w:sz w:val="20"/>
          <w:szCs w:val="20"/>
        </w:rPr>
      </w:pPr>
    </w:p>
    <w:p w:rsidR="00DD73A5" w:rsidRPr="00C83393" w:rsidRDefault="00DD73A5" w:rsidP="00B342AD">
      <w:pPr>
        <w:spacing w:line="360" w:lineRule="auto"/>
        <w:rPr>
          <w:rFonts w:ascii="Arial" w:hAnsi="Arial" w:cs="Arial"/>
          <w:b/>
          <w:sz w:val="20"/>
          <w:szCs w:val="20"/>
        </w:rPr>
      </w:pPr>
      <w:bookmarkStart w:id="0" w:name="_GoBack"/>
      <w:r w:rsidRPr="00C83393">
        <w:rPr>
          <w:rFonts w:ascii="Arial" w:hAnsi="Arial" w:cs="Arial"/>
          <w:b/>
          <w:sz w:val="20"/>
          <w:szCs w:val="20"/>
        </w:rPr>
        <w:t>BIBLIOGRAPHY</w:t>
      </w:r>
      <w:bookmarkEnd w:id="0"/>
    </w:p>
    <w:p w:rsidR="00DD73A5" w:rsidRPr="00B342AD" w:rsidRDefault="00DD73A5" w:rsidP="00B342AD">
      <w:pPr>
        <w:numPr>
          <w:ilvl w:val="0"/>
          <w:numId w:val="7"/>
        </w:numPr>
        <w:spacing w:line="360" w:lineRule="auto"/>
        <w:rPr>
          <w:rFonts w:ascii="Arial" w:hAnsi="Arial" w:cs="Arial"/>
          <w:sz w:val="20"/>
          <w:szCs w:val="20"/>
        </w:rPr>
      </w:pPr>
      <w:r w:rsidRPr="00B342AD">
        <w:rPr>
          <w:rFonts w:ascii="Arial" w:hAnsi="Arial" w:cs="Arial"/>
          <w:sz w:val="20"/>
          <w:szCs w:val="20"/>
        </w:rPr>
        <w:t xml:space="preserve">Amir el-AD, Davis KL, </w:t>
      </w:r>
      <w:proofErr w:type="spellStart"/>
      <w:r w:rsidRPr="00B342AD">
        <w:rPr>
          <w:rFonts w:ascii="Arial" w:hAnsi="Arial" w:cs="Arial"/>
          <w:sz w:val="20"/>
          <w:szCs w:val="20"/>
        </w:rPr>
        <w:t>Tadmor</w:t>
      </w:r>
      <w:proofErr w:type="spellEnd"/>
      <w:r w:rsidRPr="00B342AD">
        <w:rPr>
          <w:rFonts w:ascii="Arial" w:hAnsi="Arial" w:cs="Arial"/>
          <w:sz w:val="20"/>
          <w:szCs w:val="20"/>
        </w:rPr>
        <w:t xml:space="preserve"> MD, Simonds EF, Levine JH, Bendall SC, </w:t>
      </w:r>
      <w:proofErr w:type="spellStart"/>
      <w:r w:rsidRPr="00B342AD">
        <w:rPr>
          <w:rFonts w:ascii="Arial" w:hAnsi="Arial" w:cs="Arial"/>
          <w:sz w:val="20"/>
          <w:szCs w:val="20"/>
        </w:rPr>
        <w:t>Shenfeld</w:t>
      </w:r>
      <w:proofErr w:type="spellEnd"/>
      <w:r w:rsidRPr="00B342AD">
        <w:rPr>
          <w:rFonts w:ascii="Arial" w:hAnsi="Arial" w:cs="Arial"/>
          <w:sz w:val="20"/>
          <w:szCs w:val="20"/>
        </w:rPr>
        <w:t xml:space="preserve"> DK, </w:t>
      </w:r>
      <w:proofErr w:type="spellStart"/>
      <w:r w:rsidRPr="00B342AD">
        <w:rPr>
          <w:rFonts w:ascii="Arial" w:hAnsi="Arial" w:cs="Arial"/>
          <w:sz w:val="20"/>
          <w:szCs w:val="20"/>
        </w:rPr>
        <w:t>Krishnaswamy</w:t>
      </w:r>
      <w:proofErr w:type="spellEnd"/>
      <w:r w:rsidRPr="00B342AD">
        <w:rPr>
          <w:rFonts w:ascii="Arial" w:hAnsi="Arial" w:cs="Arial"/>
          <w:sz w:val="20"/>
          <w:szCs w:val="20"/>
        </w:rPr>
        <w:t xml:space="preserve"> S, Nolan GP, </w:t>
      </w:r>
      <w:proofErr w:type="spellStart"/>
      <w:r w:rsidRPr="00B342AD">
        <w:rPr>
          <w:rFonts w:ascii="Arial" w:hAnsi="Arial" w:cs="Arial"/>
          <w:sz w:val="20"/>
          <w:szCs w:val="20"/>
        </w:rPr>
        <w:t>Pe'er</w:t>
      </w:r>
      <w:proofErr w:type="spellEnd"/>
      <w:r w:rsidRPr="00B342AD">
        <w:rPr>
          <w:rFonts w:ascii="Arial" w:hAnsi="Arial" w:cs="Arial"/>
          <w:sz w:val="20"/>
          <w:szCs w:val="20"/>
        </w:rPr>
        <w:t xml:space="preserve"> D, 2013. </w:t>
      </w:r>
      <w:proofErr w:type="spellStart"/>
      <w:r w:rsidRPr="00B342AD">
        <w:rPr>
          <w:rFonts w:ascii="Arial" w:hAnsi="Arial" w:cs="Arial"/>
          <w:sz w:val="20"/>
          <w:szCs w:val="20"/>
        </w:rPr>
        <w:t>viSNE</w:t>
      </w:r>
      <w:proofErr w:type="spellEnd"/>
      <w:r w:rsidRPr="00B342AD">
        <w:rPr>
          <w:rFonts w:ascii="Arial" w:hAnsi="Arial" w:cs="Arial"/>
          <w:sz w:val="20"/>
          <w:szCs w:val="20"/>
        </w:rPr>
        <w:t xml:space="preserve"> enables visualization of high dimensional single-cell data and reveals phenotypic heterogeneity of </w:t>
      </w:r>
      <w:proofErr w:type="spellStart"/>
      <w:r w:rsidRPr="00B342AD">
        <w:rPr>
          <w:rFonts w:ascii="Arial" w:hAnsi="Arial" w:cs="Arial"/>
          <w:sz w:val="20"/>
          <w:szCs w:val="20"/>
        </w:rPr>
        <w:t>leukemia</w:t>
      </w:r>
      <w:proofErr w:type="spellEnd"/>
      <w:r w:rsidRPr="00B342AD">
        <w:rPr>
          <w:rFonts w:ascii="Arial" w:hAnsi="Arial" w:cs="Arial"/>
          <w:sz w:val="20"/>
          <w:szCs w:val="20"/>
        </w:rPr>
        <w:t xml:space="preserve">. </w:t>
      </w:r>
      <w:r w:rsidRPr="00B342AD">
        <w:rPr>
          <w:rFonts w:ascii="Arial" w:hAnsi="Arial" w:cs="Arial"/>
          <w:i/>
          <w:iCs/>
          <w:sz w:val="20"/>
          <w:szCs w:val="20"/>
        </w:rPr>
        <w:t xml:space="preserve">Nat </w:t>
      </w:r>
      <w:proofErr w:type="spellStart"/>
      <w:r w:rsidRPr="00B342AD">
        <w:rPr>
          <w:rFonts w:ascii="Arial" w:hAnsi="Arial" w:cs="Arial"/>
          <w:i/>
          <w:iCs/>
          <w:sz w:val="20"/>
          <w:szCs w:val="20"/>
        </w:rPr>
        <w:t>Biotechnol</w:t>
      </w:r>
      <w:proofErr w:type="spellEnd"/>
      <w:r w:rsidRPr="00B342AD">
        <w:rPr>
          <w:rFonts w:ascii="Arial" w:hAnsi="Arial" w:cs="Arial"/>
          <w:sz w:val="20"/>
          <w:szCs w:val="20"/>
        </w:rPr>
        <w:t>, 31(6), pp. 545-552.</w:t>
      </w:r>
    </w:p>
    <w:p w:rsidR="00DD73A5" w:rsidRPr="00B342AD" w:rsidRDefault="00DD73A5" w:rsidP="00B342AD">
      <w:pPr>
        <w:numPr>
          <w:ilvl w:val="0"/>
          <w:numId w:val="7"/>
        </w:numPr>
        <w:spacing w:line="360" w:lineRule="auto"/>
        <w:rPr>
          <w:rFonts w:ascii="Arial" w:hAnsi="Arial" w:cs="Arial"/>
          <w:sz w:val="20"/>
          <w:szCs w:val="20"/>
        </w:rPr>
      </w:pPr>
      <w:proofErr w:type="spellStart"/>
      <w:r w:rsidRPr="00B342AD">
        <w:rPr>
          <w:rFonts w:ascii="Arial" w:hAnsi="Arial" w:cs="Arial"/>
          <w:sz w:val="20"/>
          <w:szCs w:val="20"/>
        </w:rPr>
        <w:t>Shekhar</w:t>
      </w:r>
      <w:proofErr w:type="spellEnd"/>
      <w:r w:rsidRPr="00B342AD">
        <w:rPr>
          <w:rFonts w:ascii="Arial" w:hAnsi="Arial" w:cs="Arial"/>
          <w:sz w:val="20"/>
          <w:szCs w:val="20"/>
        </w:rPr>
        <w:t xml:space="preserve"> K, </w:t>
      </w:r>
      <w:proofErr w:type="spellStart"/>
      <w:r w:rsidRPr="00B342AD">
        <w:rPr>
          <w:rFonts w:ascii="Arial" w:hAnsi="Arial" w:cs="Arial"/>
          <w:sz w:val="20"/>
          <w:szCs w:val="20"/>
        </w:rPr>
        <w:t>Brodin</w:t>
      </w:r>
      <w:proofErr w:type="spellEnd"/>
      <w:r w:rsidRPr="00B342AD">
        <w:rPr>
          <w:rFonts w:ascii="Arial" w:hAnsi="Arial" w:cs="Arial"/>
          <w:sz w:val="20"/>
          <w:szCs w:val="20"/>
        </w:rPr>
        <w:t xml:space="preserve"> P, Davis MM, Chakraborty AK, 2016. Automatic Classification and Visualization of High-Dimensional Cytometry Data Using Deep Learning. </w:t>
      </w:r>
      <w:proofErr w:type="spellStart"/>
      <w:r w:rsidRPr="00B342AD">
        <w:rPr>
          <w:rFonts w:ascii="Arial" w:hAnsi="Arial" w:cs="Arial"/>
          <w:i/>
          <w:iCs/>
          <w:sz w:val="20"/>
          <w:szCs w:val="20"/>
        </w:rPr>
        <w:t>Proc</w:t>
      </w:r>
      <w:proofErr w:type="spellEnd"/>
      <w:r w:rsidRPr="00B342AD">
        <w:rPr>
          <w:rFonts w:ascii="Arial" w:hAnsi="Arial" w:cs="Arial"/>
          <w:i/>
          <w:iCs/>
          <w:sz w:val="20"/>
          <w:szCs w:val="20"/>
        </w:rPr>
        <w:t xml:space="preserve"> Natl </w:t>
      </w:r>
      <w:proofErr w:type="spellStart"/>
      <w:r w:rsidRPr="00B342AD">
        <w:rPr>
          <w:rFonts w:ascii="Arial" w:hAnsi="Arial" w:cs="Arial"/>
          <w:i/>
          <w:iCs/>
          <w:sz w:val="20"/>
          <w:szCs w:val="20"/>
        </w:rPr>
        <w:t>Acad</w:t>
      </w:r>
      <w:proofErr w:type="spellEnd"/>
      <w:r w:rsidRPr="00B342AD">
        <w:rPr>
          <w:rFonts w:ascii="Arial" w:hAnsi="Arial" w:cs="Arial"/>
          <w:i/>
          <w:iCs/>
          <w:sz w:val="20"/>
          <w:szCs w:val="20"/>
        </w:rPr>
        <w:t xml:space="preserve"> </w:t>
      </w:r>
      <w:proofErr w:type="spellStart"/>
      <w:r w:rsidRPr="00B342AD">
        <w:rPr>
          <w:rFonts w:ascii="Arial" w:hAnsi="Arial" w:cs="Arial"/>
          <w:i/>
          <w:iCs/>
          <w:sz w:val="20"/>
          <w:szCs w:val="20"/>
        </w:rPr>
        <w:t>Sci</w:t>
      </w:r>
      <w:proofErr w:type="spellEnd"/>
      <w:r w:rsidRPr="00B342AD">
        <w:rPr>
          <w:rFonts w:ascii="Arial" w:hAnsi="Arial" w:cs="Arial"/>
          <w:i/>
          <w:iCs/>
          <w:sz w:val="20"/>
          <w:szCs w:val="20"/>
        </w:rPr>
        <w:t xml:space="preserve"> U S A</w:t>
      </w:r>
      <w:r w:rsidRPr="00B342AD">
        <w:rPr>
          <w:rFonts w:ascii="Arial" w:hAnsi="Arial" w:cs="Arial"/>
          <w:sz w:val="20"/>
          <w:szCs w:val="20"/>
        </w:rPr>
        <w:t>, 113(26), pp. E3809-E3817.</w:t>
      </w:r>
    </w:p>
    <w:p w:rsidR="00DD73A5" w:rsidRPr="00B342AD" w:rsidRDefault="00DD73A5" w:rsidP="00B342AD">
      <w:pPr>
        <w:numPr>
          <w:ilvl w:val="0"/>
          <w:numId w:val="7"/>
        </w:numPr>
        <w:spacing w:line="360" w:lineRule="auto"/>
        <w:rPr>
          <w:rFonts w:ascii="Arial" w:hAnsi="Arial" w:cs="Arial"/>
          <w:sz w:val="20"/>
          <w:szCs w:val="20"/>
        </w:rPr>
      </w:pPr>
      <w:proofErr w:type="spellStart"/>
      <w:r w:rsidRPr="00B342AD">
        <w:rPr>
          <w:rFonts w:ascii="Arial" w:hAnsi="Arial" w:cs="Arial"/>
          <w:sz w:val="20"/>
          <w:szCs w:val="20"/>
        </w:rPr>
        <w:t>Jolliffe</w:t>
      </w:r>
      <w:proofErr w:type="spellEnd"/>
      <w:r w:rsidRPr="00B342AD">
        <w:rPr>
          <w:rFonts w:ascii="Arial" w:hAnsi="Arial" w:cs="Arial"/>
          <w:sz w:val="20"/>
          <w:szCs w:val="20"/>
        </w:rPr>
        <w:t xml:space="preserve"> IT, </w:t>
      </w:r>
      <w:proofErr w:type="spellStart"/>
      <w:r w:rsidRPr="00B342AD">
        <w:rPr>
          <w:rFonts w:ascii="Arial" w:hAnsi="Arial" w:cs="Arial"/>
          <w:sz w:val="20"/>
          <w:szCs w:val="20"/>
        </w:rPr>
        <w:t>Cadima</w:t>
      </w:r>
      <w:proofErr w:type="spellEnd"/>
      <w:r w:rsidRPr="00B342AD">
        <w:rPr>
          <w:rFonts w:ascii="Arial" w:hAnsi="Arial" w:cs="Arial"/>
          <w:sz w:val="20"/>
          <w:szCs w:val="20"/>
        </w:rPr>
        <w:t xml:space="preserve"> J, 2016. Principal component analysis: a review and recent developments. </w:t>
      </w:r>
      <w:proofErr w:type="spellStart"/>
      <w:r w:rsidRPr="00B342AD">
        <w:rPr>
          <w:rFonts w:ascii="Arial" w:hAnsi="Arial" w:cs="Arial"/>
          <w:i/>
          <w:iCs/>
          <w:sz w:val="20"/>
          <w:szCs w:val="20"/>
        </w:rPr>
        <w:t>Philos</w:t>
      </w:r>
      <w:proofErr w:type="spellEnd"/>
      <w:r w:rsidRPr="00B342AD">
        <w:rPr>
          <w:rFonts w:ascii="Arial" w:hAnsi="Arial" w:cs="Arial"/>
          <w:i/>
          <w:iCs/>
          <w:sz w:val="20"/>
          <w:szCs w:val="20"/>
        </w:rPr>
        <w:t xml:space="preserve"> Trans </w:t>
      </w:r>
      <w:proofErr w:type="gramStart"/>
      <w:r w:rsidRPr="00B342AD">
        <w:rPr>
          <w:rFonts w:ascii="Arial" w:hAnsi="Arial" w:cs="Arial"/>
          <w:i/>
          <w:iCs/>
          <w:sz w:val="20"/>
          <w:szCs w:val="20"/>
        </w:rPr>
        <w:t>A</w:t>
      </w:r>
      <w:proofErr w:type="gramEnd"/>
      <w:r w:rsidRPr="00B342AD">
        <w:rPr>
          <w:rFonts w:ascii="Arial" w:hAnsi="Arial" w:cs="Arial"/>
          <w:i/>
          <w:iCs/>
          <w:sz w:val="20"/>
          <w:szCs w:val="20"/>
        </w:rPr>
        <w:t xml:space="preserve"> Math </w:t>
      </w:r>
      <w:proofErr w:type="spellStart"/>
      <w:r w:rsidRPr="00B342AD">
        <w:rPr>
          <w:rFonts w:ascii="Arial" w:hAnsi="Arial" w:cs="Arial"/>
          <w:i/>
          <w:iCs/>
          <w:sz w:val="20"/>
          <w:szCs w:val="20"/>
        </w:rPr>
        <w:t>Phys</w:t>
      </w:r>
      <w:proofErr w:type="spellEnd"/>
      <w:r w:rsidRPr="00B342AD">
        <w:rPr>
          <w:rFonts w:ascii="Arial" w:hAnsi="Arial" w:cs="Arial"/>
          <w:i/>
          <w:iCs/>
          <w:sz w:val="20"/>
          <w:szCs w:val="20"/>
        </w:rPr>
        <w:t xml:space="preserve"> </w:t>
      </w:r>
      <w:proofErr w:type="spellStart"/>
      <w:r w:rsidRPr="00B342AD">
        <w:rPr>
          <w:rFonts w:ascii="Arial" w:hAnsi="Arial" w:cs="Arial"/>
          <w:i/>
          <w:iCs/>
          <w:sz w:val="20"/>
          <w:szCs w:val="20"/>
        </w:rPr>
        <w:t>Eng</w:t>
      </w:r>
      <w:proofErr w:type="spellEnd"/>
      <w:r w:rsidRPr="00B342AD">
        <w:rPr>
          <w:rFonts w:ascii="Arial" w:hAnsi="Arial" w:cs="Arial"/>
          <w:i/>
          <w:iCs/>
          <w:sz w:val="20"/>
          <w:szCs w:val="20"/>
        </w:rPr>
        <w:t xml:space="preserve"> </w:t>
      </w:r>
      <w:proofErr w:type="spellStart"/>
      <w:r w:rsidRPr="00B342AD">
        <w:rPr>
          <w:rFonts w:ascii="Arial" w:hAnsi="Arial" w:cs="Arial"/>
          <w:i/>
          <w:iCs/>
          <w:sz w:val="20"/>
          <w:szCs w:val="20"/>
        </w:rPr>
        <w:t>Sci</w:t>
      </w:r>
      <w:proofErr w:type="spellEnd"/>
      <w:r w:rsidRPr="00B342AD">
        <w:rPr>
          <w:rFonts w:ascii="Arial" w:hAnsi="Arial" w:cs="Arial"/>
          <w:sz w:val="20"/>
          <w:szCs w:val="20"/>
        </w:rPr>
        <w:t>, 374(2065), 20150202.</w:t>
      </w:r>
    </w:p>
    <w:p w:rsidR="00DD73A5" w:rsidRPr="00B342AD" w:rsidRDefault="00DD73A5" w:rsidP="00B342AD">
      <w:pPr>
        <w:numPr>
          <w:ilvl w:val="0"/>
          <w:numId w:val="7"/>
        </w:numPr>
        <w:spacing w:line="360" w:lineRule="auto"/>
        <w:rPr>
          <w:rFonts w:ascii="Arial" w:hAnsi="Arial" w:cs="Arial"/>
          <w:sz w:val="20"/>
          <w:szCs w:val="20"/>
        </w:rPr>
      </w:pPr>
      <w:proofErr w:type="spellStart"/>
      <w:r w:rsidRPr="00B342AD">
        <w:rPr>
          <w:rFonts w:ascii="Arial" w:hAnsi="Arial" w:cs="Arial"/>
          <w:sz w:val="20"/>
          <w:szCs w:val="20"/>
        </w:rPr>
        <w:t>Lun</w:t>
      </w:r>
      <w:proofErr w:type="spellEnd"/>
      <w:r w:rsidRPr="00B342AD">
        <w:rPr>
          <w:rFonts w:ascii="Arial" w:hAnsi="Arial" w:cs="Arial"/>
          <w:sz w:val="20"/>
          <w:szCs w:val="20"/>
        </w:rPr>
        <w:t xml:space="preserve"> ATL, McCarthy DJ, </w:t>
      </w:r>
      <w:proofErr w:type="spellStart"/>
      <w:r w:rsidRPr="00B342AD">
        <w:rPr>
          <w:rFonts w:ascii="Arial" w:hAnsi="Arial" w:cs="Arial"/>
          <w:sz w:val="20"/>
          <w:szCs w:val="20"/>
        </w:rPr>
        <w:t>Marioni</w:t>
      </w:r>
      <w:proofErr w:type="spellEnd"/>
      <w:r w:rsidRPr="00B342AD">
        <w:rPr>
          <w:rFonts w:ascii="Arial" w:hAnsi="Arial" w:cs="Arial"/>
          <w:sz w:val="20"/>
          <w:szCs w:val="20"/>
        </w:rPr>
        <w:t xml:space="preserve"> JC, 2017. A step-by-step workflow for low-level analysis of single-cell RNA-</w:t>
      </w:r>
      <w:proofErr w:type="spellStart"/>
      <w:r w:rsidRPr="00B342AD">
        <w:rPr>
          <w:rFonts w:ascii="Arial" w:hAnsi="Arial" w:cs="Arial"/>
          <w:sz w:val="20"/>
          <w:szCs w:val="20"/>
        </w:rPr>
        <w:t>seq</w:t>
      </w:r>
      <w:proofErr w:type="spellEnd"/>
      <w:r w:rsidRPr="00B342AD">
        <w:rPr>
          <w:rFonts w:ascii="Arial" w:hAnsi="Arial" w:cs="Arial"/>
          <w:sz w:val="20"/>
          <w:szCs w:val="20"/>
        </w:rPr>
        <w:t xml:space="preserve"> data with Bioconductor. </w:t>
      </w:r>
      <w:r w:rsidRPr="00B342AD">
        <w:rPr>
          <w:rFonts w:ascii="Arial" w:hAnsi="Arial" w:cs="Arial"/>
          <w:i/>
          <w:iCs/>
          <w:sz w:val="20"/>
          <w:szCs w:val="20"/>
        </w:rPr>
        <w:t>F1000Res</w:t>
      </w:r>
      <w:r w:rsidRPr="00B342AD">
        <w:rPr>
          <w:rFonts w:ascii="Arial" w:hAnsi="Arial" w:cs="Arial"/>
          <w:sz w:val="20"/>
          <w:szCs w:val="20"/>
        </w:rPr>
        <w:t>, 5, 2122.</w:t>
      </w:r>
    </w:p>
    <w:p w:rsidR="00DD73A5" w:rsidRPr="00B342AD" w:rsidRDefault="00DD73A5" w:rsidP="00B342AD">
      <w:pPr>
        <w:numPr>
          <w:ilvl w:val="0"/>
          <w:numId w:val="7"/>
        </w:numPr>
        <w:spacing w:line="360" w:lineRule="auto"/>
        <w:rPr>
          <w:rFonts w:ascii="Arial" w:hAnsi="Arial" w:cs="Arial"/>
          <w:sz w:val="20"/>
          <w:szCs w:val="20"/>
        </w:rPr>
      </w:pPr>
      <w:proofErr w:type="spellStart"/>
      <w:r w:rsidRPr="00B342AD">
        <w:rPr>
          <w:rFonts w:ascii="Arial" w:hAnsi="Arial" w:cs="Arial"/>
          <w:sz w:val="20"/>
          <w:szCs w:val="20"/>
        </w:rPr>
        <w:t>Hartigan</w:t>
      </w:r>
      <w:proofErr w:type="spellEnd"/>
      <w:r w:rsidRPr="00B342AD">
        <w:rPr>
          <w:rFonts w:ascii="Arial" w:hAnsi="Arial" w:cs="Arial"/>
          <w:sz w:val="20"/>
          <w:szCs w:val="20"/>
        </w:rPr>
        <w:t xml:space="preserve"> JA, Wong MA, 1979. Algorithm AS 136: A k-means clustering algorithm. </w:t>
      </w:r>
      <w:r w:rsidRPr="00B342AD">
        <w:rPr>
          <w:rFonts w:ascii="Arial" w:hAnsi="Arial" w:cs="Arial"/>
          <w:i/>
          <w:iCs/>
          <w:sz w:val="20"/>
          <w:szCs w:val="20"/>
        </w:rPr>
        <w:t xml:space="preserve">J R Stat </w:t>
      </w:r>
      <w:proofErr w:type="spellStart"/>
      <w:r w:rsidRPr="00B342AD">
        <w:rPr>
          <w:rFonts w:ascii="Arial" w:hAnsi="Arial" w:cs="Arial"/>
          <w:i/>
          <w:iCs/>
          <w:sz w:val="20"/>
          <w:szCs w:val="20"/>
        </w:rPr>
        <w:t>Soc</w:t>
      </w:r>
      <w:proofErr w:type="spellEnd"/>
      <w:r w:rsidRPr="00B342AD">
        <w:rPr>
          <w:rFonts w:ascii="Arial" w:hAnsi="Arial" w:cs="Arial"/>
          <w:i/>
          <w:iCs/>
          <w:sz w:val="20"/>
          <w:szCs w:val="20"/>
        </w:rPr>
        <w:t xml:space="preserve"> </w:t>
      </w:r>
      <w:proofErr w:type="spellStart"/>
      <w:r w:rsidRPr="00B342AD">
        <w:rPr>
          <w:rFonts w:ascii="Arial" w:hAnsi="Arial" w:cs="Arial"/>
          <w:i/>
          <w:iCs/>
          <w:sz w:val="20"/>
          <w:szCs w:val="20"/>
        </w:rPr>
        <w:t>Ser</w:t>
      </w:r>
      <w:proofErr w:type="spellEnd"/>
      <w:r w:rsidRPr="00B342AD">
        <w:rPr>
          <w:rFonts w:ascii="Arial" w:hAnsi="Arial" w:cs="Arial"/>
          <w:i/>
          <w:iCs/>
          <w:sz w:val="20"/>
          <w:szCs w:val="20"/>
        </w:rPr>
        <w:t xml:space="preserve"> C </w:t>
      </w:r>
      <w:proofErr w:type="spellStart"/>
      <w:r w:rsidRPr="00B342AD">
        <w:rPr>
          <w:rFonts w:ascii="Arial" w:hAnsi="Arial" w:cs="Arial"/>
          <w:i/>
          <w:iCs/>
          <w:sz w:val="20"/>
          <w:szCs w:val="20"/>
        </w:rPr>
        <w:t>Appl</w:t>
      </w:r>
      <w:proofErr w:type="spellEnd"/>
      <w:r w:rsidRPr="00B342AD">
        <w:rPr>
          <w:rFonts w:ascii="Arial" w:hAnsi="Arial" w:cs="Arial"/>
          <w:i/>
          <w:iCs/>
          <w:sz w:val="20"/>
          <w:szCs w:val="20"/>
        </w:rPr>
        <w:t xml:space="preserve"> Stat</w:t>
      </w:r>
      <w:r w:rsidRPr="00B342AD">
        <w:rPr>
          <w:rFonts w:ascii="Arial" w:hAnsi="Arial" w:cs="Arial"/>
          <w:sz w:val="20"/>
          <w:szCs w:val="20"/>
        </w:rPr>
        <w:t>, 28(1), pp. 100-108.</w:t>
      </w:r>
    </w:p>
    <w:p w:rsidR="00DD73A5" w:rsidRPr="00B342AD" w:rsidRDefault="00DD73A5" w:rsidP="00B342AD">
      <w:pPr>
        <w:numPr>
          <w:ilvl w:val="0"/>
          <w:numId w:val="7"/>
        </w:numPr>
        <w:spacing w:line="360" w:lineRule="auto"/>
        <w:rPr>
          <w:rFonts w:ascii="Arial" w:hAnsi="Arial" w:cs="Arial"/>
          <w:sz w:val="20"/>
          <w:szCs w:val="20"/>
        </w:rPr>
      </w:pPr>
      <w:proofErr w:type="spellStart"/>
      <w:r w:rsidRPr="00B342AD">
        <w:rPr>
          <w:rFonts w:ascii="Arial" w:hAnsi="Arial" w:cs="Arial"/>
          <w:sz w:val="20"/>
          <w:szCs w:val="20"/>
        </w:rPr>
        <w:t>MacQueen</w:t>
      </w:r>
      <w:proofErr w:type="spellEnd"/>
      <w:r w:rsidRPr="00B342AD">
        <w:rPr>
          <w:rFonts w:ascii="Arial" w:hAnsi="Arial" w:cs="Arial"/>
          <w:sz w:val="20"/>
          <w:szCs w:val="20"/>
        </w:rPr>
        <w:t xml:space="preserve"> J et al., 1967. Some methods for classification and analysis of multivariate observations. In: </w:t>
      </w:r>
      <w:r w:rsidRPr="00B342AD">
        <w:rPr>
          <w:rFonts w:ascii="Arial" w:hAnsi="Arial" w:cs="Arial"/>
          <w:i/>
          <w:iCs/>
          <w:sz w:val="20"/>
          <w:szCs w:val="20"/>
        </w:rPr>
        <w:t>Proceedings of 5th Berkeley Symposium on Mathematical Statistics and Probability</w:t>
      </w:r>
      <w:r w:rsidRPr="00B342AD">
        <w:rPr>
          <w:rFonts w:ascii="Arial" w:hAnsi="Arial" w:cs="Arial"/>
          <w:sz w:val="20"/>
          <w:szCs w:val="20"/>
        </w:rPr>
        <w:t>, 1(14), pp. 281-297.</w:t>
      </w:r>
    </w:p>
    <w:p w:rsidR="00DD73A5" w:rsidRPr="00B342AD" w:rsidRDefault="00DD73A5" w:rsidP="00B342AD">
      <w:pPr>
        <w:numPr>
          <w:ilvl w:val="0"/>
          <w:numId w:val="7"/>
        </w:numPr>
        <w:spacing w:line="360" w:lineRule="auto"/>
        <w:rPr>
          <w:rFonts w:ascii="Arial" w:hAnsi="Arial" w:cs="Arial"/>
          <w:sz w:val="20"/>
          <w:szCs w:val="20"/>
        </w:rPr>
      </w:pPr>
      <w:r w:rsidRPr="00B342AD">
        <w:rPr>
          <w:rFonts w:ascii="Arial" w:hAnsi="Arial" w:cs="Arial"/>
          <w:sz w:val="20"/>
          <w:szCs w:val="20"/>
        </w:rPr>
        <w:t xml:space="preserve">Lee JS, Park S, </w:t>
      </w:r>
      <w:proofErr w:type="spellStart"/>
      <w:r w:rsidRPr="00B342AD">
        <w:rPr>
          <w:rFonts w:ascii="Arial" w:hAnsi="Arial" w:cs="Arial"/>
          <w:sz w:val="20"/>
          <w:szCs w:val="20"/>
        </w:rPr>
        <w:t>Jeong</w:t>
      </w:r>
      <w:proofErr w:type="spellEnd"/>
      <w:r w:rsidRPr="00B342AD">
        <w:rPr>
          <w:rFonts w:ascii="Arial" w:hAnsi="Arial" w:cs="Arial"/>
          <w:sz w:val="20"/>
          <w:szCs w:val="20"/>
        </w:rPr>
        <w:t xml:space="preserve"> HW, </w:t>
      </w:r>
      <w:proofErr w:type="spellStart"/>
      <w:r w:rsidRPr="00B342AD">
        <w:rPr>
          <w:rFonts w:ascii="Arial" w:hAnsi="Arial" w:cs="Arial"/>
          <w:sz w:val="20"/>
          <w:szCs w:val="20"/>
        </w:rPr>
        <w:t>Ahn</w:t>
      </w:r>
      <w:proofErr w:type="spellEnd"/>
      <w:r w:rsidRPr="00B342AD">
        <w:rPr>
          <w:rFonts w:ascii="Arial" w:hAnsi="Arial" w:cs="Arial"/>
          <w:sz w:val="20"/>
          <w:szCs w:val="20"/>
        </w:rPr>
        <w:t xml:space="preserve"> JY, Choi SJ, Lee H, Choi B, Nam SK, Sa M, Kwon JS, </w:t>
      </w:r>
      <w:proofErr w:type="spellStart"/>
      <w:r w:rsidRPr="00B342AD">
        <w:rPr>
          <w:rFonts w:ascii="Arial" w:hAnsi="Arial" w:cs="Arial"/>
          <w:sz w:val="20"/>
          <w:szCs w:val="20"/>
        </w:rPr>
        <w:t>Jeong</w:t>
      </w:r>
      <w:proofErr w:type="spellEnd"/>
      <w:r w:rsidRPr="00B342AD">
        <w:rPr>
          <w:rFonts w:ascii="Arial" w:hAnsi="Arial" w:cs="Arial"/>
          <w:sz w:val="20"/>
          <w:szCs w:val="20"/>
        </w:rPr>
        <w:t xml:space="preserve"> SJ, Lee HK, Park SH, Park SH, Choi JY, Kim SH, Jung I, Shin EC, 2020. </w:t>
      </w:r>
      <w:proofErr w:type="spellStart"/>
      <w:r w:rsidRPr="00B342AD">
        <w:rPr>
          <w:rFonts w:ascii="Arial" w:hAnsi="Arial" w:cs="Arial"/>
          <w:sz w:val="20"/>
          <w:szCs w:val="20"/>
        </w:rPr>
        <w:t>Immunophenotyping</w:t>
      </w:r>
      <w:proofErr w:type="spellEnd"/>
      <w:r w:rsidRPr="00B342AD">
        <w:rPr>
          <w:rFonts w:ascii="Arial" w:hAnsi="Arial" w:cs="Arial"/>
          <w:sz w:val="20"/>
          <w:szCs w:val="20"/>
        </w:rPr>
        <w:t xml:space="preserve"> of COVID-19 and influenza highlights the role of type I interferons in development of severe COVID-19. </w:t>
      </w:r>
      <w:proofErr w:type="spellStart"/>
      <w:r w:rsidRPr="00B342AD">
        <w:rPr>
          <w:rFonts w:ascii="Arial" w:hAnsi="Arial" w:cs="Arial"/>
          <w:i/>
          <w:iCs/>
          <w:sz w:val="20"/>
          <w:szCs w:val="20"/>
        </w:rPr>
        <w:t>Sci</w:t>
      </w:r>
      <w:proofErr w:type="spellEnd"/>
      <w:r w:rsidRPr="00B342AD">
        <w:rPr>
          <w:rFonts w:ascii="Arial" w:hAnsi="Arial" w:cs="Arial"/>
          <w:i/>
          <w:iCs/>
          <w:sz w:val="20"/>
          <w:szCs w:val="20"/>
        </w:rPr>
        <w:t xml:space="preserve"> </w:t>
      </w:r>
      <w:proofErr w:type="spellStart"/>
      <w:r w:rsidRPr="00B342AD">
        <w:rPr>
          <w:rFonts w:ascii="Arial" w:hAnsi="Arial" w:cs="Arial"/>
          <w:i/>
          <w:iCs/>
          <w:sz w:val="20"/>
          <w:szCs w:val="20"/>
        </w:rPr>
        <w:t>Immunol</w:t>
      </w:r>
      <w:proofErr w:type="spellEnd"/>
      <w:r w:rsidRPr="00B342AD">
        <w:rPr>
          <w:rFonts w:ascii="Arial" w:hAnsi="Arial" w:cs="Arial"/>
          <w:sz w:val="20"/>
          <w:szCs w:val="20"/>
        </w:rPr>
        <w:t>, 5(49), eabd6197.</w:t>
      </w:r>
    </w:p>
    <w:p w:rsidR="00DD73A5" w:rsidRPr="00B342AD" w:rsidRDefault="00DD73A5" w:rsidP="00B342AD">
      <w:pPr>
        <w:numPr>
          <w:ilvl w:val="0"/>
          <w:numId w:val="7"/>
        </w:numPr>
        <w:spacing w:line="360" w:lineRule="auto"/>
        <w:rPr>
          <w:rFonts w:ascii="Arial" w:hAnsi="Arial" w:cs="Arial"/>
          <w:sz w:val="20"/>
          <w:szCs w:val="20"/>
        </w:rPr>
      </w:pPr>
      <w:r w:rsidRPr="00B342AD">
        <w:rPr>
          <w:rFonts w:ascii="Arial" w:hAnsi="Arial" w:cs="Arial"/>
          <w:sz w:val="20"/>
          <w:szCs w:val="20"/>
        </w:rPr>
        <w:lastRenderedPageBreak/>
        <w:t xml:space="preserve">Hinton GE, </w:t>
      </w:r>
      <w:proofErr w:type="spellStart"/>
      <w:r w:rsidRPr="00B342AD">
        <w:rPr>
          <w:rFonts w:ascii="Arial" w:hAnsi="Arial" w:cs="Arial"/>
          <w:sz w:val="20"/>
          <w:szCs w:val="20"/>
        </w:rPr>
        <w:t>Salakhutdinov</w:t>
      </w:r>
      <w:proofErr w:type="spellEnd"/>
      <w:r w:rsidRPr="00B342AD">
        <w:rPr>
          <w:rFonts w:ascii="Arial" w:hAnsi="Arial" w:cs="Arial"/>
          <w:sz w:val="20"/>
          <w:szCs w:val="20"/>
        </w:rPr>
        <w:t xml:space="preserve"> RR, 2006. Reducing the dimensionality of data with neural networks. </w:t>
      </w:r>
      <w:r w:rsidRPr="00B342AD">
        <w:rPr>
          <w:rFonts w:ascii="Arial" w:hAnsi="Arial" w:cs="Arial"/>
          <w:i/>
          <w:iCs/>
          <w:sz w:val="20"/>
          <w:szCs w:val="20"/>
        </w:rPr>
        <w:t>Science</w:t>
      </w:r>
      <w:r w:rsidRPr="00B342AD">
        <w:rPr>
          <w:rFonts w:ascii="Arial" w:hAnsi="Arial" w:cs="Arial"/>
          <w:sz w:val="20"/>
          <w:szCs w:val="20"/>
        </w:rPr>
        <w:t>, 313(5786), pp. 504-507.</w:t>
      </w:r>
    </w:p>
    <w:p w:rsidR="00DD73A5" w:rsidRPr="00B342AD" w:rsidRDefault="00DD73A5" w:rsidP="00B342AD">
      <w:pPr>
        <w:numPr>
          <w:ilvl w:val="0"/>
          <w:numId w:val="7"/>
        </w:numPr>
        <w:spacing w:line="360" w:lineRule="auto"/>
        <w:rPr>
          <w:rFonts w:ascii="Arial" w:hAnsi="Arial" w:cs="Arial"/>
          <w:sz w:val="20"/>
          <w:szCs w:val="20"/>
        </w:rPr>
      </w:pPr>
      <w:proofErr w:type="spellStart"/>
      <w:r w:rsidRPr="00B342AD">
        <w:rPr>
          <w:rFonts w:ascii="Arial" w:hAnsi="Arial" w:cs="Arial"/>
          <w:sz w:val="20"/>
          <w:szCs w:val="20"/>
        </w:rPr>
        <w:t>Rousseeuw</w:t>
      </w:r>
      <w:proofErr w:type="spellEnd"/>
      <w:r w:rsidRPr="00B342AD">
        <w:rPr>
          <w:rFonts w:ascii="Arial" w:hAnsi="Arial" w:cs="Arial"/>
          <w:sz w:val="20"/>
          <w:szCs w:val="20"/>
        </w:rPr>
        <w:t xml:space="preserve"> PJ, 1987. Silhouettes: a graphical aid to the interpretation and validation of cluster analysis. </w:t>
      </w:r>
      <w:r w:rsidRPr="00B342AD">
        <w:rPr>
          <w:rFonts w:ascii="Arial" w:hAnsi="Arial" w:cs="Arial"/>
          <w:i/>
          <w:iCs/>
          <w:sz w:val="20"/>
          <w:szCs w:val="20"/>
        </w:rPr>
        <w:t>Journal of computational and applied mathematics</w:t>
      </w:r>
      <w:r w:rsidRPr="00B342AD">
        <w:rPr>
          <w:rFonts w:ascii="Arial" w:hAnsi="Arial" w:cs="Arial"/>
          <w:sz w:val="20"/>
          <w:szCs w:val="20"/>
        </w:rPr>
        <w:t>, 20, pp. 53-65.</w:t>
      </w:r>
    </w:p>
    <w:p w:rsidR="00DD73A5" w:rsidRPr="00B342AD" w:rsidRDefault="00DD73A5" w:rsidP="00B342AD">
      <w:pPr>
        <w:numPr>
          <w:ilvl w:val="0"/>
          <w:numId w:val="7"/>
        </w:numPr>
        <w:spacing w:line="360" w:lineRule="auto"/>
        <w:rPr>
          <w:rFonts w:ascii="Arial" w:hAnsi="Arial" w:cs="Arial"/>
          <w:sz w:val="20"/>
          <w:szCs w:val="20"/>
        </w:rPr>
      </w:pPr>
      <w:r w:rsidRPr="00B342AD">
        <w:rPr>
          <w:rFonts w:ascii="Arial" w:hAnsi="Arial" w:cs="Arial"/>
          <w:sz w:val="20"/>
          <w:szCs w:val="20"/>
        </w:rPr>
        <w:t>Ben-</w:t>
      </w:r>
      <w:proofErr w:type="spellStart"/>
      <w:r w:rsidRPr="00B342AD">
        <w:rPr>
          <w:rFonts w:ascii="Arial" w:hAnsi="Arial" w:cs="Arial"/>
          <w:sz w:val="20"/>
          <w:szCs w:val="20"/>
        </w:rPr>
        <w:t>Hur</w:t>
      </w:r>
      <w:proofErr w:type="spellEnd"/>
      <w:r w:rsidRPr="00B342AD">
        <w:rPr>
          <w:rFonts w:ascii="Arial" w:hAnsi="Arial" w:cs="Arial"/>
          <w:sz w:val="20"/>
          <w:szCs w:val="20"/>
        </w:rPr>
        <w:t xml:space="preserve"> A, </w:t>
      </w:r>
      <w:proofErr w:type="spellStart"/>
      <w:r w:rsidRPr="00B342AD">
        <w:rPr>
          <w:rFonts w:ascii="Arial" w:hAnsi="Arial" w:cs="Arial"/>
          <w:sz w:val="20"/>
          <w:szCs w:val="20"/>
        </w:rPr>
        <w:t>Elisseeff</w:t>
      </w:r>
      <w:proofErr w:type="spellEnd"/>
      <w:r w:rsidRPr="00B342AD">
        <w:rPr>
          <w:rFonts w:ascii="Arial" w:hAnsi="Arial" w:cs="Arial"/>
          <w:sz w:val="20"/>
          <w:szCs w:val="20"/>
        </w:rPr>
        <w:t xml:space="preserve"> A, </w:t>
      </w:r>
      <w:proofErr w:type="spellStart"/>
      <w:r w:rsidRPr="00B342AD">
        <w:rPr>
          <w:rFonts w:ascii="Arial" w:hAnsi="Arial" w:cs="Arial"/>
          <w:sz w:val="20"/>
          <w:szCs w:val="20"/>
        </w:rPr>
        <w:t>Guyon</w:t>
      </w:r>
      <w:proofErr w:type="spellEnd"/>
      <w:r w:rsidRPr="00B342AD">
        <w:rPr>
          <w:rFonts w:ascii="Arial" w:hAnsi="Arial" w:cs="Arial"/>
          <w:sz w:val="20"/>
          <w:szCs w:val="20"/>
        </w:rPr>
        <w:t xml:space="preserve"> I, 2002. A stability based method for discovering structure in clustered data. </w:t>
      </w:r>
      <w:r w:rsidRPr="00B342AD">
        <w:rPr>
          <w:rFonts w:ascii="Arial" w:hAnsi="Arial" w:cs="Arial"/>
          <w:i/>
          <w:iCs/>
          <w:sz w:val="20"/>
          <w:szCs w:val="20"/>
        </w:rPr>
        <w:t>Pacific Symposium on Biocomputing</w:t>
      </w:r>
      <w:r w:rsidRPr="00B342AD">
        <w:rPr>
          <w:rFonts w:ascii="Arial" w:hAnsi="Arial" w:cs="Arial"/>
          <w:sz w:val="20"/>
          <w:szCs w:val="20"/>
        </w:rPr>
        <w:t>, 7, pp. 6-17.</w:t>
      </w:r>
    </w:p>
    <w:p w:rsidR="00DD73A5" w:rsidRPr="00B342AD" w:rsidRDefault="00DD73A5" w:rsidP="00B342AD">
      <w:pPr>
        <w:numPr>
          <w:ilvl w:val="0"/>
          <w:numId w:val="7"/>
        </w:numPr>
        <w:spacing w:line="360" w:lineRule="auto"/>
        <w:rPr>
          <w:rFonts w:ascii="Arial" w:hAnsi="Arial" w:cs="Arial"/>
          <w:sz w:val="20"/>
          <w:szCs w:val="20"/>
        </w:rPr>
      </w:pPr>
      <w:r w:rsidRPr="00B342AD">
        <w:rPr>
          <w:rFonts w:ascii="Arial" w:hAnsi="Arial" w:cs="Arial"/>
          <w:sz w:val="20"/>
          <w:szCs w:val="20"/>
        </w:rPr>
        <w:t xml:space="preserve">van der </w:t>
      </w:r>
      <w:proofErr w:type="spellStart"/>
      <w:r w:rsidRPr="00B342AD">
        <w:rPr>
          <w:rFonts w:ascii="Arial" w:hAnsi="Arial" w:cs="Arial"/>
          <w:sz w:val="20"/>
          <w:szCs w:val="20"/>
        </w:rPr>
        <w:t>Maaten</w:t>
      </w:r>
      <w:proofErr w:type="spellEnd"/>
      <w:r w:rsidRPr="00B342AD">
        <w:rPr>
          <w:rFonts w:ascii="Arial" w:hAnsi="Arial" w:cs="Arial"/>
          <w:sz w:val="20"/>
          <w:szCs w:val="20"/>
        </w:rPr>
        <w:t xml:space="preserve"> L, Hinton G, 2008. Visualizing data using t-SNE. </w:t>
      </w:r>
      <w:r w:rsidRPr="00B342AD">
        <w:rPr>
          <w:rFonts w:ascii="Arial" w:hAnsi="Arial" w:cs="Arial"/>
          <w:i/>
          <w:iCs/>
          <w:sz w:val="20"/>
          <w:szCs w:val="20"/>
        </w:rPr>
        <w:t>Journal of machine learning research</w:t>
      </w:r>
      <w:r w:rsidRPr="00B342AD">
        <w:rPr>
          <w:rFonts w:ascii="Arial" w:hAnsi="Arial" w:cs="Arial"/>
          <w:sz w:val="20"/>
          <w:szCs w:val="20"/>
        </w:rPr>
        <w:t>, 9(Nov), pp. 2579-2605.</w:t>
      </w:r>
    </w:p>
    <w:p w:rsidR="00DD73A5" w:rsidRPr="00B342AD" w:rsidRDefault="00DD73A5" w:rsidP="00B342AD">
      <w:pPr>
        <w:numPr>
          <w:ilvl w:val="0"/>
          <w:numId w:val="7"/>
        </w:numPr>
        <w:spacing w:line="360" w:lineRule="auto"/>
        <w:rPr>
          <w:rFonts w:ascii="Arial" w:hAnsi="Arial" w:cs="Arial"/>
          <w:sz w:val="20"/>
          <w:szCs w:val="20"/>
        </w:rPr>
      </w:pPr>
      <w:proofErr w:type="spellStart"/>
      <w:r w:rsidRPr="00B342AD">
        <w:rPr>
          <w:rFonts w:ascii="Arial" w:hAnsi="Arial" w:cs="Arial"/>
          <w:sz w:val="20"/>
          <w:szCs w:val="20"/>
        </w:rPr>
        <w:t>McInnes</w:t>
      </w:r>
      <w:proofErr w:type="spellEnd"/>
      <w:r w:rsidRPr="00B342AD">
        <w:rPr>
          <w:rFonts w:ascii="Arial" w:hAnsi="Arial" w:cs="Arial"/>
          <w:sz w:val="20"/>
          <w:szCs w:val="20"/>
        </w:rPr>
        <w:t xml:space="preserve"> L, Healy J, Melville J, 2018. UMAP: Uniform manifold approximation and projection for dimension reduction. </w:t>
      </w:r>
      <w:proofErr w:type="spellStart"/>
      <w:r w:rsidRPr="00B342AD">
        <w:rPr>
          <w:rFonts w:ascii="Arial" w:hAnsi="Arial" w:cs="Arial"/>
          <w:i/>
          <w:iCs/>
          <w:sz w:val="20"/>
          <w:szCs w:val="20"/>
        </w:rPr>
        <w:t>arXiv</w:t>
      </w:r>
      <w:proofErr w:type="spellEnd"/>
      <w:r w:rsidRPr="00B342AD">
        <w:rPr>
          <w:rFonts w:ascii="Arial" w:hAnsi="Arial" w:cs="Arial"/>
          <w:i/>
          <w:iCs/>
          <w:sz w:val="20"/>
          <w:szCs w:val="20"/>
        </w:rPr>
        <w:t xml:space="preserve"> preprint arXiv:1802.03426</w:t>
      </w:r>
      <w:r w:rsidRPr="00B342AD">
        <w:rPr>
          <w:rFonts w:ascii="Arial" w:hAnsi="Arial" w:cs="Arial"/>
          <w:sz w:val="20"/>
          <w:szCs w:val="20"/>
        </w:rPr>
        <w:t>.</w:t>
      </w:r>
    </w:p>
    <w:p w:rsidR="00DD73A5" w:rsidRPr="00B342AD" w:rsidRDefault="00DD73A5" w:rsidP="00B342AD">
      <w:pPr>
        <w:numPr>
          <w:ilvl w:val="0"/>
          <w:numId w:val="7"/>
        </w:numPr>
        <w:spacing w:line="360" w:lineRule="auto"/>
        <w:rPr>
          <w:rFonts w:ascii="Arial" w:hAnsi="Arial" w:cs="Arial"/>
          <w:sz w:val="20"/>
          <w:szCs w:val="20"/>
        </w:rPr>
      </w:pPr>
      <w:r w:rsidRPr="00B342AD">
        <w:rPr>
          <w:rFonts w:ascii="Arial" w:hAnsi="Arial" w:cs="Arial"/>
          <w:sz w:val="20"/>
          <w:szCs w:val="20"/>
        </w:rPr>
        <w:t xml:space="preserve">Monti S, Tamayo P, </w:t>
      </w:r>
      <w:proofErr w:type="spellStart"/>
      <w:r w:rsidRPr="00B342AD">
        <w:rPr>
          <w:rFonts w:ascii="Arial" w:hAnsi="Arial" w:cs="Arial"/>
          <w:sz w:val="20"/>
          <w:szCs w:val="20"/>
        </w:rPr>
        <w:t>Mesirov</w:t>
      </w:r>
      <w:proofErr w:type="spellEnd"/>
      <w:r w:rsidRPr="00B342AD">
        <w:rPr>
          <w:rFonts w:ascii="Arial" w:hAnsi="Arial" w:cs="Arial"/>
          <w:sz w:val="20"/>
          <w:szCs w:val="20"/>
        </w:rPr>
        <w:t xml:space="preserve"> J, Golub T, 2003. Consensus clustering: A resampling-based method for class discovery and visualization of gene expression microarray data. </w:t>
      </w:r>
      <w:r w:rsidRPr="00B342AD">
        <w:rPr>
          <w:rFonts w:ascii="Arial" w:hAnsi="Arial" w:cs="Arial"/>
          <w:i/>
          <w:iCs/>
          <w:sz w:val="20"/>
          <w:szCs w:val="20"/>
        </w:rPr>
        <w:t>Machine learning</w:t>
      </w:r>
      <w:r w:rsidRPr="00B342AD">
        <w:rPr>
          <w:rFonts w:ascii="Arial" w:hAnsi="Arial" w:cs="Arial"/>
          <w:sz w:val="20"/>
          <w:szCs w:val="20"/>
        </w:rPr>
        <w:t>, 52(1-2), pp. 91-118.</w:t>
      </w:r>
    </w:p>
    <w:p w:rsidR="00DD73A5" w:rsidRDefault="00DD73A5" w:rsidP="00A571C3"/>
    <w:sectPr w:rsidR="00DD7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417FA"/>
    <w:multiLevelType w:val="multilevel"/>
    <w:tmpl w:val="FDFA2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76BDB"/>
    <w:multiLevelType w:val="multilevel"/>
    <w:tmpl w:val="1FAC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2551A"/>
    <w:multiLevelType w:val="multilevel"/>
    <w:tmpl w:val="FACE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13747C"/>
    <w:multiLevelType w:val="multilevel"/>
    <w:tmpl w:val="3A44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24225"/>
    <w:multiLevelType w:val="multilevel"/>
    <w:tmpl w:val="A08A4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191C80"/>
    <w:multiLevelType w:val="multilevel"/>
    <w:tmpl w:val="40D6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250651"/>
    <w:multiLevelType w:val="multilevel"/>
    <w:tmpl w:val="188C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B3"/>
    <w:rsid w:val="00060D51"/>
    <w:rsid w:val="00164924"/>
    <w:rsid w:val="00222AA9"/>
    <w:rsid w:val="002F2BAF"/>
    <w:rsid w:val="005E7294"/>
    <w:rsid w:val="00815224"/>
    <w:rsid w:val="00837CB8"/>
    <w:rsid w:val="00926B7D"/>
    <w:rsid w:val="009F029F"/>
    <w:rsid w:val="00A571C3"/>
    <w:rsid w:val="00B342AD"/>
    <w:rsid w:val="00B41A8A"/>
    <w:rsid w:val="00B666B3"/>
    <w:rsid w:val="00C83393"/>
    <w:rsid w:val="00D43DB8"/>
    <w:rsid w:val="00D800F1"/>
    <w:rsid w:val="00D82A84"/>
    <w:rsid w:val="00DD73A5"/>
    <w:rsid w:val="00DF3003"/>
    <w:rsid w:val="00EA69EE"/>
    <w:rsid w:val="00FD5B4A"/>
    <w:rsid w:val="00FE1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4E58"/>
  <w15:chartTrackingRefBased/>
  <w15:docId w15:val="{6BD717A5-1F7C-4509-A253-538AE409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6B3"/>
    <w:rPr>
      <w:rFonts w:ascii="Times New Roman" w:hAnsi="Times New Roman" w:cs="Times New Roman"/>
      <w:sz w:val="24"/>
      <w:szCs w:val="24"/>
    </w:rPr>
  </w:style>
  <w:style w:type="table" w:styleId="TableGrid">
    <w:name w:val="Table Grid"/>
    <w:basedOn w:val="TableNormal"/>
    <w:uiPriority w:val="39"/>
    <w:rsid w:val="00D43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69277">
      <w:bodyDiv w:val="1"/>
      <w:marLeft w:val="0"/>
      <w:marRight w:val="0"/>
      <w:marTop w:val="0"/>
      <w:marBottom w:val="0"/>
      <w:divBdr>
        <w:top w:val="none" w:sz="0" w:space="0" w:color="auto"/>
        <w:left w:val="none" w:sz="0" w:space="0" w:color="auto"/>
        <w:bottom w:val="none" w:sz="0" w:space="0" w:color="auto"/>
        <w:right w:val="none" w:sz="0" w:space="0" w:color="auto"/>
      </w:divBdr>
    </w:div>
    <w:div w:id="184831119">
      <w:bodyDiv w:val="1"/>
      <w:marLeft w:val="0"/>
      <w:marRight w:val="0"/>
      <w:marTop w:val="0"/>
      <w:marBottom w:val="0"/>
      <w:divBdr>
        <w:top w:val="none" w:sz="0" w:space="0" w:color="auto"/>
        <w:left w:val="none" w:sz="0" w:space="0" w:color="auto"/>
        <w:bottom w:val="none" w:sz="0" w:space="0" w:color="auto"/>
        <w:right w:val="none" w:sz="0" w:space="0" w:color="auto"/>
      </w:divBdr>
    </w:div>
    <w:div w:id="224218989">
      <w:bodyDiv w:val="1"/>
      <w:marLeft w:val="0"/>
      <w:marRight w:val="0"/>
      <w:marTop w:val="0"/>
      <w:marBottom w:val="0"/>
      <w:divBdr>
        <w:top w:val="none" w:sz="0" w:space="0" w:color="auto"/>
        <w:left w:val="none" w:sz="0" w:space="0" w:color="auto"/>
        <w:bottom w:val="none" w:sz="0" w:space="0" w:color="auto"/>
        <w:right w:val="none" w:sz="0" w:space="0" w:color="auto"/>
      </w:divBdr>
    </w:div>
    <w:div w:id="303969848">
      <w:bodyDiv w:val="1"/>
      <w:marLeft w:val="0"/>
      <w:marRight w:val="0"/>
      <w:marTop w:val="0"/>
      <w:marBottom w:val="0"/>
      <w:divBdr>
        <w:top w:val="none" w:sz="0" w:space="0" w:color="auto"/>
        <w:left w:val="none" w:sz="0" w:space="0" w:color="auto"/>
        <w:bottom w:val="none" w:sz="0" w:space="0" w:color="auto"/>
        <w:right w:val="none" w:sz="0" w:space="0" w:color="auto"/>
      </w:divBdr>
      <w:divsChild>
        <w:div w:id="1231575274">
          <w:marLeft w:val="0"/>
          <w:marRight w:val="0"/>
          <w:marTop w:val="0"/>
          <w:marBottom w:val="0"/>
          <w:divBdr>
            <w:top w:val="single" w:sz="2" w:space="0" w:color="D9D9E3"/>
            <w:left w:val="single" w:sz="2" w:space="0" w:color="D9D9E3"/>
            <w:bottom w:val="single" w:sz="2" w:space="0" w:color="D9D9E3"/>
            <w:right w:val="single" w:sz="2" w:space="0" w:color="D9D9E3"/>
          </w:divBdr>
          <w:divsChild>
            <w:div w:id="1530219847">
              <w:marLeft w:val="0"/>
              <w:marRight w:val="0"/>
              <w:marTop w:val="0"/>
              <w:marBottom w:val="0"/>
              <w:divBdr>
                <w:top w:val="single" w:sz="2" w:space="0" w:color="D9D9E3"/>
                <w:left w:val="single" w:sz="2" w:space="0" w:color="D9D9E3"/>
                <w:bottom w:val="single" w:sz="2" w:space="0" w:color="D9D9E3"/>
                <w:right w:val="single" w:sz="2" w:space="0" w:color="D9D9E3"/>
              </w:divBdr>
              <w:divsChild>
                <w:div w:id="907689867">
                  <w:marLeft w:val="0"/>
                  <w:marRight w:val="0"/>
                  <w:marTop w:val="0"/>
                  <w:marBottom w:val="0"/>
                  <w:divBdr>
                    <w:top w:val="single" w:sz="2" w:space="0" w:color="D9D9E3"/>
                    <w:left w:val="single" w:sz="2" w:space="0" w:color="D9D9E3"/>
                    <w:bottom w:val="single" w:sz="2" w:space="0" w:color="D9D9E3"/>
                    <w:right w:val="single" w:sz="2" w:space="0" w:color="D9D9E3"/>
                  </w:divBdr>
                  <w:divsChild>
                    <w:div w:id="1718699721">
                      <w:marLeft w:val="0"/>
                      <w:marRight w:val="0"/>
                      <w:marTop w:val="0"/>
                      <w:marBottom w:val="0"/>
                      <w:divBdr>
                        <w:top w:val="single" w:sz="2" w:space="0" w:color="D9D9E3"/>
                        <w:left w:val="single" w:sz="2" w:space="0" w:color="D9D9E3"/>
                        <w:bottom w:val="single" w:sz="2" w:space="0" w:color="D9D9E3"/>
                        <w:right w:val="single" w:sz="2" w:space="0" w:color="D9D9E3"/>
                      </w:divBdr>
                      <w:divsChild>
                        <w:div w:id="1767340884">
                          <w:marLeft w:val="0"/>
                          <w:marRight w:val="0"/>
                          <w:marTop w:val="0"/>
                          <w:marBottom w:val="0"/>
                          <w:divBdr>
                            <w:top w:val="single" w:sz="2" w:space="0" w:color="D9D9E3"/>
                            <w:left w:val="single" w:sz="2" w:space="0" w:color="D9D9E3"/>
                            <w:bottom w:val="single" w:sz="2" w:space="0" w:color="D9D9E3"/>
                            <w:right w:val="single" w:sz="2" w:space="0" w:color="D9D9E3"/>
                          </w:divBdr>
                          <w:divsChild>
                            <w:div w:id="1581913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571354">
                                  <w:marLeft w:val="0"/>
                                  <w:marRight w:val="0"/>
                                  <w:marTop w:val="0"/>
                                  <w:marBottom w:val="0"/>
                                  <w:divBdr>
                                    <w:top w:val="single" w:sz="2" w:space="0" w:color="D9D9E3"/>
                                    <w:left w:val="single" w:sz="2" w:space="0" w:color="D9D9E3"/>
                                    <w:bottom w:val="single" w:sz="2" w:space="0" w:color="D9D9E3"/>
                                    <w:right w:val="single" w:sz="2" w:space="0" w:color="D9D9E3"/>
                                  </w:divBdr>
                                  <w:divsChild>
                                    <w:div w:id="1837647608">
                                      <w:marLeft w:val="0"/>
                                      <w:marRight w:val="0"/>
                                      <w:marTop w:val="0"/>
                                      <w:marBottom w:val="0"/>
                                      <w:divBdr>
                                        <w:top w:val="single" w:sz="2" w:space="0" w:color="D9D9E3"/>
                                        <w:left w:val="single" w:sz="2" w:space="0" w:color="D9D9E3"/>
                                        <w:bottom w:val="single" w:sz="2" w:space="0" w:color="D9D9E3"/>
                                        <w:right w:val="single" w:sz="2" w:space="0" w:color="D9D9E3"/>
                                      </w:divBdr>
                                      <w:divsChild>
                                        <w:div w:id="1855000109">
                                          <w:marLeft w:val="0"/>
                                          <w:marRight w:val="0"/>
                                          <w:marTop w:val="0"/>
                                          <w:marBottom w:val="0"/>
                                          <w:divBdr>
                                            <w:top w:val="single" w:sz="2" w:space="0" w:color="D9D9E3"/>
                                            <w:left w:val="single" w:sz="2" w:space="0" w:color="D9D9E3"/>
                                            <w:bottom w:val="single" w:sz="2" w:space="0" w:color="D9D9E3"/>
                                            <w:right w:val="single" w:sz="2" w:space="0" w:color="D9D9E3"/>
                                          </w:divBdr>
                                          <w:divsChild>
                                            <w:div w:id="354187">
                                              <w:marLeft w:val="0"/>
                                              <w:marRight w:val="0"/>
                                              <w:marTop w:val="0"/>
                                              <w:marBottom w:val="0"/>
                                              <w:divBdr>
                                                <w:top w:val="single" w:sz="2" w:space="0" w:color="D9D9E3"/>
                                                <w:left w:val="single" w:sz="2" w:space="0" w:color="D9D9E3"/>
                                                <w:bottom w:val="single" w:sz="2" w:space="0" w:color="D9D9E3"/>
                                                <w:right w:val="single" w:sz="2" w:space="0" w:color="D9D9E3"/>
                                              </w:divBdr>
                                              <w:divsChild>
                                                <w:div w:id="1264918897">
                                                  <w:marLeft w:val="0"/>
                                                  <w:marRight w:val="0"/>
                                                  <w:marTop w:val="0"/>
                                                  <w:marBottom w:val="0"/>
                                                  <w:divBdr>
                                                    <w:top w:val="single" w:sz="2" w:space="0" w:color="D9D9E3"/>
                                                    <w:left w:val="single" w:sz="2" w:space="0" w:color="D9D9E3"/>
                                                    <w:bottom w:val="single" w:sz="2" w:space="0" w:color="D9D9E3"/>
                                                    <w:right w:val="single" w:sz="2" w:space="0" w:color="D9D9E3"/>
                                                  </w:divBdr>
                                                  <w:divsChild>
                                                    <w:div w:id="10650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2459666">
          <w:marLeft w:val="0"/>
          <w:marRight w:val="0"/>
          <w:marTop w:val="0"/>
          <w:marBottom w:val="0"/>
          <w:divBdr>
            <w:top w:val="none" w:sz="0" w:space="0" w:color="auto"/>
            <w:left w:val="none" w:sz="0" w:space="0" w:color="auto"/>
            <w:bottom w:val="none" w:sz="0" w:space="0" w:color="auto"/>
            <w:right w:val="none" w:sz="0" w:space="0" w:color="auto"/>
          </w:divBdr>
        </w:div>
      </w:divsChild>
    </w:div>
    <w:div w:id="726951576">
      <w:bodyDiv w:val="1"/>
      <w:marLeft w:val="0"/>
      <w:marRight w:val="0"/>
      <w:marTop w:val="0"/>
      <w:marBottom w:val="0"/>
      <w:divBdr>
        <w:top w:val="none" w:sz="0" w:space="0" w:color="auto"/>
        <w:left w:val="none" w:sz="0" w:space="0" w:color="auto"/>
        <w:bottom w:val="none" w:sz="0" w:space="0" w:color="auto"/>
        <w:right w:val="none" w:sz="0" w:space="0" w:color="auto"/>
      </w:divBdr>
    </w:div>
    <w:div w:id="1027213752">
      <w:bodyDiv w:val="1"/>
      <w:marLeft w:val="0"/>
      <w:marRight w:val="0"/>
      <w:marTop w:val="0"/>
      <w:marBottom w:val="0"/>
      <w:divBdr>
        <w:top w:val="none" w:sz="0" w:space="0" w:color="auto"/>
        <w:left w:val="none" w:sz="0" w:space="0" w:color="auto"/>
        <w:bottom w:val="none" w:sz="0" w:space="0" w:color="auto"/>
        <w:right w:val="none" w:sz="0" w:space="0" w:color="auto"/>
      </w:divBdr>
    </w:div>
    <w:div w:id="1139760529">
      <w:bodyDiv w:val="1"/>
      <w:marLeft w:val="0"/>
      <w:marRight w:val="0"/>
      <w:marTop w:val="0"/>
      <w:marBottom w:val="0"/>
      <w:divBdr>
        <w:top w:val="none" w:sz="0" w:space="0" w:color="auto"/>
        <w:left w:val="none" w:sz="0" w:space="0" w:color="auto"/>
        <w:bottom w:val="none" w:sz="0" w:space="0" w:color="auto"/>
        <w:right w:val="none" w:sz="0" w:space="0" w:color="auto"/>
      </w:divBdr>
    </w:div>
    <w:div w:id="1173301484">
      <w:bodyDiv w:val="1"/>
      <w:marLeft w:val="0"/>
      <w:marRight w:val="0"/>
      <w:marTop w:val="0"/>
      <w:marBottom w:val="0"/>
      <w:divBdr>
        <w:top w:val="none" w:sz="0" w:space="0" w:color="auto"/>
        <w:left w:val="none" w:sz="0" w:space="0" w:color="auto"/>
        <w:bottom w:val="none" w:sz="0" w:space="0" w:color="auto"/>
        <w:right w:val="none" w:sz="0" w:space="0" w:color="auto"/>
      </w:divBdr>
    </w:div>
    <w:div w:id="1231500611">
      <w:bodyDiv w:val="1"/>
      <w:marLeft w:val="0"/>
      <w:marRight w:val="0"/>
      <w:marTop w:val="0"/>
      <w:marBottom w:val="0"/>
      <w:divBdr>
        <w:top w:val="none" w:sz="0" w:space="0" w:color="auto"/>
        <w:left w:val="none" w:sz="0" w:space="0" w:color="auto"/>
        <w:bottom w:val="none" w:sz="0" w:space="0" w:color="auto"/>
        <w:right w:val="none" w:sz="0" w:space="0" w:color="auto"/>
      </w:divBdr>
      <w:divsChild>
        <w:div w:id="326058097">
          <w:marLeft w:val="0"/>
          <w:marRight w:val="0"/>
          <w:marTop w:val="0"/>
          <w:marBottom w:val="0"/>
          <w:divBdr>
            <w:top w:val="single" w:sz="2" w:space="0" w:color="D9D9E3"/>
            <w:left w:val="single" w:sz="2" w:space="0" w:color="D9D9E3"/>
            <w:bottom w:val="single" w:sz="2" w:space="0" w:color="D9D9E3"/>
            <w:right w:val="single" w:sz="2" w:space="0" w:color="D9D9E3"/>
          </w:divBdr>
          <w:divsChild>
            <w:div w:id="1784689464">
              <w:marLeft w:val="0"/>
              <w:marRight w:val="0"/>
              <w:marTop w:val="0"/>
              <w:marBottom w:val="0"/>
              <w:divBdr>
                <w:top w:val="single" w:sz="2" w:space="0" w:color="D9D9E3"/>
                <w:left w:val="single" w:sz="2" w:space="0" w:color="D9D9E3"/>
                <w:bottom w:val="single" w:sz="2" w:space="0" w:color="D9D9E3"/>
                <w:right w:val="single" w:sz="2" w:space="0" w:color="D9D9E3"/>
              </w:divBdr>
              <w:divsChild>
                <w:div w:id="1618633821">
                  <w:marLeft w:val="0"/>
                  <w:marRight w:val="0"/>
                  <w:marTop w:val="0"/>
                  <w:marBottom w:val="0"/>
                  <w:divBdr>
                    <w:top w:val="single" w:sz="2" w:space="0" w:color="D9D9E3"/>
                    <w:left w:val="single" w:sz="2" w:space="0" w:color="D9D9E3"/>
                    <w:bottom w:val="single" w:sz="2" w:space="0" w:color="D9D9E3"/>
                    <w:right w:val="single" w:sz="2" w:space="0" w:color="D9D9E3"/>
                  </w:divBdr>
                  <w:divsChild>
                    <w:div w:id="936408021">
                      <w:marLeft w:val="0"/>
                      <w:marRight w:val="0"/>
                      <w:marTop w:val="0"/>
                      <w:marBottom w:val="0"/>
                      <w:divBdr>
                        <w:top w:val="single" w:sz="2" w:space="0" w:color="D9D9E3"/>
                        <w:left w:val="single" w:sz="2" w:space="0" w:color="D9D9E3"/>
                        <w:bottom w:val="single" w:sz="2" w:space="0" w:color="D9D9E3"/>
                        <w:right w:val="single" w:sz="2" w:space="0" w:color="D9D9E3"/>
                      </w:divBdr>
                      <w:divsChild>
                        <w:div w:id="989477587">
                          <w:marLeft w:val="0"/>
                          <w:marRight w:val="0"/>
                          <w:marTop w:val="0"/>
                          <w:marBottom w:val="0"/>
                          <w:divBdr>
                            <w:top w:val="single" w:sz="2" w:space="0" w:color="D9D9E3"/>
                            <w:left w:val="single" w:sz="2" w:space="0" w:color="D9D9E3"/>
                            <w:bottom w:val="single" w:sz="2" w:space="0" w:color="D9D9E3"/>
                            <w:right w:val="single" w:sz="2" w:space="0" w:color="D9D9E3"/>
                          </w:divBdr>
                          <w:divsChild>
                            <w:div w:id="372849463">
                              <w:marLeft w:val="0"/>
                              <w:marRight w:val="0"/>
                              <w:marTop w:val="100"/>
                              <w:marBottom w:val="100"/>
                              <w:divBdr>
                                <w:top w:val="single" w:sz="2" w:space="0" w:color="D9D9E3"/>
                                <w:left w:val="single" w:sz="2" w:space="0" w:color="D9D9E3"/>
                                <w:bottom w:val="single" w:sz="2" w:space="0" w:color="D9D9E3"/>
                                <w:right w:val="single" w:sz="2" w:space="0" w:color="D9D9E3"/>
                              </w:divBdr>
                              <w:divsChild>
                                <w:div w:id="422998194">
                                  <w:marLeft w:val="0"/>
                                  <w:marRight w:val="0"/>
                                  <w:marTop w:val="0"/>
                                  <w:marBottom w:val="0"/>
                                  <w:divBdr>
                                    <w:top w:val="single" w:sz="2" w:space="0" w:color="D9D9E3"/>
                                    <w:left w:val="single" w:sz="2" w:space="0" w:color="D9D9E3"/>
                                    <w:bottom w:val="single" w:sz="2" w:space="0" w:color="D9D9E3"/>
                                    <w:right w:val="single" w:sz="2" w:space="0" w:color="D9D9E3"/>
                                  </w:divBdr>
                                  <w:divsChild>
                                    <w:div w:id="1262035367">
                                      <w:marLeft w:val="0"/>
                                      <w:marRight w:val="0"/>
                                      <w:marTop w:val="0"/>
                                      <w:marBottom w:val="0"/>
                                      <w:divBdr>
                                        <w:top w:val="single" w:sz="2" w:space="0" w:color="D9D9E3"/>
                                        <w:left w:val="single" w:sz="2" w:space="0" w:color="D9D9E3"/>
                                        <w:bottom w:val="single" w:sz="2" w:space="0" w:color="D9D9E3"/>
                                        <w:right w:val="single" w:sz="2" w:space="0" w:color="D9D9E3"/>
                                      </w:divBdr>
                                      <w:divsChild>
                                        <w:div w:id="423457301">
                                          <w:marLeft w:val="0"/>
                                          <w:marRight w:val="0"/>
                                          <w:marTop w:val="0"/>
                                          <w:marBottom w:val="0"/>
                                          <w:divBdr>
                                            <w:top w:val="single" w:sz="2" w:space="0" w:color="D9D9E3"/>
                                            <w:left w:val="single" w:sz="2" w:space="0" w:color="D9D9E3"/>
                                            <w:bottom w:val="single" w:sz="2" w:space="0" w:color="D9D9E3"/>
                                            <w:right w:val="single" w:sz="2" w:space="0" w:color="D9D9E3"/>
                                          </w:divBdr>
                                          <w:divsChild>
                                            <w:div w:id="1810514582">
                                              <w:marLeft w:val="0"/>
                                              <w:marRight w:val="0"/>
                                              <w:marTop w:val="0"/>
                                              <w:marBottom w:val="0"/>
                                              <w:divBdr>
                                                <w:top w:val="single" w:sz="2" w:space="0" w:color="D9D9E3"/>
                                                <w:left w:val="single" w:sz="2" w:space="0" w:color="D9D9E3"/>
                                                <w:bottom w:val="single" w:sz="2" w:space="0" w:color="D9D9E3"/>
                                                <w:right w:val="single" w:sz="2" w:space="0" w:color="D9D9E3"/>
                                              </w:divBdr>
                                              <w:divsChild>
                                                <w:div w:id="1791632186">
                                                  <w:marLeft w:val="0"/>
                                                  <w:marRight w:val="0"/>
                                                  <w:marTop w:val="0"/>
                                                  <w:marBottom w:val="0"/>
                                                  <w:divBdr>
                                                    <w:top w:val="single" w:sz="2" w:space="0" w:color="D9D9E3"/>
                                                    <w:left w:val="single" w:sz="2" w:space="0" w:color="D9D9E3"/>
                                                    <w:bottom w:val="single" w:sz="2" w:space="0" w:color="D9D9E3"/>
                                                    <w:right w:val="single" w:sz="2" w:space="0" w:color="D9D9E3"/>
                                                  </w:divBdr>
                                                  <w:divsChild>
                                                    <w:div w:id="1765489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5292194">
          <w:marLeft w:val="0"/>
          <w:marRight w:val="0"/>
          <w:marTop w:val="0"/>
          <w:marBottom w:val="0"/>
          <w:divBdr>
            <w:top w:val="none" w:sz="0" w:space="0" w:color="auto"/>
            <w:left w:val="none" w:sz="0" w:space="0" w:color="auto"/>
            <w:bottom w:val="none" w:sz="0" w:space="0" w:color="auto"/>
            <w:right w:val="none" w:sz="0" w:space="0" w:color="auto"/>
          </w:divBdr>
        </w:div>
      </w:divsChild>
    </w:div>
    <w:div w:id="1349480465">
      <w:bodyDiv w:val="1"/>
      <w:marLeft w:val="0"/>
      <w:marRight w:val="0"/>
      <w:marTop w:val="0"/>
      <w:marBottom w:val="0"/>
      <w:divBdr>
        <w:top w:val="none" w:sz="0" w:space="0" w:color="auto"/>
        <w:left w:val="none" w:sz="0" w:space="0" w:color="auto"/>
        <w:bottom w:val="none" w:sz="0" w:space="0" w:color="auto"/>
        <w:right w:val="none" w:sz="0" w:space="0" w:color="auto"/>
      </w:divBdr>
      <w:divsChild>
        <w:div w:id="1640450731">
          <w:marLeft w:val="0"/>
          <w:marRight w:val="0"/>
          <w:marTop w:val="0"/>
          <w:marBottom w:val="0"/>
          <w:divBdr>
            <w:top w:val="single" w:sz="2" w:space="0" w:color="D9D9E3"/>
            <w:left w:val="single" w:sz="2" w:space="0" w:color="D9D9E3"/>
            <w:bottom w:val="single" w:sz="2" w:space="0" w:color="D9D9E3"/>
            <w:right w:val="single" w:sz="2" w:space="0" w:color="D9D9E3"/>
          </w:divBdr>
          <w:divsChild>
            <w:div w:id="2074815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046809">
                  <w:marLeft w:val="0"/>
                  <w:marRight w:val="0"/>
                  <w:marTop w:val="0"/>
                  <w:marBottom w:val="0"/>
                  <w:divBdr>
                    <w:top w:val="single" w:sz="2" w:space="0" w:color="D9D9E3"/>
                    <w:left w:val="single" w:sz="2" w:space="0" w:color="D9D9E3"/>
                    <w:bottom w:val="single" w:sz="2" w:space="0" w:color="D9D9E3"/>
                    <w:right w:val="single" w:sz="2" w:space="0" w:color="D9D9E3"/>
                  </w:divBdr>
                  <w:divsChild>
                    <w:div w:id="354307604">
                      <w:marLeft w:val="0"/>
                      <w:marRight w:val="0"/>
                      <w:marTop w:val="0"/>
                      <w:marBottom w:val="0"/>
                      <w:divBdr>
                        <w:top w:val="single" w:sz="2" w:space="0" w:color="D9D9E3"/>
                        <w:left w:val="single" w:sz="2" w:space="0" w:color="D9D9E3"/>
                        <w:bottom w:val="single" w:sz="2" w:space="0" w:color="D9D9E3"/>
                        <w:right w:val="single" w:sz="2" w:space="0" w:color="D9D9E3"/>
                      </w:divBdr>
                      <w:divsChild>
                        <w:div w:id="1874074470">
                          <w:marLeft w:val="0"/>
                          <w:marRight w:val="0"/>
                          <w:marTop w:val="0"/>
                          <w:marBottom w:val="0"/>
                          <w:divBdr>
                            <w:top w:val="single" w:sz="2" w:space="0" w:color="D9D9E3"/>
                            <w:left w:val="single" w:sz="2" w:space="0" w:color="D9D9E3"/>
                            <w:bottom w:val="single" w:sz="2" w:space="0" w:color="D9D9E3"/>
                            <w:right w:val="single" w:sz="2" w:space="0" w:color="D9D9E3"/>
                          </w:divBdr>
                          <w:divsChild>
                            <w:div w:id="119110237">
                              <w:marLeft w:val="0"/>
                              <w:marRight w:val="0"/>
                              <w:marTop w:val="0"/>
                              <w:marBottom w:val="0"/>
                              <w:divBdr>
                                <w:top w:val="single" w:sz="2" w:space="0" w:color="D9D9E3"/>
                                <w:left w:val="single" w:sz="2" w:space="0" w:color="D9D9E3"/>
                                <w:bottom w:val="single" w:sz="2" w:space="0" w:color="D9D9E3"/>
                                <w:right w:val="single" w:sz="2" w:space="0" w:color="D9D9E3"/>
                              </w:divBdr>
                              <w:divsChild>
                                <w:div w:id="2122988648">
                                  <w:marLeft w:val="0"/>
                                  <w:marRight w:val="0"/>
                                  <w:marTop w:val="0"/>
                                  <w:marBottom w:val="0"/>
                                  <w:divBdr>
                                    <w:top w:val="single" w:sz="2" w:space="0" w:color="D9D9E3"/>
                                    <w:left w:val="single" w:sz="2" w:space="0" w:color="D9D9E3"/>
                                    <w:bottom w:val="single" w:sz="2" w:space="0" w:color="D9D9E3"/>
                                    <w:right w:val="single" w:sz="2" w:space="0" w:color="D9D9E3"/>
                                  </w:divBdr>
                                  <w:divsChild>
                                    <w:div w:id="161690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3117060">
      <w:bodyDiv w:val="1"/>
      <w:marLeft w:val="0"/>
      <w:marRight w:val="0"/>
      <w:marTop w:val="0"/>
      <w:marBottom w:val="0"/>
      <w:divBdr>
        <w:top w:val="none" w:sz="0" w:space="0" w:color="auto"/>
        <w:left w:val="none" w:sz="0" w:space="0" w:color="auto"/>
        <w:bottom w:val="none" w:sz="0" w:space="0" w:color="auto"/>
        <w:right w:val="none" w:sz="0" w:space="0" w:color="auto"/>
      </w:divBdr>
    </w:div>
    <w:div w:id="1593201822">
      <w:bodyDiv w:val="1"/>
      <w:marLeft w:val="0"/>
      <w:marRight w:val="0"/>
      <w:marTop w:val="0"/>
      <w:marBottom w:val="0"/>
      <w:divBdr>
        <w:top w:val="none" w:sz="0" w:space="0" w:color="auto"/>
        <w:left w:val="none" w:sz="0" w:space="0" w:color="auto"/>
        <w:bottom w:val="none" w:sz="0" w:space="0" w:color="auto"/>
        <w:right w:val="none" w:sz="0" w:space="0" w:color="auto"/>
      </w:divBdr>
    </w:div>
    <w:div w:id="17023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Peczek</dc:creator>
  <cp:keywords/>
  <dc:description/>
  <cp:lastModifiedBy>Jakub Peczek</cp:lastModifiedBy>
  <cp:revision>3</cp:revision>
  <dcterms:created xsi:type="dcterms:W3CDTF">2023-12-04T09:47:00Z</dcterms:created>
  <dcterms:modified xsi:type="dcterms:W3CDTF">2023-12-04T15:56:00Z</dcterms:modified>
</cp:coreProperties>
</file>