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Colorado Pollen Detection: Methods and Results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materials-and-methods"/>
    <w:p>
      <w:pPr>
        <w:pStyle w:val="Heading1"/>
      </w:pPr>
      <w:r>
        <w:t xml:space="preserve">2. Materials and Methods</w:t>
      </w:r>
    </w:p>
    <w:bookmarkStart w:id="20" w:name="image-preprocessing-and-tiling-strategy"/>
    <w:p>
      <w:pPr>
        <w:pStyle w:val="Heading2"/>
      </w:pPr>
      <w:r>
        <w:t xml:space="preserve">2.1. Image Preprocessing and Tiling Strategy</w:t>
      </w:r>
    </w:p>
    <w:p>
      <w:pPr>
        <w:pStyle w:val="FirstParagraph"/>
      </w:pPr>
      <w:r>
        <w:t xml:space="preserve">High-resolution microscopy scans were acquired in Zeiss</w:t>
      </w:r>
      <w:r>
        <w:t xml:space="preserve"> </w:t>
      </w:r>
      <w:r>
        <w:rPr>
          <w:rStyle w:val="VerbatimChar"/>
        </w:rPr>
        <w:t xml:space="preserve">.czi</w:t>
      </w:r>
      <w:r>
        <w:t xml:space="preserve"> </w:t>
      </w:r>
      <w:r>
        <w:t xml:space="preserve">format. Due to the gigapixel dimensions of the raw slides, which exceed the memory constraints of modern convolutional neural networks, a deterministic tiling algorithm was employed. First, a Maximum Intensity Projection (MIP) was applied to the Z-stacks to collapse the three-dimensional volumetric data into a two-dimensional representation while preserving the structural topography of the pollen grains.</w:t>
      </w:r>
    </w:p>
    <w:p>
      <w:pPr>
        <w:pStyle w:val="BodyText"/>
      </w:pPr>
      <w:r>
        <w:t xml:space="preserve">The resulting macroscopic images were dynamically partitioned into overlapping</w:t>
      </w:r>
      <w:r>
        <w:t xml:space="preserve"> </w:t>
      </w:r>
      <m:oMath>
        <m:r>
          <m:t>640</m:t>
        </m:r>
        <m:r>
          <m:rPr>
            <m:sty m:val="p"/>
          </m:rPr>
          <m:t>×</m:t>
        </m:r>
        <m:r>
          <m:t>640</m:t>
        </m:r>
      </m:oMath>
      <w:r>
        <w:t xml:space="preserve"> </w:t>
      </w:r>
      <w:r>
        <w:t xml:space="preserve">pixel tiles. Overlap was strictly maintained to prevent truncation of pollen grains intersecting the grid boundaries. To suppress false-positive detections caused by inorganic debris, air bubbles, and slide artifacts, purely empty background tiles were explicitly sampled and injected into the training dataset as</w:t>
      </w:r>
      <w:r>
        <w:t xml:space="preserve"> </w:t>
      </w:r>
      <w:r>
        <w:t xml:space="preserve">“Hard Negatives”</w:t>
      </w:r>
      <w:r>
        <w:t xml:space="preserve"> </w:t>
      </w:r>
      <w:r>
        <w:t xml:space="preserve">(tiles with image data but lacking bounding box labels).</w:t>
      </w:r>
    </w:p>
    <w:bookmarkEnd w:id="20"/>
    <w:bookmarkStart w:id="21" w:name="two-stage-deep-learning-architecture"/>
    <w:p>
      <w:pPr>
        <w:pStyle w:val="Heading2"/>
      </w:pPr>
      <w:r>
        <w:t xml:space="preserve">2.2. Two-Stage Deep Learning Architecture</w:t>
      </w:r>
    </w:p>
    <w:p>
      <w:pPr>
        <w:pStyle w:val="FirstParagraph"/>
      </w:pPr>
      <w:r>
        <w:t xml:space="preserve">To maximize both detection recall on heterogeneous biological backgrounds (such as messy stigmas) and taxonomic classification precision, the detection pipeline was bifurcated into a two-stage cascaded architecture using the Ultralytics YOLOv8 framework.</w:t>
      </w:r>
    </w:p>
    <w:p>
      <w:pPr>
        <w:pStyle w:val="BodyText"/>
      </w:pPr>
      <w:r>
        <w:rPr>
          <w:b/>
          <w:bCs/>
        </w:rPr>
        <w:t xml:space="preserve">Stage 1: General Pollen Instance Segmentation</w:t>
      </w:r>
      <w:r>
        <w:t xml:space="preserve"> </w:t>
      </w:r>
      <w:r>
        <w:t xml:space="preserve">A YOLOv8-Large Instance Segmentation model (</w:t>
      </w:r>
      <w:r>
        <w:rPr>
          <w:rStyle w:val="VerbatimChar"/>
        </w:rPr>
        <w:t xml:space="preserve">yolov8l-seg</w:t>
      </w:r>
      <w:r>
        <w:t xml:space="preserve">) was trained to detect any biological structure morphologically consistent with a pollen grain. During this stage, all species-specific class labels were collapsed into a singular</w:t>
      </w:r>
      <w:r>
        <w:t xml:space="preserve"> </w:t>
      </w:r>
      <w:r>
        <w:rPr>
          <w:rStyle w:val="VerbatimChar"/>
        </w:rPr>
        <w:t xml:space="preserve">pollen</w:t>
      </w:r>
      <w:r>
        <w:t xml:space="preserve"> </w:t>
      </w:r>
      <w:r>
        <w:t xml:space="preserve">class (Class ID 0). This stage prioritized high-recall boundary detection over taxonomy. The model was trained for 500 epochs with dynamic augmentations including HSV color perturbation, multi-scale mosaic, and mixup to induce robustness against overlapping structures.</w:t>
      </w:r>
    </w:p>
    <w:p>
      <w:pPr>
        <w:pStyle w:val="BodyText"/>
      </w:pPr>
      <w:r>
        <w:rPr>
          <w:b/>
          <w:bCs/>
        </w:rPr>
        <w:t xml:space="preserve">Stage 2: Species-Specific Classification</w:t>
      </w:r>
      <w:r>
        <w:t xml:space="preserve"> </w:t>
      </w:r>
      <w:r>
        <w:t xml:space="preserve">Following Stage 1 inference, the identified polygon boundaries were utilized to dynamically crop the pollen grains from the source image. These standardized, isolated crops were then fed into a secondary YOLOv8-Extra-Large Image Classification model (</w:t>
      </w:r>
      <w:r>
        <w:rPr>
          <w:rStyle w:val="VerbatimChar"/>
        </w:rPr>
        <w:t xml:space="preserve">yolov8x-cls</w:t>
      </w:r>
      <w:r>
        <w:t xml:space="preserve">). This model was exclusively trained on pure, manually curated reference pollen (e.g.,</w:t>
      </w:r>
      <w:r>
        <w:t xml:space="preserve"> </w:t>
      </w:r>
      <w:r>
        <w:rPr>
          <w:i/>
          <w:iCs/>
        </w:rPr>
        <w:t xml:space="preserve">Ranunculus adoneus</w:t>
      </w:r>
      <w:r>
        <w:t xml:space="preserve">) extracted directly from pristine anther scans. This two-stage decoupling prevents the classification model from learning irrelevant stigma background noise.</w:t>
      </w:r>
    </w:p>
    <w:bookmarkEnd w:id="21"/>
    <w:bookmarkStart w:id="22" w:name="X79c2576b79fd9a60028bc03511bf1a29ec99778"/>
    <w:p>
      <w:pPr>
        <w:pStyle w:val="Heading2"/>
      </w:pPr>
      <w:r>
        <w:t xml:space="preserve">2.3. Continuous Active Learning and Annotation</w:t>
      </w:r>
    </w:p>
    <w:p>
      <w:pPr>
        <w:pStyle w:val="FirstParagraph"/>
      </w:pPr>
      <w:r>
        <w:t xml:space="preserve">To continuously adapt the model to novel pollen orientations and previously unseen biological debris, a human-in-the-loop Active Learning interface was developed. The system allows domain experts to rapidly triage Stage 1 predictions on novel data: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Perfect segmentations are committed immediately to the</w:t>
      </w:r>
      <w:r>
        <w:t xml:space="preserve"> </w:t>
      </w:r>
      <w:r>
        <w:rPr>
          <w:rStyle w:val="VerbatimChar"/>
        </w:rPr>
        <w:t xml:space="preserve">Curated_Retrain_Data</w:t>
      </w:r>
      <w:r>
        <w:t xml:space="preserve"> </w:t>
      </w:r>
      <w:r>
        <w:t xml:space="preserve">repository.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Hard Negatives:</w:t>
      </w:r>
      <w:r>
        <w:t xml:space="preserve"> </w:t>
      </w:r>
      <w:r>
        <w:t xml:space="preserve">Erroneous detections (e.g., misidentified debris) are rejected and stored with empty annotation matrices to explicitly penalize the model in future training cycles.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Manual Refinement:</w:t>
      </w:r>
      <w:r>
        <w:t xml:space="preserve"> </w:t>
      </w:r>
      <w:r>
        <w:t xml:space="preserve">Imprecise polygons are passed through a data pipeline to Roboflow, where experts manually redraw the physical boundaries using semantic polygon tools before reintegrating them into the training corpus.</w:t>
      </w:r>
    </w:p>
    <w:bookmarkEnd w:id="22"/>
    <w:bookmarkStart w:id="23" w:name="computational-environment-and-inference"/>
    <w:p>
      <w:pPr>
        <w:pStyle w:val="Heading2"/>
      </w:pPr>
      <w:r>
        <w:t xml:space="preserve">2.4. Computational Environment and Inference</w:t>
      </w:r>
    </w:p>
    <w:p>
      <w:pPr>
        <w:pStyle w:val="FirstParagraph"/>
      </w:pPr>
      <w:r>
        <w:t xml:space="preserve">Model training and heavy preprocessing workloads were orchestrated as distributed containerized jobs via Kubernetes on the CESNET MetaCentrum High-Performance Computing cluster, utilizing NVIDIA A100 and A40 Tensor Core GPUs. Post-inference, the pipeline reconstructs the</w:t>
      </w:r>
      <w:r>
        <w:t xml:space="preserve"> </w:t>
      </w:r>
      <m:oMath>
        <m:r>
          <m:t>640</m:t>
        </m:r>
        <m:r>
          <m:rPr>
            <m:sty m:val="p"/>
          </m:rPr>
          <m:t>×</m:t>
        </m:r>
        <m:r>
          <m:t>640</m:t>
        </m:r>
      </m:oMath>
      <w:r>
        <w:t xml:space="preserve"> </w:t>
      </w:r>
      <w:r>
        <w:t xml:space="preserve">predictions into downscaled</w:t>
      </w:r>
      <w:r>
        <w:t xml:space="preserve"> </w:t>
      </w:r>
      <m:oMath>
        <m:r>
          <m:t>2000</m:t>
        </m:r>
      </m:oMath>
      <w:r>
        <w:t xml:space="preserve">-pixel macro-stitches with superimposed polygon masks for rapid visual verification, alongside tabular CSV exports containing spatial coordinates and morphological area (</w:t>
      </w:r>
      <m:oMath>
        <m:r>
          <m:t>μ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) metrics for each detected grain.</w:t>
      </w:r>
    </w:p>
    <w:bookmarkEnd w:id="23"/>
    <w:bookmarkEnd w:id="24"/>
    <w:bookmarkStart w:id="28" w:name="results"/>
    <w:p>
      <w:pPr>
        <w:pStyle w:val="Heading1"/>
      </w:pPr>
      <w:r>
        <w:t xml:space="preserve">3. Results</w:t>
      </w:r>
    </w:p>
    <w:bookmarkStart w:id="25" w:name="verifying-annotations"/>
    <w:p>
      <w:pPr>
        <w:pStyle w:val="Heading2"/>
      </w:pPr>
      <w:r>
        <w:t xml:space="preserve">🔍 Verifying Annotations</w:t>
      </w:r>
    </w:p>
    <w:p>
      <w:pPr>
        <w:pStyle w:val="FirstParagraph"/>
      </w:pPr>
      <w:r>
        <w:t xml:space="preserve">To confirm the quality of the pseudo-labeled segmentations, use the</w:t>
      </w:r>
      <w:r>
        <w:t xml:space="preserve"> </w:t>
      </w:r>
      <w:r>
        <w:rPr>
          <w:rStyle w:val="VerbatimChar"/>
        </w:rPr>
        <w:t xml:space="preserve">visualize_labels.py</w:t>
      </w:r>
      <w:r>
        <w:t xml:space="preserve"> </w:t>
      </w:r>
      <w:r>
        <w:t xml:space="preserve">script: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src/visualize_labels.py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--images</w:t>
      </w:r>
      <w:r>
        <w:rPr>
          <w:rStyle w:val="NormalTok"/>
        </w:rPr>
        <w:t xml:space="preserve"> ./dataset_ran_ado/train/images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./dataset_ran_ado/train/labels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./verification_viz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--num</w:t>
      </w:r>
      <w:r>
        <w:rPr>
          <w:rStyle w:val="NormalTok"/>
        </w:rPr>
        <w:t xml:space="preserve"> 20</w:t>
      </w:r>
    </w:p>
    <w:p>
      <w:pPr>
        <w:pStyle w:val="FirstParagraph"/>
      </w:pPr>
      <w:r>
        <w:t xml:space="preserve">This will generate 20 random samples in</w:t>
      </w:r>
      <w:r>
        <w:t xml:space="preserve"> </w:t>
      </w:r>
      <w:r>
        <w:rPr>
          <w:rStyle w:val="VerbatimChar"/>
        </w:rPr>
        <w:t xml:space="preserve">./verification_viz</w:t>
      </w:r>
      <w:r>
        <w:t xml:space="preserve"> </w:t>
      </w:r>
      <w:r>
        <w:t xml:space="preserve">with the segmentation polygons overlaid on the tiles. Inspect these images to ensure:</w:t>
      </w:r>
      <w:r>
        <w:t xml:space="preserve"> </w:t>
      </w:r>
      <w:r>
        <w:t xml:space="preserve">1. Polygons tightly fit the pollen grains.</w:t>
      </w:r>
      <w:r>
        <w:t xml:space="preserve"> </w:t>
      </w:r>
      <w:r>
        <w:t xml:space="preserve">2. The species classification is correct.</w:t>
      </w:r>
      <w:r>
        <w:t xml:space="preserve"> </w:t>
      </w:r>
      <w:r>
        <w:t xml:space="preserve">3. No significant background noise is being labeled.</w:t>
      </w:r>
    </w:p>
    <w:bookmarkEnd w:id="25"/>
    <w:bookmarkStart w:id="26" w:name="remote-storage"/>
    <w:p>
      <w:pPr>
        <w:pStyle w:val="Heading2"/>
      </w:pPr>
      <w:r>
        <w:t xml:space="preserve">☁️ Remote Storage</w:t>
      </w:r>
    </w:p>
    <w:p>
      <w:pPr>
        <w:pStyle w:val="FirstParagraph"/>
      </w:pPr>
      <w:r>
        <w:t xml:space="preserve">Full datasets and models are stored on CESNET S3: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Bucket</w:t>
      </w:r>
      <w:r>
        <w:t xml:space="preserve">:</w:t>
      </w:r>
      <w:r>
        <w:t xml:space="preserve"> </w:t>
      </w:r>
      <w:r>
        <w:rPr>
          <w:rStyle w:val="VerbatimChar"/>
        </w:rPr>
        <w:t xml:space="preserve">bucket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PEG/Colorado/Staged_area/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PEG/Colorado/Detected/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PEG/Colorado/trained_models/</w:t>
      </w:r>
    </w:p>
    <w:bookmarkEnd w:id="26"/>
    <w:bookmarkStart w:id="27" w:name="species-dataset-configuration"/>
    <w:p>
      <w:pPr>
        <w:pStyle w:val="Heading2"/>
      </w:pPr>
      <w:r>
        <w:t xml:space="preserve">⚙️ Species Dataset Configuration</w:t>
      </w:r>
    </w:p>
    <w:p>
      <w:pPr>
        <w:pStyle w:val="FirstParagraph"/>
      </w:pPr>
      <w:r>
        <w:t xml:space="preserve">To give users full dynamic control over the massive Multi-Species model index, the dataset taxonomy has been completely decoupled from the codebase into an external configuration manifest.</w:t>
      </w:r>
    </w:p>
    <w:p>
      <w:pPr>
        <w:pStyle w:val="BodyText"/>
      </w:pPr>
      <w:r>
        <w:t xml:space="preserve">You can freely inject, override, or classify new species targets (e.g. </w:t>
      </w:r>
      <w:r>
        <w:rPr>
          <w:rStyle w:val="VerbatimChar"/>
        </w:rPr>
        <w:t xml:space="preserve">Gen_alg</w:t>
      </w:r>
      <w:r>
        <w:t xml:space="preserve">) by editing the</w:t>
      </w:r>
      <w:r>
        <w:t xml:space="preserve"> </w:t>
      </w:r>
      <w:r>
        <w:rPr>
          <w:rStyle w:val="VerbatimChar"/>
        </w:rPr>
        <w:t xml:space="preserve">src/species_manifest.csv</w:t>
      </w:r>
      <w:r>
        <w:t xml:space="preserve"> </w:t>
      </w:r>
      <w:r>
        <w:t xml:space="preserve">file mapping directly inside this repository.</w:t>
      </w:r>
    </w:p>
    <w:p>
      <w:pPr>
        <w:pStyle w:val="BodyText"/>
      </w:pPr>
      <w:r>
        <w:t xml:space="preserve">The Kubernetes pipeline seamlessly syncs this mapping table upon build and natively routes CZI binary processing identically to the table rules without needing deep-code interventions.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Colorado Pollen Detection: Methods and Results</dc:title>
  <dc:creator/>
  <cp:keywords/>
  <dcterms:created xsi:type="dcterms:W3CDTF">2026-08-01T09:13:57Z</dcterms:created>
  <dcterms:modified xsi:type="dcterms:W3CDTF">2026-08-01T09:13:57Z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