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FC88" w14:textId="3799DD08" w:rsidR="00CF2F0E" w:rsidRDefault="00C26170" w:rsidP="00C26170">
      <w:pPr>
        <w:pStyle w:val="Tytu"/>
        <w:jc w:val="center"/>
      </w:pPr>
      <w:r>
        <w:t>Sprawozdanie z projektu SSN</w:t>
      </w:r>
    </w:p>
    <w:p w14:paraId="7F63E711" w14:textId="52D55009" w:rsidR="00C26170" w:rsidRDefault="00C26170" w:rsidP="00C26170">
      <w:pPr>
        <w:pStyle w:val="Tytu"/>
        <w:jc w:val="center"/>
        <w:rPr>
          <w:sz w:val="52"/>
          <w:szCs w:val="52"/>
        </w:rPr>
      </w:pPr>
      <w:r w:rsidRPr="00C26170">
        <w:rPr>
          <w:sz w:val="52"/>
          <w:szCs w:val="52"/>
        </w:rPr>
        <w:t>Predykcja wieku krabów</w:t>
      </w:r>
    </w:p>
    <w:p w14:paraId="42FADC74" w14:textId="4E264636" w:rsidR="00C26170" w:rsidRDefault="00C26170" w:rsidP="00C26170">
      <w:pPr>
        <w:pStyle w:val="Podtytu"/>
        <w:jc w:val="center"/>
      </w:pPr>
      <w:r>
        <w:t>Jakub Zięba, Łukasz Pyrek, Albert Pieniądz</w:t>
      </w:r>
    </w:p>
    <w:p w14:paraId="6565FB3C" w14:textId="61492D83" w:rsidR="00C26170" w:rsidRDefault="00C26170" w:rsidP="00C26170">
      <w:pPr>
        <w:pStyle w:val="Nagwek1"/>
      </w:pPr>
      <w:r>
        <w:t>Opis problemu</w:t>
      </w:r>
    </w:p>
    <w:p w14:paraId="093D0F9D" w14:textId="465FE873" w:rsidR="00EF6CE8" w:rsidRPr="00C26170" w:rsidRDefault="00C26170" w:rsidP="00EF6CE8">
      <w:pPr>
        <w:jc w:val="both"/>
      </w:pPr>
      <w:r>
        <w:t xml:space="preserve">Wybrany przez naszą grupę problem dotyczy </w:t>
      </w:r>
      <w:r w:rsidR="00B328E1">
        <w:t xml:space="preserve">określenia wieku krabów błotnych na podstawie fizycznych cech przedstawicieli gatunku, takich jak płeć, długość ciała, średnica zwierzęcia i jego wysokość, waga całkowita lub bez skorupy oraz waga organów wewnętrznych lub samej skorupy. Problem ten poza zastosowaniem go jako jeden z tematów do nauki sztucznych sieci neuronowych ma też zastosowanie ekologiczne oraz biznesowe. Wiele gatunków krabów jest zagrożonych wyginięciem, co stawia ekologów przed ciężkim zadaniem </w:t>
      </w:r>
      <w:r w:rsidR="00301F88">
        <w:t xml:space="preserve">ich </w:t>
      </w:r>
      <w:r w:rsidR="00B328E1">
        <w:t xml:space="preserve">ochrony. Prawidłowe określenie wieku osobnika jest w stanie bardzo mocno ułatwić ten proces, m.in. poprzez ułatwienie określenia gotowości do rozmnażania czy też przewidywanej dalszej długości życia stworzenia. O ile kraby błotne nie są jednym z gatunków zagrożonych, to dysponując odpowiednimi danymi można w prosty sposób zmienić przedmiot nauki sieci, tak aby faktycznie odpowiadała temu problemowi. Jeśli chodzi o zastosowanie biznesowe, w tym przypadku badanie krabów błotnych jest jak najbardziej na miejscu, ponieważ stanowią one dużą część komercyjnie hodowanych </w:t>
      </w:r>
      <w:r w:rsidR="00957D08">
        <w:t>skorupiaków</w:t>
      </w:r>
      <w:r w:rsidR="00B328E1">
        <w:t>.</w:t>
      </w:r>
      <w:r w:rsidR="00957D08">
        <w:t xml:space="preserve"> Poprawne określenie wieku zwierząt pozwala hodowcą odłowić je w optymalnym momencie, ponieważ odławianie zbyt młodych krabów powoduje, że nie dorastają do odpowiednich rozmiarów, co bezpośrednio oddziałuj</w:t>
      </w:r>
      <w:r w:rsidR="00301F88">
        <w:t>e</w:t>
      </w:r>
      <w:r w:rsidR="00957D08">
        <w:t xml:space="preserve"> na ich cenę. Podobnie odławianie osobników zbyt późno powoduje, że od pewnego momentu przestają istotnie rosnąć, a więc utrzymywanie takich osobników generuje niepotrzebne koszty i nie przynosi dodatkowego zysku.</w:t>
      </w:r>
    </w:p>
    <w:p w14:paraId="465A54CB" w14:textId="56B1C986" w:rsidR="00C26170" w:rsidRDefault="00C26170" w:rsidP="00C26170">
      <w:pPr>
        <w:pStyle w:val="Nagwek1"/>
      </w:pPr>
      <w:r>
        <w:t>Przegląd literatury</w:t>
      </w:r>
    </w:p>
    <w:p w14:paraId="01D5F50F" w14:textId="77777777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T. H. Butler, </w:t>
      </w:r>
      <w:r w:rsidR="00C05863" w:rsidRPr="00C265A6">
        <w:rPr>
          <w:lang w:val="en-US"/>
        </w:rPr>
        <w:t xml:space="preserve">„Growth and Age Determination of the Pacific Edible Crab Cancer magister Dana” </w:t>
      </w:r>
    </w:p>
    <w:p w14:paraId="69A001CA" w14:textId="56F13DC1" w:rsidR="00301F88" w:rsidRDefault="00E527F8" w:rsidP="00EF6CE8">
      <w:pPr>
        <w:jc w:val="both"/>
      </w:pPr>
      <w:r>
        <w:t>Badanie o</w:t>
      </w:r>
      <w:r w:rsidR="00C05863">
        <w:t xml:space="preserve">dnosi się stricte do estymacji wzrostu krabów gatunku </w:t>
      </w:r>
      <w:proofErr w:type="spellStart"/>
      <w:r w:rsidR="00C05863">
        <w:t>Cancer</w:t>
      </w:r>
      <w:proofErr w:type="spellEnd"/>
      <w:r w:rsidR="00C05863">
        <w:t xml:space="preserve"> magister Dana względem ich wieku. </w:t>
      </w:r>
    </w:p>
    <w:p w14:paraId="4F18835D" w14:textId="77777777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Raouf Kilada, Bernard Sainte-Marie, Rémy Rochette, Neill Davis, Caroline Vanier, Steven Campana, </w:t>
      </w:r>
      <w:r w:rsidR="00C05863" w:rsidRPr="00C265A6">
        <w:rPr>
          <w:lang w:val="en-US"/>
        </w:rPr>
        <w:t>„Direct determination of age in shrimps, crabs, and lobsters”</w:t>
      </w:r>
    </w:p>
    <w:p w14:paraId="73B523C4" w14:textId="2D8560D6" w:rsidR="00E652E8" w:rsidRDefault="00E527F8" w:rsidP="00EF6CE8">
      <w:pPr>
        <w:jc w:val="both"/>
      </w:pPr>
      <w:r>
        <w:t>Badanie p</w:t>
      </w:r>
      <w:r w:rsidR="00C05863">
        <w:t xml:space="preserve">ochyla się nad problemem </w:t>
      </w:r>
      <w:r w:rsidR="00E652E8">
        <w:t xml:space="preserve">określania populacji i zarządzania nią dla różnych gatunków krewetek, raków i właśnie krabów. </w:t>
      </w:r>
    </w:p>
    <w:p w14:paraId="248C7A3D" w14:textId="7E4650E6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William E. Donaldson, R. T. Cooney, J. R. Hilsinger, </w:t>
      </w:r>
      <w:r w:rsidR="00E652E8" w:rsidRPr="00C265A6">
        <w:rPr>
          <w:lang w:val="en-US"/>
        </w:rPr>
        <w:t xml:space="preserve">„Growth, Age and Size at Maturity of Tanner Crab, Chionoecetes </w:t>
      </w:r>
      <w:proofErr w:type="spellStart"/>
      <w:r w:rsidR="00E652E8" w:rsidRPr="00C265A6">
        <w:rPr>
          <w:lang w:val="en-US"/>
        </w:rPr>
        <w:t>bairdi</w:t>
      </w:r>
      <w:proofErr w:type="spellEnd"/>
      <w:r w:rsidR="00E652E8" w:rsidRPr="00C265A6">
        <w:rPr>
          <w:lang w:val="en-US"/>
        </w:rPr>
        <w:t xml:space="preserve"> M. J. Rathbun, in the Northern Gulf of Alaska (Decapoda, Brachyura)”</w:t>
      </w:r>
    </w:p>
    <w:p w14:paraId="309B5B31" w14:textId="48B9897B" w:rsidR="00E652E8" w:rsidRDefault="00E527F8" w:rsidP="00EF6CE8">
      <w:pPr>
        <w:jc w:val="both"/>
      </w:pPr>
      <w:r>
        <w:t>Badanie s</w:t>
      </w:r>
      <w:r w:rsidR="00E652E8">
        <w:t xml:space="preserve">kupia się na określeniu wskaźników estymujących wzrost, rozmiar i wiek krabów Tannera na Alasce, wartości niezbędnych do naukowego zarządzania gatunkiem. </w:t>
      </w:r>
    </w:p>
    <w:p w14:paraId="424B64A0" w14:textId="77777777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Alexander G. </w:t>
      </w:r>
      <w:proofErr w:type="spellStart"/>
      <w:r w:rsidRPr="00C265A6">
        <w:rPr>
          <w:lang w:val="en-US"/>
        </w:rPr>
        <w:t>Dvoretsky</w:t>
      </w:r>
      <w:proofErr w:type="spellEnd"/>
      <w:r w:rsidRPr="00C265A6">
        <w:rPr>
          <w:lang w:val="en-US"/>
        </w:rPr>
        <w:t xml:space="preserve">, Vladimir G. </w:t>
      </w:r>
      <w:proofErr w:type="spellStart"/>
      <w:r w:rsidRPr="00C265A6">
        <w:rPr>
          <w:lang w:val="en-US"/>
        </w:rPr>
        <w:t>Dvoretsky</w:t>
      </w:r>
      <w:proofErr w:type="spellEnd"/>
      <w:r w:rsidRPr="00C265A6">
        <w:rPr>
          <w:lang w:val="en-US"/>
        </w:rPr>
        <w:t xml:space="preserve">, </w:t>
      </w:r>
      <w:r w:rsidR="00E652E8" w:rsidRPr="00C265A6">
        <w:rPr>
          <w:lang w:val="en-US"/>
        </w:rPr>
        <w:t xml:space="preserve">„Size-at-age of juvenile red king crab Paralithodes </w:t>
      </w:r>
      <w:proofErr w:type="spellStart"/>
      <w:r w:rsidR="00E652E8" w:rsidRPr="00C265A6">
        <w:rPr>
          <w:lang w:val="en-US"/>
        </w:rPr>
        <w:t>camtschaticus</w:t>
      </w:r>
      <w:proofErr w:type="spellEnd"/>
      <w:r w:rsidR="00E652E8" w:rsidRPr="00C265A6">
        <w:rPr>
          <w:lang w:val="en-US"/>
        </w:rPr>
        <w:t xml:space="preserve"> (</w:t>
      </w:r>
      <w:proofErr w:type="spellStart"/>
      <w:r w:rsidR="00E652E8" w:rsidRPr="00C265A6">
        <w:rPr>
          <w:lang w:val="en-US"/>
        </w:rPr>
        <w:t>Tilesius</w:t>
      </w:r>
      <w:proofErr w:type="spellEnd"/>
      <w:r w:rsidR="00E652E8" w:rsidRPr="00C265A6">
        <w:rPr>
          <w:lang w:val="en-US"/>
        </w:rPr>
        <w:t>, 1815) in the coastal Barents Sea”</w:t>
      </w:r>
    </w:p>
    <w:p w14:paraId="6571134A" w14:textId="501B4DAA" w:rsidR="00E652E8" w:rsidRDefault="00E527F8" w:rsidP="00EF6CE8">
      <w:pPr>
        <w:jc w:val="both"/>
      </w:pPr>
      <w:r>
        <w:t>Badanie o</w:t>
      </w:r>
      <w:r w:rsidR="00E652E8">
        <w:t xml:space="preserve">dnosi się do asocjacji rozmiaru czerwonych krabów królewskich do ich wieku pod wpływem różnych zmiennych. </w:t>
      </w:r>
    </w:p>
    <w:p w14:paraId="01ED04B9" w14:textId="77777777" w:rsidR="00E527F8" w:rsidRPr="00C265A6" w:rsidRDefault="00E527F8" w:rsidP="00E527F8">
      <w:pPr>
        <w:pStyle w:val="Akapitzlist"/>
        <w:numPr>
          <w:ilvl w:val="0"/>
          <w:numId w:val="1"/>
        </w:numPr>
        <w:rPr>
          <w:lang w:val="en-US"/>
        </w:rPr>
      </w:pPr>
      <w:r w:rsidRPr="00C265A6">
        <w:rPr>
          <w:lang w:val="en-US"/>
        </w:rPr>
        <w:lastRenderedPageBreak/>
        <w:t>J</w:t>
      </w:r>
      <w:r w:rsidRPr="00C265A6">
        <w:rPr>
          <w:rStyle w:val="author-name"/>
          <w:lang w:val="en-US"/>
        </w:rPr>
        <w:t>esse Leland</w:t>
      </w:r>
      <w:r w:rsidRPr="00C265A6">
        <w:rPr>
          <w:rStyle w:val="ng-star-inserted"/>
          <w:lang w:val="en-US"/>
        </w:rPr>
        <w:t xml:space="preserve">, </w:t>
      </w:r>
      <w:r w:rsidRPr="00C265A6">
        <w:rPr>
          <w:rStyle w:val="author-name"/>
          <w:lang w:val="en-US"/>
        </w:rPr>
        <w:t xml:space="preserve">Daniel Bucher, </w:t>
      </w:r>
      <w:r w:rsidR="00E652E8" w:rsidRPr="00C265A6">
        <w:rPr>
          <w:lang w:val="en-US"/>
        </w:rPr>
        <w:t>„Direct age determination with validation for commercially important Australian lobster and crab species: Western, Eastern, Southern and Ornate Rock Lobsters and Crystal, Giant and Mud Crabs”</w:t>
      </w:r>
    </w:p>
    <w:p w14:paraId="3BAC322A" w14:textId="187CE533" w:rsidR="00E652E8" w:rsidRDefault="00E527F8" w:rsidP="00EF6CE8">
      <w:pPr>
        <w:jc w:val="both"/>
        <w:rPr>
          <w:rStyle w:val="author-name"/>
        </w:rPr>
      </w:pPr>
      <w:r>
        <w:rPr>
          <w:rStyle w:val="author-name"/>
        </w:rPr>
        <w:t>Publikacja b</w:t>
      </w:r>
      <w:r w:rsidR="00E652E8">
        <w:rPr>
          <w:rStyle w:val="author-name"/>
        </w:rPr>
        <w:t xml:space="preserve">ada temat określania wieku różnych gatunków skorupiaków, w tym krabów błotnych, którymi my sami się zajmujemy. Jest to najbliższy temat naszemu, również skupiający się na biznesowej istotności rozwiązania tego problemu. </w:t>
      </w:r>
    </w:p>
    <w:p w14:paraId="146EFE22" w14:textId="77777777" w:rsidR="00E527F8" w:rsidRPr="00C265A6" w:rsidRDefault="00E527F8" w:rsidP="00E527F8">
      <w:pPr>
        <w:pStyle w:val="Akapitzlist"/>
        <w:numPr>
          <w:ilvl w:val="0"/>
          <w:numId w:val="1"/>
        </w:numPr>
        <w:rPr>
          <w:rStyle w:val="author-name"/>
          <w:lang w:val="en-US"/>
        </w:rPr>
      </w:pPr>
      <w:r w:rsidRPr="00C265A6">
        <w:rPr>
          <w:rStyle w:val="author-name"/>
          <w:lang w:val="en-US"/>
        </w:rPr>
        <w:t xml:space="preserve">C. Viswanathan, M. </w:t>
      </w:r>
      <w:proofErr w:type="spellStart"/>
      <w:r w:rsidRPr="00C265A6">
        <w:rPr>
          <w:rStyle w:val="author-name"/>
          <w:lang w:val="en-US"/>
        </w:rPr>
        <w:t>Pravinkumar</w:t>
      </w:r>
      <w:proofErr w:type="spellEnd"/>
      <w:r w:rsidRPr="00C265A6">
        <w:rPr>
          <w:rStyle w:val="author-name"/>
          <w:lang w:val="en-US"/>
        </w:rPr>
        <w:t xml:space="preserve">, T.V. Suresh, V. Elumalai, S.M. Raffi , </w:t>
      </w:r>
      <w:r w:rsidR="0057035C" w:rsidRPr="00C265A6">
        <w:rPr>
          <w:rStyle w:val="author-name"/>
          <w:lang w:val="en-US"/>
        </w:rPr>
        <w:t>„Carapace width-weight relationship, age, growth and longevity of the mud crab Scylla olivacea (Herbst, 1796) in the Pichavaram mangroves, south-east India”</w:t>
      </w:r>
    </w:p>
    <w:p w14:paraId="50046728" w14:textId="39F08162" w:rsidR="0057035C" w:rsidRDefault="00E527F8" w:rsidP="00EF6CE8">
      <w:pPr>
        <w:jc w:val="both"/>
        <w:rPr>
          <w:rStyle w:val="author-name"/>
        </w:rPr>
      </w:pPr>
      <w:r>
        <w:rPr>
          <w:rStyle w:val="author-name"/>
        </w:rPr>
        <w:t>Badanie r</w:t>
      </w:r>
      <w:r w:rsidR="0057035C">
        <w:rPr>
          <w:rStyle w:val="author-name"/>
        </w:rPr>
        <w:t>ównież skupia się na określeniu relacji między różnymi wymiarami krabów błotnych a ich wiekiem, wzrostem i przewidywaną długością życia.</w:t>
      </w:r>
    </w:p>
    <w:p w14:paraId="53296677" w14:textId="75015700" w:rsidR="0057035C" w:rsidRDefault="0057035C" w:rsidP="00EF6CE8">
      <w:pPr>
        <w:jc w:val="both"/>
        <w:rPr>
          <w:rStyle w:val="author-name"/>
        </w:rPr>
      </w:pPr>
      <w:r>
        <w:rPr>
          <w:rStyle w:val="author-name"/>
        </w:rPr>
        <w:t>Jak widać na załączonych wyżej przykładach, różne gatunki krabów są poddawane podobnym badaniom, z powodów takich jak chęć klasyfikacji i zarządzania gatunkami, ochrony zagrożonych gatunków czy właśnie z powodu ich znaczenia biznesowego w danym obszarze. Nie we wszystkich przypadkach rozwiązywany problem jest jednakowy</w:t>
      </w:r>
      <w:r w:rsidR="00546852">
        <w:rPr>
          <w:rStyle w:val="author-name"/>
        </w:rPr>
        <w:t xml:space="preserve"> i może mieć również odmienne cele</w:t>
      </w:r>
      <w:r>
        <w:rPr>
          <w:rStyle w:val="author-name"/>
        </w:rPr>
        <w:t>, jednak każdy z nich dotyczy krabów oraz powiązania między pewnymi ich cechami oraz wiekiem.</w:t>
      </w:r>
    </w:p>
    <w:p w14:paraId="3B4E3148" w14:textId="45239FDA" w:rsidR="00C265A6" w:rsidRDefault="00C265A6" w:rsidP="00C265A6">
      <w:pPr>
        <w:pStyle w:val="Nagwek1"/>
        <w:rPr>
          <w:rStyle w:val="author-name"/>
        </w:rPr>
      </w:pPr>
      <w:r>
        <w:rPr>
          <w:rStyle w:val="author-name"/>
        </w:rPr>
        <w:t>Analiza parametrów</w:t>
      </w:r>
    </w:p>
    <w:p w14:paraId="73DE255C" w14:textId="6B564C42" w:rsidR="00C265A6" w:rsidRDefault="00C265A6" w:rsidP="00EF6CE8">
      <w:pPr>
        <w:jc w:val="both"/>
      </w:pPr>
      <w:r>
        <w:t>W celu predykcji wieku kraba będziemy korzystać z jednokierunkowej, wielowarstwowej sztucznej sieci neuronowej.</w:t>
      </w:r>
      <w:r w:rsidR="00821B08">
        <w:t xml:space="preserve"> Dla warstwy wyjściowej nie zostaje użyta żadna funkcja aktywacyjna.</w:t>
      </w:r>
      <w:r>
        <w:t xml:space="preserve"> Trenowanie sieci następuje poprzez użycie metody gradientu prostego dla którego jeden krok w celu zmniejszenia funkcji kosztu jest oblicz</w:t>
      </w:r>
      <w:r w:rsidR="00BC35EF">
        <w:t>a</w:t>
      </w:r>
      <w:r>
        <w:t>ny z całego zbioru uczącego (</w:t>
      </w:r>
      <w:proofErr w:type="spellStart"/>
      <w:r>
        <w:t>batch</w:t>
      </w:r>
      <w:proofErr w:type="spellEnd"/>
      <w:r>
        <w:t xml:space="preserve"> gradient </w:t>
      </w:r>
      <w:proofErr w:type="spellStart"/>
      <w:r>
        <w:t>descent</w:t>
      </w:r>
      <w:proofErr w:type="spellEnd"/>
      <w:r>
        <w:t xml:space="preserve">). </w:t>
      </w:r>
      <w:r w:rsidR="00BC35EF">
        <w:t>Zbiór treningowy i testowy jest podzielony w proporcjach 80%:20%. Oceną skuteczności modelu jest błąd średniokwadratowy (MSE) dla zbioru testowego.</w:t>
      </w:r>
      <w:r w:rsidR="00EF6CE8">
        <w:t xml:space="preserve"> Dane zostały znormalizowane.</w:t>
      </w:r>
    </w:p>
    <w:p w14:paraId="442F4030" w14:textId="2FE1AB22" w:rsidR="00F46E33" w:rsidRDefault="00BC35EF" w:rsidP="00EF6CE8">
      <w:pPr>
        <w:jc w:val="both"/>
      </w:pPr>
      <w:r>
        <w:t xml:space="preserve">W celu znalezienia modelu z najmniejszym błędem średniokwadratowym dla zbioru testowego </w:t>
      </w:r>
      <w:r w:rsidR="00F46E33">
        <w:t>zostaną przeanalizowane różne wartości następujących parametrów:</w:t>
      </w:r>
    </w:p>
    <w:p w14:paraId="72D57B22" w14:textId="28444157" w:rsidR="00F46E33" w:rsidRDefault="00F46E33" w:rsidP="00EF6CE8">
      <w:pPr>
        <w:jc w:val="both"/>
      </w:pPr>
      <w:r>
        <w:t>- ilość warstw ukrytych</w:t>
      </w:r>
      <w:r w:rsidR="0002350D">
        <w:t xml:space="preserve"> – </w:t>
      </w:r>
      <w:r w:rsidR="0055395E">
        <w:t>[</w:t>
      </w:r>
      <w:r w:rsidR="0002350D">
        <w:t>1, 2, 3, 4</w:t>
      </w:r>
      <w:r w:rsidR="0055395E">
        <w:t>]</w:t>
      </w:r>
    </w:p>
    <w:p w14:paraId="320F0FD2" w14:textId="4A79973F" w:rsidR="00F46E33" w:rsidRDefault="00F46E33" w:rsidP="00EF6CE8">
      <w:pPr>
        <w:jc w:val="both"/>
      </w:pPr>
      <w:r>
        <w:t>- ilość neuronów</w:t>
      </w:r>
      <w:r w:rsidR="0002350D">
        <w:t xml:space="preserve"> </w:t>
      </w:r>
      <w:r w:rsidR="0055395E">
        <w:t>–</w:t>
      </w:r>
      <w:r w:rsidR="0002350D">
        <w:t xml:space="preserve"> </w:t>
      </w:r>
      <w:r w:rsidR="0055395E">
        <w:t>[</w:t>
      </w:r>
      <w:r w:rsidR="0002350D">
        <w:t>4, 8, 16, 32</w:t>
      </w:r>
      <w:r w:rsidR="0055395E">
        <w:t>]</w:t>
      </w:r>
    </w:p>
    <w:p w14:paraId="2BDF0847" w14:textId="217DC943" w:rsidR="00F46E33" w:rsidRDefault="00F46E33" w:rsidP="00EF6CE8">
      <w:pPr>
        <w:jc w:val="both"/>
        <w:rPr>
          <w:i/>
          <w:iCs/>
        </w:rPr>
      </w:pPr>
      <w:r>
        <w:t xml:space="preserve">- funkcje aktywacji – </w:t>
      </w:r>
      <w:r w:rsidR="0055395E">
        <w:t>[</w:t>
      </w:r>
      <w:proofErr w:type="spellStart"/>
      <w:r w:rsidRPr="00F46E33">
        <w:rPr>
          <w:i/>
          <w:iCs/>
        </w:rPr>
        <w:t>ReLU</w:t>
      </w:r>
      <w:proofErr w:type="spellEnd"/>
      <w:r w:rsidRPr="00F46E33">
        <w:rPr>
          <w:i/>
          <w:iCs/>
        </w:rPr>
        <w:t xml:space="preserve">, </w:t>
      </w:r>
      <w:proofErr w:type="spellStart"/>
      <w:r w:rsidRPr="00F46E33">
        <w:rPr>
          <w:i/>
          <w:iCs/>
        </w:rPr>
        <w:t>Leaky</w:t>
      </w:r>
      <w:proofErr w:type="spellEnd"/>
      <w:r w:rsidRPr="00F46E33">
        <w:rPr>
          <w:i/>
          <w:iCs/>
        </w:rPr>
        <w:t xml:space="preserve"> </w:t>
      </w:r>
      <w:proofErr w:type="spellStart"/>
      <w:r w:rsidRPr="00F46E33">
        <w:rPr>
          <w:i/>
          <w:iCs/>
        </w:rPr>
        <w:t>ReLU</w:t>
      </w:r>
      <w:proofErr w:type="spellEnd"/>
      <w:r w:rsidRPr="00F46E33">
        <w:rPr>
          <w:i/>
          <w:iCs/>
        </w:rPr>
        <w:t xml:space="preserve">, </w:t>
      </w:r>
      <w:proofErr w:type="spellStart"/>
      <w:r w:rsidRPr="00F46E33">
        <w:rPr>
          <w:i/>
          <w:iCs/>
        </w:rPr>
        <w:t>S</w:t>
      </w:r>
      <w:r w:rsidR="0055395E">
        <w:rPr>
          <w:i/>
          <w:iCs/>
        </w:rPr>
        <w:t>oftplus</w:t>
      </w:r>
      <w:proofErr w:type="spellEnd"/>
      <w:r w:rsidR="0055395E">
        <w:rPr>
          <w:i/>
          <w:iCs/>
        </w:rPr>
        <w:t xml:space="preserve">, </w:t>
      </w:r>
      <w:proofErr w:type="spellStart"/>
      <w:r w:rsidR="0055395E">
        <w:rPr>
          <w:i/>
          <w:iCs/>
        </w:rPr>
        <w:t>Sigmoid</w:t>
      </w:r>
      <w:proofErr w:type="spellEnd"/>
      <w:r w:rsidR="0055395E">
        <w:rPr>
          <w:i/>
          <w:iCs/>
        </w:rPr>
        <w:t>]</w:t>
      </w:r>
    </w:p>
    <w:p w14:paraId="0E0C087D" w14:textId="2D9481B6" w:rsidR="00F46E33" w:rsidRDefault="00F46E33" w:rsidP="00EF6CE8">
      <w:pPr>
        <w:jc w:val="both"/>
      </w:pPr>
      <w:r>
        <w:t xml:space="preserve">Dla każdej kombinacji parametrów model zostanie nauczony </w:t>
      </w:r>
      <w:r w:rsidR="00A90908">
        <w:t xml:space="preserve">dla </w:t>
      </w:r>
      <w:r w:rsidR="00821B08">
        <w:t>szybkości uczenia równemu 0.0001 Uczenie sieci neuronowych jest procesem stochastycznym dlatego każdy model zostanie nauczony 4 razy</w:t>
      </w:r>
      <w:r w:rsidR="0002350D">
        <w:t>.</w:t>
      </w:r>
      <w:r w:rsidR="00821B08">
        <w:t xml:space="preserve"> </w:t>
      </w:r>
    </w:p>
    <w:p w14:paraId="1B42A6DE" w14:textId="203FE2CF" w:rsidR="00BC4A32" w:rsidRDefault="00BC4A32" w:rsidP="00EF6CE8">
      <w:pPr>
        <w:jc w:val="both"/>
      </w:pPr>
      <w:r>
        <w:t xml:space="preserve">Na początku </w:t>
      </w:r>
      <w:r w:rsidR="00C74064">
        <w:t xml:space="preserve">znajdziemy </w:t>
      </w:r>
      <w:r>
        <w:t xml:space="preserve">optymalną ilość warstw i neuronów, w tym celu sprawdzimy </w:t>
      </w:r>
      <w:r w:rsidR="00F916D7">
        <w:t>64</w:t>
      </w:r>
      <w:r>
        <w:t xml:space="preserve"> modeli (</w:t>
      </w:r>
      <w:r w:rsidR="00F916D7">
        <w:t>16</w:t>
      </w:r>
      <w:r>
        <w:t xml:space="preserve"> kombinacj</w:t>
      </w:r>
      <w:r w:rsidR="00F916D7">
        <w:t>i</w:t>
      </w:r>
      <w:r>
        <w:t xml:space="preserve"> parametrów, każda po 4 razy)</w:t>
      </w:r>
      <w:r w:rsidR="00F916D7">
        <w:t xml:space="preserve">. Trenując modele skorzystamy z najpopularniejszej funkcji aktywacji – </w:t>
      </w:r>
      <w:proofErr w:type="spellStart"/>
      <w:r w:rsidR="00F916D7">
        <w:t>ReLU</w:t>
      </w:r>
      <w:proofErr w:type="spellEnd"/>
      <w:r w:rsidR="00F916D7">
        <w:t xml:space="preserve"> oraz 500 epok.</w:t>
      </w:r>
    </w:p>
    <w:p w14:paraId="1420E60A" w14:textId="77777777" w:rsidR="00F916D7" w:rsidRDefault="00F916D7" w:rsidP="00F46E33">
      <w:pPr>
        <w:jc w:val="both"/>
      </w:pPr>
    </w:p>
    <w:p w14:paraId="4050B419" w14:textId="77777777" w:rsidR="00F916D7" w:rsidRDefault="00F916D7" w:rsidP="00F46E33">
      <w:pPr>
        <w:jc w:val="both"/>
      </w:pPr>
    </w:p>
    <w:p w14:paraId="4600474E" w14:textId="77777777" w:rsidR="00F916D7" w:rsidRDefault="00F916D7" w:rsidP="00F46E33">
      <w:pPr>
        <w:jc w:val="both"/>
      </w:pPr>
    </w:p>
    <w:p w14:paraId="3A64794C" w14:textId="77777777" w:rsidR="00F916D7" w:rsidRDefault="00F916D7" w:rsidP="00F46E33">
      <w:pPr>
        <w:jc w:val="both"/>
      </w:pPr>
    </w:p>
    <w:p w14:paraId="37DBA2BD" w14:textId="499999FD" w:rsidR="009F2BA0" w:rsidRPr="009A2090" w:rsidRDefault="009F2BA0" w:rsidP="009F2BA0">
      <w:pPr>
        <w:pStyle w:val="Legenda"/>
        <w:keepNext/>
        <w:jc w:val="center"/>
        <w:rPr>
          <w:color w:val="auto"/>
        </w:rPr>
      </w:pPr>
      <w:r w:rsidRPr="009A2090">
        <w:rPr>
          <w:color w:val="auto"/>
        </w:rPr>
        <w:lastRenderedPageBreak/>
        <w:t xml:space="preserve">Tabela </w:t>
      </w:r>
      <w:r w:rsidR="00341918" w:rsidRPr="009A2090">
        <w:rPr>
          <w:color w:val="auto"/>
        </w:rPr>
        <w:fldChar w:fldCharType="begin"/>
      </w:r>
      <w:r w:rsidR="00341918" w:rsidRPr="009A2090">
        <w:rPr>
          <w:color w:val="auto"/>
        </w:rPr>
        <w:instrText xml:space="preserve"> SEQ Tabela \* ARABIC </w:instrText>
      </w:r>
      <w:r w:rsidR="00341918" w:rsidRPr="009A2090">
        <w:rPr>
          <w:color w:val="auto"/>
        </w:rPr>
        <w:fldChar w:fldCharType="separate"/>
      </w:r>
      <w:r w:rsidR="00341918" w:rsidRPr="009A2090">
        <w:rPr>
          <w:noProof/>
          <w:color w:val="auto"/>
        </w:rPr>
        <w:t>1</w:t>
      </w:r>
      <w:r w:rsidR="00341918" w:rsidRPr="009A2090">
        <w:rPr>
          <w:color w:val="auto"/>
        </w:rPr>
        <w:fldChar w:fldCharType="end"/>
      </w:r>
      <w:r w:rsidRPr="009A2090">
        <w:rPr>
          <w:color w:val="auto"/>
        </w:rPr>
        <w:t>. 10 najlepszych modeli dla różnych ilości neuronów oraz warstw</w:t>
      </w:r>
    </w:p>
    <w:tbl>
      <w:tblPr>
        <w:tblW w:w="6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440"/>
        <w:gridCol w:w="2200"/>
        <w:gridCol w:w="1540"/>
      </w:tblGrid>
      <w:tr w:rsidR="00F916D7" w:rsidRPr="00F916D7" w14:paraId="1D93ACAF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hideMark/>
          </w:tcPr>
          <w:p w14:paraId="211F5C1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Loss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B1B9F5D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Layers</w:t>
            </w:r>
          </w:p>
        </w:tc>
        <w:tc>
          <w:tcPr>
            <w:tcW w:w="2200" w:type="dxa"/>
            <w:shd w:val="clear" w:color="auto" w:fill="auto"/>
            <w:noWrap/>
            <w:hideMark/>
          </w:tcPr>
          <w:p w14:paraId="7DBD8C8C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Neurons</w:t>
            </w:r>
          </w:p>
        </w:tc>
        <w:tc>
          <w:tcPr>
            <w:tcW w:w="1540" w:type="dxa"/>
            <w:shd w:val="clear" w:color="auto" w:fill="auto"/>
            <w:noWrap/>
            <w:hideMark/>
          </w:tcPr>
          <w:p w14:paraId="6BC5C7EC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Activation</w:t>
            </w:r>
          </w:p>
        </w:tc>
      </w:tr>
      <w:tr w:rsidR="00F916D7" w:rsidRPr="00F916D7" w14:paraId="1CD983E3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548A78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4,622642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750EFB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7091C51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3902B4A" w14:textId="4907E6BA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51F29421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A5525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4,694714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539F6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717122C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B21276E" w14:textId="2B45C191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60DEEC77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29A8C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4,88239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3CBE9F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C69BBEA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F5AFE69" w14:textId="10125054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505041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2287D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4,920865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C2318D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AF3BE06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3CDB0D1" w14:textId="07EB53F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3F10A36E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7AA8BE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4,975367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A85876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D56A619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02ED0E5" w14:textId="4CD2A23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75B7BA9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5A7C5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4,977194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600299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C50730A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559F6BC" w14:textId="52B9D000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3AB96E08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A3FBC8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5,068371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FEE506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A4E7F4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6634E23" w14:textId="2B457A7A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C7C95E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BEF029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5,128494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104B22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A1F231C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16, 16,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7928EC9" w14:textId="5A0274A2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20AA57E2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8F937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5,158242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180554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99158F5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80E88FE" w14:textId="0339DD5D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22CF65A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FA4A4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5,249231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FF483A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1829DC8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16, 16, 16, 16,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AEBCAC9" w14:textId="360B43F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</w:tbl>
    <w:p w14:paraId="58690080" w14:textId="61BCDAB5" w:rsidR="00F916D7" w:rsidRDefault="00F916D7" w:rsidP="00F46E33">
      <w:pPr>
        <w:jc w:val="both"/>
      </w:pPr>
    </w:p>
    <w:p w14:paraId="7ED41ECA" w14:textId="7D8F7627" w:rsidR="00F52651" w:rsidRDefault="00031DDC" w:rsidP="00F46E33">
      <w:pPr>
        <w:jc w:val="both"/>
      </w:pPr>
      <w:r w:rsidRPr="00031DDC">
        <w:t>Osiągamy najlepsze rezultaty, stosując modele o architekturze posiadającej 2-3 warstwy ukryte, z każdą warstwą zawierającą po 32 neurony. Analizując pozostałe modele, zauważamy, że im mniejsza liczba neuronów w warstwie, tym model charakteryzuje się większą stratą. Jeśli chodzi o ilość warstw ukrytych, modele posiadające jedną warstwę nigdy nie osiągają satysfakcjonujących wyników, natomiast dla większej liczby warstw trudno dostrzec jakiekolwiek wyraźne zależności.</w:t>
      </w:r>
    </w:p>
    <w:p w14:paraId="76077408" w14:textId="2BC6721E" w:rsidR="00F52651" w:rsidRDefault="00341918" w:rsidP="00F46E3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C3ED0" wp14:editId="33CACFDF">
                <wp:simplePos x="0" y="0"/>
                <wp:positionH relativeFrom="margin">
                  <wp:posOffset>1800579</wp:posOffset>
                </wp:positionH>
                <wp:positionV relativeFrom="paragraph">
                  <wp:posOffset>822325</wp:posOffset>
                </wp:positionV>
                <wp:extent cx="2696210" cy="142240"/>
                <wp:effectExtent l="0" t="0" r="8890" b="0"/>
                <wp:wrapSquare wrapText="bothSides"/>
                <wp:docPr id="133733532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66D46" w14:textId="394F14CC" w:rsidR="00341918" w:rsidRPr="00341918" w:rsidRDefault="00341918" w:rsidP="00341918">
                            <w:pPr>
                              <w:pStyle w:val="Legenda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41918">
                              <w:rPr>
                                <w:color w:val="auto"/>
                              </w:rPr>
                              <w:t xml:space="preserve">Tabela </w: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41918">
                              <w:rPr>
                                <w:color w:val="auto"/>
                              </w:rPr>
                              <w:instrText xml:space="preserve"> SEQ Tabela \* ARABIC </w:instrTex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341918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41918">
                              <w:rPr>
                                <w:color w:val="auto"/>
                              </w:rPr>
                              <w:t>. 64 modele dla różnych funkcji aktywacji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3ED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41.8pt;margin-top:64.75pt;width:212.3pt;height:11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" stroked="f">
                <v:textbox inset="0,0,0,0">
                  <w:txbxContent>
                    <w:p w14:paraId="27266D46" w14:textId="394F14CC" w:rsidR="00341918" w:rsidRPr="00341918" w:rsidRDefault="00341918" w:rsidP="00341918">
                      <w:pPr>
                        <w:pStyle w:val="Legenda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341918">
                        <w:rPr>
                          <w:color w:val="auto"/>
                        </w:rPr>
                        <w:t xml:space="preserve">Tabela </w:t>
                      </w:r>
                      <w:r w:rsidRPr="00341918">
                        <w:rPr>
                          <w:color w:val="auto"/>
                        </w:rPr>
                        <w:fldChar w:fldCharType="begin"/>
                      </w:r>
                      <w:r w:rsidRPr="00341918">
                        <w:rPr>
                          <w:color w:val="auto"/>
                        </w:rPr>
                        <w:instrText xml:space="preserve"> SEQ Tabela \* ARABIC </w:instrText>
                      </w:r>
                      <w:r w:rsidRPr="00341918">
                        <w:rPr>
                          <w:color w:val="auto"/>
                        </w:rPr>
                        <w:fldChar w:fldCharType="separate"/>
                      </w:r>
                      <w:r w:rsidRPr="00341918">
                        <w:rPr>
                          <w:noProof/>
                          <w:color w:val="auto"/>
                        </w:rPr>
                        <w:t>2</w:t>
                      </w:r>
                      <w:r w:rsidRPr="00341918">
                        <w:rPr>
                          <w:color w:val="auto"/>
                        </w:rPr>
                        <w:fldChar w:fldCharType="end"/>
                      </w:r>
                      <w:r w:rsidRPr="00341918">
                        <w:rPr>
                          <w:color w:val="auto"/>
                        </w:rPr>
                        <w:t>. 64 modele dla różnych funkcji aktywacji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1918">
        <w:drawing>
          <wp:anchor distT="0" distB="0" distL="114300" distR="114300" simplePos="0" relativeHeight="251659264" behindDoc="0" locked="0" layoutInCell="1" allowOverlap="1" wp14:anchorId="1E276B57" wp14:editId="171333C5">
            <wp:simplePos x="0" y="0"/>
            <wp:positionH relativeFrom="column">
              <wp:posOffset>3082925</wp:posOffset>
            </wp:positionH>
            <wp:positionV relativeFrom="paragraph">
              <wp:posOffset>987425</wp:posOffset>
            </wp:positionV>
            <wp:extent cx="2628900" cy="4156075"/>
            <wp:effectExtent l="0" t="0" r="0" b="0"/>
            <wp:wrapSquare wrapText="bothSides"/>
            <wp:docPr id="109772344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918">
        <w:drawing>
          <wp:anchor distT="0" distB="0" distL="114300" distR="114300" simplePos="0" relativeHeight="251658240" behindDoc="0" locked="0" layoutInCell="1" allowOverlap="1" wp14:anchorId="60658B27" wp14:editId="6398D088">
            <wp:simplePos x="0" y="0"/>
            <wp:positionH relativeFrom="column">
              <wp:posOffset>47336</wp:posOffset>
            </wp:positionH>
            <wp:positionV relativeFrom="paragraph">
              <wp:posOffset>986790</wp:posOffset>
            </wp:positionV>
            <wp:extent cx="2696210" cy="4156710"/>
            <wp:effectExtent l="0" t="0" r="8890" b="0"/>
            <wp:wrapSquare wrapText="bothSides"/>
            <wp:docPr id="1321806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651">
        <w:t>Znając potencjalne architektury dla których strata będzie najmniejsza przeanalizujemy teraz różne funkcje aktywacji dla 2,3 oraz 4 warstw ukrytych, każda posiadająca po 32 neurony. W tym celu nauczymy 64 modele (12 kombinacji parametrów każda po 4 razy). Tym razem dla osiągnięcia fi</w:t>
      </w:r>
      <w:r w:rsidR="00197F2E">
        <w:t>nalnego, najskuteczniejszego modelu trenować będziemy dla 1000 epok.</w:t>
      </w:r>
    </w:p>
    <w:p w14:paraId="0DF13A66" w14:textId="77777777" w:rsidR="00BD21FA" w:rsidRDefault="008F4790" w:rsidP="00F46E33">
      <w:pPr>
        <w:jc w:val="both"/>
      </w:pPr>
      <w:r>
        <w:lastRenderedPageBreak/>
        <w:t xml:space="preserve">Najlepszy wynik dostaliśmy dla modelu z 3 warstwami ukrytymi oraz dla funkcji aktywacji </w:t>
      </w:r>
      <w:proofErr w:type="spellStart"/>
      <w:r w:rsidRPr="009A2090">
        <w:rPr>
          <w:i/>
          <w:iCs/>
        </w:rPr>
        <w:t>leaky</w:t>
      </w:r>
      <w:proofErr w:type="spellEnd"/>
      <w:r w:rsidRPr="009A2090">
        <w:t xml:space="preserve"> </w:t>
      </w:r>
      <w:proofErr w:type="spellStart"/>
      <w:r w:rsidRPr="009A2090">
        <w:rPr>
          <w:i/>
          <w:iCs/>
        </w:rPr>
        <w:t>ReLU</w:t>
      </w:r>
      <w:proofErr w:type="spellEnd"/>
      <w:r w:rsidR="00BD21FA">
        <w:t xml:space="preserve">. Wynik ten nie wiele się różni dla modeli z inną ilością warstw ukrytych oraz dla funkcji aktywacji </w:t>
      </w:r>
      <w:proofErr w:type="spellStart"/>
      <w:r w:rsidR="00BD21FA" w:rsidRPr="009A2090">
        <w:rPr>
          <w:i/>
          <w:iCs/>
        </w:rPr>
        <w:t>ReLU</w:t>
      </w:r>
      <w:proofErr w:type="spellEnd"/>
      <w:r w:rsidR="00BD21FA">
        <w:t xml:space="preserve">. Uczenie sieci jest procesem stochastycznym, więc nie możemy stwierdzić jednoznacznie przewagi tej architektury nad pozostałymi z funkcjami aktywacji z rodziny </w:t>
      </w:r>
      <w:proofErr w:type="spellStart"/>
      <w:r w:rsidR="00BD21FA" w:rsidRPr="009A2090">
        <w:rPr>
          <w:i/>
          <w:iCs/>
        </w:rPr>
        <w:t>ReLU</w:t>
      </w:r>
      <w:r w:rsidR="00BD21FA">
        <w:t>.</w:t>
      </w:r>
      <w:proofErr w:type="spellEnd"/>
    </w:p>
    <w:p w14:paraId="400D55D5" w14:textId="71416026" w:rsidR="00F52651" w:rsidRPr="00F46E33" w:rsidRDefault="00BD21FA" w:rsidP="00F46E33">
      <w:pPr>
        <w:jc w:val="both"/>
      </w:pPr>
      <w:r w:rsidRPr="00BD21FA">
        <w:t xml:space="preserve">Znaczna różnica pojawia się natomiast w przypadku użycia funkcji aktywacji </w:t>
      </w:r>
      <w:proofErr w:type="spellStart"/>
      <w:r w:rsidRPr="009A2090">
        <w:rPr>
          <w:i/>
          <w:iCs/>
        </w:rPr>
        <w:t>softplus</w:t>
      </w:r>
      <w:proofErr w:type="spellEnd"/>
      <w:r w:rsidRPr="00BD21FA">
        <w:t xml:space="preserve">, gdzie uzyskane wyniki są istotnie gorsze, a najniższe wyniki notujemy przy zastosowaniu funkcji </w:t>
      </w:r>
      <w:proofErr w:type="spellStart"/>
      <w:r w:rsidRPr="009A2090">
        <w:rPr>
          <w:i/>
          <w:iCs/>
        </w:rPr>
        <w:t>sigmoid</w:t>
      </w:r>
      <w:proofErr w:type="spellEnd"/>
      <w:r w:rsidRPr="00BD21FA">
        <w:t>.</w:t>
      </w:r>
      <w:r>
        <w:t xml:space="preserve"> Warto zauważyć, że </w:t>
      </w:r>
      <w:r w:rsidR="009A2090">
        <w:t xml:space="preserve">najgorsze wyniki, które znacząco odbiegają od reszty występują tylko dla największej ilości warstw ukrytych (4), może to wskazywać na występowanie problemu zanikającego gradientu. </w:t>
      </w:r>
      <w:r w:rsidR="009A2090" w:rsidRPr="009A2090">
        <w:t>Problem ten wynika z tego, że podczas propagacji wstecznej gradienty mają tendencję maleć w miarę przechodzenia przez kolejne warstwy sieci, zwłaszcza gdy używane są funkcje aktywacji</w:t>
      </w:r>
      <w:r w:rsidR="009A2090">
        <w:t xml:space="preserve"> której pochodne mogą posiadać niskie wartości dla </w:t>
      </w:r>
      <w:r w:rsidR="00EF6CE8">
        <w:t xml:space="preserve">wysokich na moduł argumentów. Z tego powodu funkcje aktywacyjne takie jak </w:t>
      </w:r>
      <w:proofErr w:type="spellStart"/>
      <w:r w:rsidR="00EF6CE8">
        <w:t>ReLU</w:t>
      </w:r>
      <w:proofErr w:type="spellEnd"/>
      <w:r w:rsidR="00EF6CE8">
        <w:t xml:space="preserve"> są bardziej odporne na ten problem od funkcji </w:t>
      </w:r>
      <w:proofErr w:type="spellStart"/>
      <w:r w:rsidR="00EF6CE8">
        <w:t>sigmoid</w:t>
      </w:r>
      <w:proofErr w:type="spellEnd"/>
      <w:r w:rsidR="00EF6CE8">
        <w:t xml:space="preserve">. </w:t>
      </w:r>
    </w:p>
    <w:p w14:paraId="70645220" w14:textId="5B4825CE" w:rsidR="00EF6CE8" w:rsidRDefault="00EF6CE8" w:rsidP="00480BB9">
      <w:pPr>
        <w:pStyle w:val="Nagwek1"/>
      </w:pPr>
      <w:proofErr w:type="spellStart"/>
      <w:r>
        <w:t>Dataset</w:t>
      </w:r>
      <w:proofErr w:type="spellEnd"/>
    </w:p>
    <w:p w14:paraId="1B0DD9E6" w14:textId="0247DB40" w:rsidR="00480BB9" w:rsidRPr="00480BB9" w:rsidRDefault="00480BB9" w:rsidP="00480BB9">
      <w:r w:rsidRPr="00480BB9">
        <w:t>Zbiór danych zawiera fizyczne cechy hodowanych krabów.</w:t>
      </w:r>
    </w:p>
    <w:p w14:paraId="7D6D0C9E" w14:textId="4BCF811A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r>
        <w:t xml:space="preserve">Sex - </w:t>
      </w:r>
      <w:r w:rsidRPr="00480BB9">
        <w:t>Płeć kraba - Samiec, Samica i Nieokreślona.</w:t>
      </w:r>
    </w:p>
    <w:p w14:paraId="5B89FA5A" w14:textId="199DDC00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Length</w:t>
      </w:r>
      <w:proofErr w:type="spellEnd"/>
      <w:r>
        <w:t xml:space="preserve"> -</w:t>
      </w:r>
      <w:r w:rsidRPr="00480BB9">
        <w:t xml:space="preserve"> Długość kraba (w stopach; 1 stopa = 30,48 cm)</w:t>
      </w:r>
    </w:p>
    <w:p w14:paraId="575634F9" w14:textId="0541BEB9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Diamete</w:t>
      </w:r>
      <w:proofErr w:type="spellEnd"/>
      <w:r>
        <w:t xml:space="preserve"> -</w:t>
      </w:r>
      <w:r w:rsidRPr="00480BB9">
        <w:t xml:space="preserve"> Średnica kraba (w stopach; 1 stopa = 30,48 cm)</w:t>
      </w:r>
    </w:p>
    <w:p w14:paraId="213B0BFA" w14:textId="412FA0A4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Height</w:t>
      </w:r>
      <w:proofErr w:type="spellEnd"/>
      <w:r>
        <w:t xml:space="preserve"> -</w:t>
      </w:r>
      <w:r w:rsidRPr="00480BB9">
        <w:t xml:space="preserve"> Wysokość kraba (w stopach; 1 stopa = 30,48 cm)</w:t>
      </w:r>
    </w:p>
    <w:p w14:paraId="71472F4A" w14:textId="5AEEEC28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Weight</w:t>
      </w:r>
      <w:proofErr w:type="spellEnd"/>
      <w:r>
        <w:t xml:space="preserve"> - </w:t>
      </w:r>
      <w:r w:rsidRPr="00480BB9">
        <w:t xml:space="preserve"> Waga kraba (w uncjach; 1 funt = 16 uncji)</w:t>
      </w:r>
    </w:p>
    <w:p w14:paraId="52EE0FEF" w14:textId="79902F28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Shucked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- </w:t>
      </w:r>
      <w:r w:rsidRPr="00480BB9">
        <w:t>Waga bez skorupy kraba (w uncjach; 1 funt = 16 uncji)</w:t>
      </w:r>
    </w:p>
    <w:p w14:paraId="11E62CF4" w14:textId="06865B1A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Viascera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-</w:t>
      </w:r>
      <w:r w:rsidRPr="00480BB9">
        <w:t xml:space="preserve"> Waga otaczająca organy brzuszne głęboko w ciele (w uncjach; 1 funt = 16 uncji)</w:t>
      </w:r>
    </w:p>
    <w:p w14:paraId="46573A0C" w14:textId="409C72AB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r>
        <w:t xml:space="preserve">Shell </w:t>
      </w:r>
      <w:proofErr w:type="spellStart"/>
      <w:r>
        <w:t>Weight</w:t>
      </w:r>
      <w:proofErr w:type="spellEnd"/>
      <w:r>
        <w:t xml:space="preserve"> -</w:t>
      </w:r>
      <w:r w:rsidRPr="00480BB9">
        <w:t xml:space="preserve"> Waga skorupy kraba (w uncjach; 1 funt = 16 uncji)</w:t>
      </w:r>
    </w:p>
    <w:p w14:paraId="0FDDEB2C" w14:textId="1A7532C6" w:rsid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r>
        <w:t>Age - Wiek</w:t>
      </w:r>
      <w:r w:rsidRPr="00480BB9">
        <w:t xml:space="preserve"> kraba (w miesiącach)</w:t>
      </w:r>
    </w:p>
    <w:p w14:paraId="5D60EE43" w14:textId="0715A3B5" w:rsidR="00480BB9" w:rsidRPr="00480BB9" w:rsidRDefault="00480BB9" w:rsidP="00480BB9">
      <w:pPr>
        <w:spacing w:line="240" w:lineRule="auto"/>
      </w:pPr>
      <w:hyperlink r:id="rId9" w:history="1">
        <w:r w:rsidRPr="00480BB9">
          <w:rPr>
            <w:rStyle w:val="Hipercze"/>
          </w:rPr>
          <w:t>https://www.kaggle.com/datasets/si</w:t>
        </w:r>
        <w:r w:rsidRPr="00480BB9">
          <w:rPr>
            <w:rStyle w:val="Hipercze"/>
          </w:rPr>
          <w:t>d</w:t>
        </w:r>
        <w:r w:rsidRPr="00480BB9">
          <w:rPr>
            <w:rStyle w:val="Hipercze"/>
          </w:rPr>
          <w:t>hus/crab-age-prediction</w:t>
        </w:r>
      </w:hyperlink>
    </w:p>
    <w:p w14:paraId="71CB0EC1" w14:textId="74128D95" w:rsidR="00E527F8" w:rsidRDefault="00E527F8" w:rsidP="00E527F8">
      <w:pPr>
        <w:pStyle w:val="Nagwek1"/>
      </w:pPr>
      <w:r>
        <w:t>Linki</w:t>
      </w:r>
    </w:p>
    <w:p w14:paraId="354EA416" w14:textId="20C2C6F8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0" w:history="1">
        <w:r w:rsidR="00E527F8" w:rsidRPr="003962D4">
          <w:rPr>
            <w:rStyle w:val="Hipercze"/>
            <w:sz w:val="18"/>
            <w:szCs w:val="18"/>
          </w:rPr>
          <w:t>https://cdnsciencepub.com/doi/abs/10.1139/f61-060</w:t>
        </w:r>
      </w:hyperlink>
    </w:p>
    <w:p w14:paraId="0ACACC4F" w14:textId="438EB85F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1" w:history="1">
        <w:r w:rsidR="003962D4" w:rsidRPr="003962D4">
          <w:rPr>
            <w:rStyle w:val="Hipercze"/>
            <w:sz w:val="18"/>
            <w:szCs w:val="18"/>
          </w:rPr>
          <w:t>https://cdnsciencepub.com/doi/abs/10.1139/cjfas-2012-0254</w:t>
        </w:r>
      </w:hyperlink>
    </w:p>
    <w:p w14:paraId="6C1750FB" w14:textId="5F1BAB7D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2" w:history="1">
        <w:r w:rsidR="003962D4" w:rsidRPr="003962D4">
          <w:rPr>
            <w:rStyle w:val="Hipercze"/>
            <w:sz w:val="18"/>
            <w:szCs w:val="18"/>
          </w:rPr>
          <w:t>https://www.jstor.org/stable/20103618</w:t>
        </w:r>
      </w:hyperlink>
    </w:p>
    <w:p w14:paraId="0D63340D" w14:textId="08EF4AF7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3" w:history="1">
        <w:r w:rsidR="003962D4" w:rsidRPr="003962D4">
          <w:rPr>
            <w:rStyle w:val="Hipercze"/>
            <w:sz w:val="18"/>
            <w:szCs w:val="18"/>
          </w:rPr>
          <w:t>https://www.researchgate.net/profile/Alexander-Dvoretsky/publication/264459407_Size-at-age_of_juvenile_red_king_crab_Paralithodes_camtschaticus_Tilesius_1815_in_the_coastal_Barents_Sea/links/53e07feb0cf2a768e49f665e/Size-at-age-of-juvenile-red-king-crab-Paralithodes-camtschaticus-Tilesius-1815-in-the-coastal-Barents-Sea.pdf</w:t>
        </w:r>
      </w:hyperlink>
    </w:p>
    <w:p w14:paraId="21C4473C" w14:textId="78484E43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4" w:history="1">
        <w:r w:rsidR="003962D4" w:rsidRPr="003962D4">
          <w:rPr>
            <w:rStyle w:val="Hipercze"/>
            <w:sz w:val="18"/>
            <w:szCs w:val="18"/>
          </w:rPr>
          <w:t>https://researchportal.scu.edu.au/esploro/outputs/report/Direct-age-determination-with-validation-for/991012820743102368</w:t>
        </w:r>
      </w:hyperlink>
    </w:p>
    <w:p w14:paraId="545DA785" w14:textId="4ADE76F6" w:rsidR="00E527F8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5" w:history="1">
        <w:r w:rsidR="003962D4" w:rsidRPr="003962D4">
          <w:rPr>
            <w:rStyle w:val="Hipercze"/>
            <w:sz w:val="18"/>
            <w:szCs w:val="18"/>
          </w:rPr>
          <w:t>https://www.cambridge.org/core/journals/journal-of-the-marine-biological-association-of-the-united-kingdom/article/abs/carapace-widthweight-relationship-age-growth-and-longevity-of-the-mud-crab-scylla-olivacea-herbst-1796-in-the-pichavaram-mangroves-southeast-india/2081407DF696938EA8E45F7F55078E0C</w:t>
        </w:r>
      </w:hyperlink>
    </w:p>
    <w:sectPr w:rsidR="00E527F8" w:rsidRPr="0039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7283" w14:textId="77777777" w:rsidR="00845D98" w:rsidRDefault="00845D98" w:rsidP="009F2BA0">
      <w:pPr>
        <w:spacing w:after="0" w:line="240" w:lineRule="auto"/>
      </w:pPr>
      <w:r>
        <w:separator/>
      </w:r>
    </w:p>
  </w:endnote>
  <w:endnote w:type="continuationSeparator" w:id="0">
    <w:p w14:paraId="28A1C614" w14:textId="77777777" w:rsidR="00845D98" w:rsidRDefault="00845D98" w:rsidP="009F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E3C8" w14:textId="77777777" w:rsidR="00845D98" w:rsidRDefault="00845D98" w:rsidP="009F2BA0">
      <w:pPr>
        <w:spacing w:after="0" w:line="240" w:lineRule="auto"/>
      </w:pPr>
      <w:r>
        <w:separator/>
      </w:r>
    </w:p>
  </w:footnote>
  <w:footnote w:type="continuationSeparator" w:id="0">
    <w:p w14:paraId="75D9EAC3" w14:textId="77777777" w:rsidR="00845D98" w:rsidRDefault="00845D98" w:rsidP="009F2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6E8A"/>
    <w:multiLevelType w:val="hybridMultilevel"/>
    <w:tmpl w:val="F14E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0713"/>
    <w:multiLevelType w:val="hybridMultilevel"/>
    <w:tmpl w:val="333E1C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863541">
    <w:abstractNumId w:val="1"/>
  </w:num>
  <w:num w:numId="2" w16cid:durableId="213479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A"/>
    <w:rsid w:val="0002350D"/>
    <w:rsid w:val="00031DDC"/>
    <w:rsid w:val="00197F2E"/>
    <w:rsid w:val="00301F88"/>
    <w:rsid w:val="00341918"/>
    <w:rsid w:val="003962D4"/>
    <w:rsid w:val="00480BB9"/>
    <w:rsid w:val="004B5782"/>
    <w:rsid w:val="00546852"/>
    <w:rsid w:val="0055395E"/>
    <w:rsid w:val="0055429E"/>
    <w:rsid w:val="0057035C"/>
    <w:rsid w:val="00733DBF"/>
    <w:rsid w:val="00821B08"/>
    <w:rsid w:val="00845D98"/>
    <w:rsid w:val="00882F6E"/>
    <w:rsid w:val="008F4790"/>
    <w:rsid w:val="00957D08"/>
    <w:rsid w:val="009A2090"/>
    <w:rsid w:val="009F2BA0"/>
    <w:rsid w:val="00A43CB0"/>
    <w:rsid w:val="00A90908"/>
    <w:rsid w:val="00B328E1"/>
    <w:rsid w:val="00BC35EF"/>
    <w:rsid w:val="00BC4A32"/>
    <w:rsid w:val="00BD21FA"/>
    <w:rsid w:val="00C05863"/>
    <w:rsid w:val="00C26170"/>
    <w:rsid w:val="00C265A6"/>
    <w:rsid w:val="00C74064"/>
    <w:rsid w:val="00CD416F"/>
    <w:rsid w:val="00CF2F0E"/>
    <w:rsid w:val="00D436BA"/>
    <w:rsid w:val="00D70000"/>
    <w:rsid w:val="00E527F8"/>
    <w:rsid w:val="00E652E8"/>
    <w:rsid w:val="00EF6CE8"/>
    <w:rsid w:val="00F46E33"/>
    <w:rsid w:val="00F52651"/>
    <w:rsid w:val="00F916D7"/>
    <w:rsid w:val="00FA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E41"/>
  <w15:chartTrackingRefBased/>
  <w15:docId w15:val="{6C51447B-4F2A-4A9D-948A-794F91EB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26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6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26170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C26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058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5863"/>
    <w:rPr>
      <w:color w:val="605E5C"/>
      <w:shd w:val="clear" w:color="auto" w:fill="E1DFDD"/>
    </w:rPr>
  </w:style>
  <w:style w:type="character" w:customStyle="1" w:styleId="author-name">
    <w:name w:val="author-name"/>
    <w:basedOn w:val="Domylnaczcionkaakapitu"/>
    <w:rsid w:val="00E652E8"/>
  </w:style>
  <w:style w:type="character" w:customStyle="1" w:styleId="ng-star-inserted">
    <w:name w:val="ng-star-inserted"/>
    <w:basedOn w:val="Domylnaczcionkaakapitu"/>
    <w:rsid w:val="00E652E8"/>
  </w:style>
  <w:style w:type="paragraph" w:styleId="Akapitzlist">
    <w:name w:val="List Paragraph"/>
    <w:basedOn w:val="Normalny"/>
    <w:uiPriority w:val="34"/>
    <w:qFormat/>
    <w:rsid w:val="00E527F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962D4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9F2B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9F2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2BA0"/>
  </w:style>
  <w:style w:type="paragraph" w:styleId="Stopka">
    <w:name w:val="footer"/>
    <w:basedOn w:val="Normalny"/>
    <w:link w:val="StopkaZnak"/>
    <w:uiPriority w:val="99"/>
    <w:unhideWhenUsed/>
    <w:rsid w:val="009F2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2BA0"/>
  </w:style>
  <w:style w:type="table" w:styleId="Tabela-Siatka">
    <w:name w:val="Table Grid"/>
    <w:basedOn w:val="Standardowy"/>
    <w:uiPriority w:val="39"/>
    <w:rsid w:val="0034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researchgate.net/profile/Alexander-Dvoretsky/publication/264459407_Size-at-age_of_juvenile_red_king_crab_Paralithodes_camtschaticus_Tilesius_1815_in_the_coastal_Barents_Sea/links/53e07feb0cf2a768e49f665e/Size-at-age-of-juvenile-red-king-crab-Paralithodes-camtschaticus-Tilesius-1815-in-the-coastal-Barents-Se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jstor.org/stable/201036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sciencepub.com/doi/abs/10.1139/cjfas-2012-02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ambridge.org/core/journals/journal-of-the-marine-biological-association-of-the-united-kingdom/article/abs/carapace-widthweight-relationship-age-growth-and-longevity-of-the-mud-crab-scylla-olivacea-herbst-1796-in-the-pichavaram-mangroves-southeast-india/2081407DF696938EA8E45F7F55078E0C" TargetMode="External"/><Relationship Id="rId10" Type="http://schemas.openxmlformats.org/officeDocument/2006/relationships/hyperlink" Target="https://cdnsciencepub.com/doi/abs/10.1139/f61-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idhus/crab-age-prediction" TargetMode="External"/><Relationship Id="rId14" Type="http://schemas.openxmlformats.org/officeDocument/2006/relationships/hyperlink" Target="https://researchportal.scu.edu.au/esploro/outputs/report/Direct-age-determination-with-validation-for/99101282074310236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Zięba</dc:creator>
  <cp:keywords/>
  <dc:description/>
  <cp:lastModifiedBy>Łukasz Pyrek</cp:lastModifiedBy>
  <cp:revision>12</cp:revision>
  <dcterms:created xsi:type="dcterms:W3CDTF">2024-01-08T12:58:00Z</dcterms:created>
  <dcterms:modified xsi:type="dcterms:W3CDTF">2024-01-10T22:05:00Z</dcterms:modified>
</cp:coreProperties>
</file>