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E5AB" w14:textId="646997C0" w:rsidR="00CF2F0E" w:rsidRDefault="000C2A95" w:rsidP="000C2A95">
      <w:pPr>
        <w:pStyle w:val="Tytu"/>
        <w:jc w:val="center"/>
      </w:pPr>
      <w:r>
        <w:t xml:space="preserve">Sprawozdanie – </w:t>
      </w:r>
      <w:r w:rsidRPr="000C2A95">
        <w:t>Zastosowanie metody składowych głównych (PCA)</w:t>
      </w:r>
    </w:p>
    <w:p w14:paraId="344F05F4" w14:textId="7C1C8D1F" w:rsidR="000C2A95" w:rsidRDefault="000C2A95" w:rsidP="000C2A95">
      <w:pPr>
        <w:pStyle w:val="Podtytu"/>
        <w:jc w:val="center"/>
      </w:pPr>
      <w:r>
        <w:t>Jakub Zięba</w:t>
      </w:r>
    </w:p>
    <w:p w14:paraId="48E548D7" w14:textId="693F2E1C" w:rsidR="000C2A95" w:rsidRDefault="000C2A95" w:rsidP="000C2A95">
      <w:pPr>
        <w:pStyle w:val="Nagwek1"/>
      </w:pPr>
      <w:r>
        <w:t>Cel pracy</w:t>
      </w:r>
    </w:p>
    <w:p w14:paraId="06F0C10C" w14:textId="4A86B86F" w:rsidR="000C2A95" w:rsidRPr="000C2A95" w:rsidRDefault="000C2A95" w:rsidP="000C2A95">
      <w:r>
        <w:t>Celem pracy jest przedstawienie metody składowych głównych</w:t>
      </w:r>
      <w:r w:rsidR="00C41A63">
        <w:t xml:space="preserve"> i </w:t>
      </w:r>
      <w:r>
        <w:t xml:space="preserve">opisanie jej </w:t>
      </w:r>
      <w:r w:rsidR="00C41A63">
        <w:t>założeń, następnie zastosowanie metody</w:t>
      </w:r>
      <w:r w:rsidR="00130895">
        <w:t xml:space="preserve"> na odpowiednio dużym zbiorze danych</w:t>
      </w:r>
      <w:r w:rsidR="00C41A63">
        <w:t xml:space="preserve"> z uprzednią weryfikacją ww. założeń, interpretacja uzyskanych wyników oraz porównanie ich z wynikami uzyskanymi przy zaniedbaniu części </w:t>
      </w:r>
      <w:r w:rsidR="00130895">
        <w:t>z nich</w:t>
      </w:r>
      <w:r w:rsidR="00C41A63">
        <w:t xml:space="preserve">. </w:t>
      </w:r>
    </w:p>
    <w:p w14:paraId="129A7320" w14:textId="73359C9D" w:rsidR="000C2A95" w:rsidRDefault="000C2A95" w:rsidP="000C2A95">
      <w:pPr>
        <w:pStyle w:val="Nagwek1"/>
      </w:pPr>
      <w:r>
        <w:t>Opis zbioru danych</w:t>
      </w:r>
      <w:r w:rsidR="00F170FB">
        <w:t xml:space="preserve"> i założeń</w:t>
      </w:r>
    </w:p>
    <w:p w14:paraId="0AB8067D" w14:textId="6C118A02" w:rsidR="00F170FB" w:rsidRPr="00F170FB" w:rsidRDefault="00F170FB" w:rsidP="00F170FB">
      <w:pPr>
        <w:pStyle w:val="Nagwek2"/>
      </w:pPr>
      <w:r>
        <w:t xml:space="preserve">Opis </w:t>
      </w:r>
      <w:proofErr w:type="spellStart"/>
      <w:r>
        <w:t>datasetu</w:t>
      </w:r>
      <w:proofErr w:type="spellEnd"/>
    </w:p>
    <w:p w14:paraId="47CA2E41" w14:textId="38D55DCB" w:rsidR="00A23445" w:rsidRDefault="00DB29A4" w:rsidP="00A23445">
      <w:r>
        <w:t xml:space="preserve">Wybrany zbiór danych składa się z informacji o </w:t>
      </w:r>
      <w:proofErr w:type="spellStart"/>
      <w:r>
        <w:t>słuchotkach</w:t>
      </w:r>
      <w:proofErr w:type="spellEnd"/>
      <w:r>
        <w:t xml:space="preserve">, ślimakach morskich, wyglądem przypominających małże czy ostrygi. </w:t>
      </w:r>
      <w:r w:rsidR="006D64F7">
        <w:t>Uwzględnione cechy zwierząt to:</w:t>
      </w:r>
    </w:p>
    <w:p w14:paraId="06EAFC1E" w14:textId="034A21BC" w:rsidR="006D64F7" w:rsidRDefault="006D64F7" w:rsidP="006D64F7">
      <w:pPr>
        <w:pStyle w:val="Akapitzlist"/>
        <w:numPr>
          <w:ilvl w:val="0"/>
          <w:numId w:val="4"/>
        </w:numPr>
      </w:pPr>
      <w:r>
        <w:t>Sex – płeć zwierzęcia</w:t>
      </w:r>
      <w:r w:rsidR="00E02548">
        <w:t>, męska lub żeńska</w:t>
      </w:r>
      <w:r>
        <w:t>;</w:t>
      </w:r>
    </w:p>
    <w:p w14:paraId="2BC68FF5" w14:textId="41CE7E46" w:rsidR="006D64F7" w:rsidRDefault="006D64F7" w:rsidP="006D64F7">
      <w:pPr>
        <w:pStyle w:val="Akapitzlist"/>
        <w:numPr>
          <w:ilvl w:val="0"/>
          <w:numId w:val="4"/>
        </w:numPr>
      </w:pPr>
      <w:proofErr w:type="spellStart"/>
      <w:r>
        <w:t>Length</w:t>
      </w:r>
      <w:proofErr w:type="spellEnd"/>
      <w:r>
        <w:t xml:space="preserve"> – pomiar skorupy w najdłuższym jej miejscu</w:t>
      </w:r>
      <w:r w:rsidR="00E02548">
        <w:t>, długość wyrażona w mm</w:t>
      </w:r>
      <w:r>
        <w:t>;</w:t>
      </w:r>
    </w:p>
    <w:p w14:paraId="5CED0024" w14:textId="5EC726BF" w:rsidR="006D64F7" w:rsidRDefault="006D64F7" w:rsidP="006D64F7">
      <w:pPr>
        <w:pStyle w:val="Akapitzlist"/>
        <w:numPr>
          <w:ilvl w:val="0"/>
          <w:numId w:val="4"/>
        </w:numPr>
      </w:pPr>
      <w:proofErr w:type="spellStart"/>
      <w:r>
        <w:t>Diameter</w:t>
      </w:r>
      <w:proofErr w:type="spellEnd"/>
      <w:r>
        <w:t xml:space="preserve"> – pomiar skorupy w miejscu prostopadłym do miejsca wymienionego wyżej, tj. ze zmiennej </w:t>
      </w:r>
      <w:proofErr w:type="spellStart"/>
      <w:r>
        <w:t>Length</w:t>
      </w:r>
      <w:proofErr w:type="spellEnd"/>
      <w:r w:rsidR="00E02548">
        <w:t>. Długość wyrażona w mm.</w:t>
      </w:r>
    </w:p>
    <w:p w14:paraId="56AA7EEF" w14:textId="44FBF105" w:rsidR="006D64F7" w:rsidRDefault="006D64F7" w:rsidP="006D64F7">
      <w:pPr>
        <w:pStyle w:val="Akapitzlist"/>
        <w:numPr>
          <w:ilvl w:val="0"/>
          <w:numId w:val="4"/>
        </w:numPr>
      </w:pPr>
      <w:proofErr w:type="spellStart"/>
      <w:r>
        <w:t>Height</w:t>
      </w:r>
      <w:proofErr w:type="spellEnd"/>
      <w:r>
        <w:t xml:space="preserve"> – wysokość zwierzęcia, mierzona od miejsca styku z podłożem do najwyższego miejsca skorupy</w:t>
      </w:r>
      <w:r w:rsidR="00E02548">
        <w:t>, wyrażona w mm</w:t>
      </w:r>
      <w:r>
        <w:t>;</w:t>
      </w:r>
    </w:p>
    <w:p w14:paraId="1BC9D60D" w14:textId="04E83924" w:rsidR="006D64F7" w:rsidRDefault="006D64F7" w:rsidP="006D64F7">
      <w:pPr>
        <w:pStyle w:val="Akapitzlist"/>
        <w:numPr>
          <w:ilvl w:val="0"/>
          <w:numId w:val="4"/>
        </w:numPr>
      </w:pPr>
      <w:proofErr w:type="spellStart"/>
      <w:r>
        <w:t>Whole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– całkowita waga ślimaka, łącznie skorupy oraz jej wnętrzności</w:t>
      </w:r>
      <w:r w:rsidR="00E02548">
        <w:t>, wyrażona w gramach</w:t>
      </w:r>
      <w:r>
        <w:t>;</w:t>
      </w:r>
    </w:p>
    <w:p w14:paraId="3A798CCE" w14:textId="08947DE6" w:rsidR="006D64F7" w:rsidRDefault="006D64F7" w:rsidP="006D64F7">
      <w:pPr>
        <w:pStyle w:val="Akapitzlist"/>
        <w:numPr>
          <w:ilvl w:val="0"/>
          <w:numId w:val="4"/>
        </w:numPr>
      </w:pPr>
      <w:proofErr w:type="spellStart"/>
      <w:r>
        <w:t>Shucked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– waga „mięsa” ślimaka</w:t>
      </w:r>
      <w:r w:rsidR="00E02548">
        <w:t>, wyrażona w mm</w:t>
      </w:r>
      <w:r>
        <w:t>;</w:t>
      </w:r>
    </w:p>
    <w:p w14:paraId="0DDC03AD" w14:textId="4F1ECA84" w:rsidR="006D64F7" w:rsidRDefault="006D64F7" w:rsidP="006D64F7">
      <w:pPr>
        <w:pStyle w:val="Akapitzlist"/>
        <w:numPr>
          <w:ilvl w:val="0"/>
          <w:numId w:val="4"/>
        </w:numPr>
      </w:pPr>
      <w:proofErr w:type="spellStart"/>
      <w:r>
        <w:t>Viscera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– waga wnętrzności po ich wykrwawieniu</w:t>
      </w:r>
      <w:r w:rsidR="00E02548">
        <w:t>, wyrażona w mm</w:t>
      </w:r>
      <w:r>
        <w:t>;</w:t>
      </w:r>
    </w:p>
    <w:p w14:paraId="74EBFEEA" w14:textId="3E6C90AC" w:rsidR="006D64F7" w:rsidRDefault="006D64F7" w:rsidP="006D64F7">
      <w:pPr>
        <w:pStyle w:val="Akapitzlist"/>
        <w:numPr>
          <w:ilvl w:val="0"/>
          <w:numId w:val="4"/>
        </w:numPr>
      </w:pPr>
      <w:r>
        <w:t xml:space="preserve">Shell </w:t>
      </w:r>
      <w:proofErr w:type="spellStart"/>
      <w:r>
        <w:t>Weight</w:t>
      </w:r>
      <w:proofErr w:type="spellEnd"/>
      <w:r>
        <w:t xml:space="preserve"> – waga muszli po wysuszeniu</w:t>
      </w:r>
      <w:r w:rsidR="00E02548">
        <w:t>, wyrażona w mm</w:t>
      </w:r>
      <w:r>
        <w:t>;</w:t>
      </w:r>
    </w:p>
    <w:p w14:paraId="1B87DCEF" w14:textId="225B3DB9" w:rsidR="006D64F7" w:rsidRDefault="006D64F7" w:rsidP="006D64F7">
      <w:pPr>
        <w:pStyle w:val="Akapitzlist"/>
        <w:numPr>
          <w:ilvl w:val="0"/>
          <w:numId w:val="4"/>
        </w:numPr>
      </w:pPr>
      <w:r>
        <w:t>Rings – liczba pierścieni na muszli</w:t>
      </w:r>
      <w:r w:rsidR="00E02548">
        <w:t>, liczba całkowita</w:t>
      </w:r>
      <w:r>
        <w:t>. Pierścieni</w:t>
      </w:r>
      <w:r w:rsidR="00FE36F1">
        <w:t xml:space="preserve"> można użyć</w:t>
      </w:r>
      <w:r>
        <w:t>, podobnie jak słoj</w:t>
      </w:r>
      <w:r w:rsidR="00FE36F1">
        <w:t>ów</w:t>
      </w:r>
      <w:r>
        <w:t xml:space="preserve"> </w:t>
      </w:r>
      <w:r w:rsidR="00FE36F1">
        <w:t>w przypadku</w:t>
      </w:r>
      <w:r>
        <w:t xml:space="preserve"> </w:t>
      </w:r>
      <w:r w:rsidR="00FE36F1">
        <w:t>drzew</w:t>
      </w:r>
      <w:r>
        <w:t>, do określania wieku zwierząt</w:t>
      </w:r>
      <w:r w:rsidR="00BB0C92">
        <w:t>.</w:t>
      </w:r>
      <w:r w:rsidR="00D96E9C">
        <w:t xml:space="preserve"> Można to osiągnąć dodając 1.5 do liczby pierścieni</w:t>
      </w:r>
      <w:r w:rsidR="009D74D6">
        <w:t>.</w:t>
      </w:r>
    </w:p>
    <w:p w14:paraId="2842913F" w14:textId="5A023F9F" w:rsidR="00F170FB" w:rsidRDefault="00F170FB" w:rsidP="00F170FB">
      <w:pPr>
        <w:pStyle w:val="Nagwek2"/>
      </w:pPr>
      <w:r>
        <w:t>Opis założeń</w:t>
      </w:r>
    </w:p>
    <w:p w14:paraId="4DBFFE54" w14:textId="7BC08AEB" w:rsidR="00F170FB" w:rsidRDefault="00F170FB" w:rsidP="00F170FB">
      <w:r>
        <w:t>Przy stosowaniu metody PCA należy spełnić szereg założeń, które pozwolą na poprawne jej wykonanie i w efekcie otrzymanie poprawnych wyników:</w:t>
      </w:r>
    </w:p>
    <w:p w14:paraId="67E824B4" w14:textId="04C44B89" w:rsidR="00F170FB" w:rsidRDefault="00F170FB" w:rsidP="00F170FB">
      <w:pPr>
        <w:pStyle w:val="Akapitzlist"/>
        <w:numPr>
          <w:ilvl w:val="0"/>
          <w:numId w:val="5"/>
        </w:numPr>
      </w:pPr>
      <w:r>
        <w:t xml:space="preserve">Należy pozbyć się </w:t>
      </w:r>
      <w:proofErr w:type="spellStart"/>
      <w:r>
        <w:t>outlierów</w:t>
      </w:r>
      <w:proofErr w:type="spellEnd"/>
      <w:r>
        <w:t xml:space="preserve">, ponieważ będą zakłócać przeprowadzanie badania, które może w efekcie jedynie podkreślić to że występują </w:t>
      </w:r>
      <w:proofErr w:type="spellStart"/>
      <w:r>
        <w:t>outlierzy</w:t>
      </w:r>
      <w:proofErr w:type="spellEnd"/>
      <w:r>
        <w:t>;</w:t>
      </w:r>
    </w:p>
    <w:p w14:paraId="0129AE6E" w14:textId="49AEAF03" w:rsidR="00F170FB" w:rsidRDefault="00F170FB" w:rsidP="00F170FB">
      <w:pPr>
        <w:pStyle w:val="Akapitzlist"/>
        <w:numPr>
          <w:ilvl w:val="0"/>
          <w:numId w:val="5"/>
        </w:numPr>
      </w:pPr>
      <w:r>
        <w:t xml:space="preserve">Dane należy zestandaryzować. Jest to wymagane szczególnie w przypadku danych mocno się od siebie różniących jeśli chodzi o rząd wielkości. W naszym przykładzie można spojrzeć na zmienne </w:t>
      </w:r>
      <w:proofErr w:type="spellStart"/>
      <w:r>
        <w:t>Diameter</w:t>
      </w:r>
      <w:proofErr w:type="spellEnd"/>
      <w:r>
        <w:t xml:space="preserve"> oraz Rings. Średnia wartość tej pierwszej to 0.4 mm, największa to 0.65 mm, natomiast dla zmiennej Rings już najniższą wartością jest 1, średnia to prawie 10 a maksimum 29. Takich zmiennych nie można badać przed ich standaryzacją, gołym okiem widać jak bardzo od siebie odstają.</w:t>
      </w:r>
    </w:p>
    <w:p w14:paraId="01A3B40B" w14:textId="2B4CA863" w:rsidR="00604080" w:rsidRDefault="00604080" w:rsidP="00F170FB">
      <w:pPr>
        <w:pStyle w:val="Akapitzlist"/>
        <w:numPr>
          <w:ilvl w:val="0"/>
          <w:numId w:val="5"/>
        </w:numPr>
      </w:pPr>
      <w:r>
        <w:t>Poszczególne zmienne powinny mieć również rozkłady przypominające normalne.</w:t>
      </w:r>
    </w:p>
    <w:p w14:paraId="5C495BF9" w14:textId="0BA628FC" w:rsidR="0002068D" w:rsidRDefault="0002068D" w:rsidP="0002068D">
      <w:pPr>
        <w:pStyle w:val="Nagwek1"/>
      </w:pPr>
      <w:r>
        <w:lastRenderedPageBreak/>
        <w:t>Analiza i obróbka danych</w:t>
      </w:r>
    </w:p>
    <w:p w14:paraId="23AB5F1D" w14:textId="664E34BF" w:rsidR="0002068D" w:rsidRPr="0002068D" w:rsidRDefault="0002068D" w:rsidP="0002068D">
      <w:r>
        <w:t>Przed przystąpieniem do obróbki i stosowania PCA, najpierw zajmiemy się podstawową analizą zbioru danych.</w:t>
      </w:r>
    </w:p>
    <w:p w14:paraId="647C453E" w14:textId="7505CD3B" w:rsidR="00D96E9C" w:rsidRDefault="00C91332" w:rsidP="00D96E9C">
      <w:r w:rsidRPr="00C91332">
        <w:drawing>
          <wp:inline distT="0" distB="0" distL="0" distR="0" wp14:anchorId="7A9F34D6" wp14:editId="56E504C4">
            <wp:extent cx="5760720" cy="1629410"/>
            <wp:effectExtent l="0" t="0" r="0" b="8890"/>
            <wp:docPr id="285801998" name="Obraz 1" descr="Obraz zawierający tekst, zrzut ekranu, czarne i białe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01998" name="Obraz 1" descr="Obraz zawierający tekst, zrzut ekranu, czarne i białe, czar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1FC5" w14:textId="7FC3CB58" w:rsidR="00D96E9C" w:rsidRDefault="00D96E9C" w:rsidP="00D96E9C">
      <w:r>
        <w:t xml:space="preserve">Analizując statystyki związane z wymienionymi wyżej cechami, możemy zobaczyć że dane zawierają </w:t>
      </w:r>
      <w:r w:rsidR="007B57E1">
        <w:t>informacje</w:t>
      </w:r>
      <w:r>
        <w:t xml:space="preserve"> o bardzo różnorodnych osobnikach. Najmłodszy z nich miał </w:t>
      </w:r>
      <w:r w:rsidR="009D74D6">
        <w:t xml:space="preserve">niespełna </w:t>
      </w:r>
      <w:r>
        <w:t>2.5 roku</w:t>
      </w:r>
      <w:r w:rsidR="009D74D6">
        <w:t>, najstarszy natomiast ponad 30 lat. Zbadano tutaj zarówno osobniki</w:t>
      </w:r>
      <w:r w:rsidR="00C91332">
        <w:t xml:space="preserve"> maleńkie, o wadze tak małej jak 0.002 grama, jak i nieporównywalnie większe względem tych poprzednich, ważące niemal 3kg.</w:t>
      </w:r>
    </w:p>
    <w:p w14:paraId="28131F86" w14:textId="1E840451" w:rsidR="003979BD" w:rsidRDefault="00904662" w:rsidP="00BB0C92">
      <w:r w:rsidRPr="00904662">
        <w:lastRenderedPageBreak/>
        <w:drawing>
          <wp:inline distT="0" distB="0" distL="0" distR="0" wp14:anchorId="49A64A27" wp14:editId="5F51FC99">
            <wp:extent cx="5760720" cy="5716905"/>
            <wp:effectExtent l="0" t="0" r="0" b="0"/>
            <wp:docPr id="373228420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28420" name="Obraz 1" descr="Obraz zawierający tekst, diagram, Wykres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F7BE" w14:textId="31C0D7D4" w:rsidR="003979BD" w:rsidRDefault="003979BD" w:rsidP="00BB0C92">
      <w:r>
        <w:t>Rozkłady poszczególnych zmiennych wskazują na występowanie wartości odstających, których należy się pozbyć.</w:t>
      </w:r>
    </w:p>
    <w:p w14:paraId="07D5F930" w14:textId="764F0291" w:rsidR="002B687B" w:rsidRDefault="00904662" w:rsidP="00BB0C92">
      <w:r w:rsidRPr="00904662">
        <w:lastRenderedPageBreak/>
        <w:drawing>
          <wp:inline distT="0" distB="0" distL="0" distR="0" wp14:anchorId="50226392" wp14:editId="12F9EB28">
            <wp:extent cx="5760720" cy="5727065"/>
            <wp:effectExtent l="0" t="0" r="0" b="6985"/>
            <wp:docPr id="1696533712" name="Obraz 1" descr="Obraz zawierający tekst, diagram, Prostokąt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3712" name="Obraz 1" descr="Obraz zawierający tekst, diagram, Prostokąt, Równolegl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C6B6" w14:textId="5D606A71" w:rsidR="002B687B" w:rsidRDefault="002B687B" w:rsidP="00BB0C92">
      <w:r>
        <w:t>Wykresy pudełkowe potwierdzają to przypuszczenie, wartości odstających jest całkiem sporo.</w:t>
      </w:r>
      <w:r w:rsidR="00904662">
        <w:t xml:space="preserve"> Aby się ich pozbyć można m.in. użyć metody wykorzystującej rozstęp ćwiartkowy.</w:t>
      </w:r>
    </w:p>
    <w:p w14:paraId="22FEF2DD" w14:textId="59D206D0" w:rsidR="008F64CE" w:rsidRDefault="008F64CE" w:rsidP="00BB0C92">
      <w:r w:rsidRPr="008F64CE">
        <w:lastRenderedPageBreak/>
        <w:drawing>
          <wp:inline distT="0" distB="0" distL="0" distR="0" wp14:anchorId="695C2E28" wp14:editId="35ADD2F5">
            <wp:extent cx="5760720" cy="3817620"/>
            <wp:effectExtent l="0" t="0" r="0" b="0"/>
            <wp:docPr id="1567422136" name="Obraz 1" descr="Obraz zawierający diagram, origam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22136" name="Obraz 1" descr="Obraz zawierający diagram, origami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27F" w14:textId="6FA5F153" w:rsidR="008F64CE" w:rsidRDefault="008F64CE" w:rsidP="00BB0C92">
      <w:r w:rsidRPr="008F64CE">
        <w:drawing>
          <wp:inline distT="0" distB="0" distL="0" distR="0" wp14:anchorId="4C27EC45" wp14:editId="60D64310">
            <wp:extent cx="5760720" cy="3822700"/>
            <wp:effectExtent l="0" t="0" r="0" b="6350"/>
            <wp:docPr id="1532948692" name="Obraz 1" descr="Obraz zawierający diagram, origam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48692" name="Obraz 1" descr="Obraz zawierający diagram, origami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D5D2" w14:textId="3F39E775" w:rsidR="008F64CE" w:rsidRDefault="008F64CE" w:rsidP="00BB0C92">
      <w:r>
        <w:t xml:space="preserve">Po wyrzuceniu </w:t>
      </w:r>
      <w:proofErr w:type="spellStart"/>
      <w:r>
        <w:t>outlierów</w:t>
      </w:r>
      <w:proofErr w:type="spellEnd"/>
      <w:r>
        <w:t xml:space="preserve"> można porównać zbiór danych na wykresach skrzypcowych – widać znaczną poprawę jeśli chodzi o wartości odstające</w:t>
      </w:r>
      <w:r w:rsidR="00D162D7">
        <w:t xml:space="preserve"> i długość „ogonów” wykresów.</w:t>
      </w:r>
      <w:r w:rsidR="00F170FB">
        <w:t xml:space="preserve"> </w:t>
      </w:r>
      <w:r w:rsidR="00586D3C">
        <w:t xml:space="preserve">Wykresy te pokazują również, że większość rozkładów zmiennych przypomina </w:t>
      </w:r>
      <w:r w:rsidR="00EE4CA1">
        <w:t xml:space="preserve">w pewnym stopniu </w:t>
      </w:r>
      <w:r w:rsidR="00586D3C">
        <w:t>rozkłady normalne, choć na pewno żaden z nich nie jest dokładnie taki.</w:t>
      </w:r>
    </w:p>
    <w:p w14:paraId="6B056718" w14:textId="6321E955" w:rsidR="00110239" w:rsidRDefault="00110239" w:rsidP="00BB0C92">
      <w:r>
        <w:t>Kolejnym elementem który należy poddać analizie są współczynniki korelacji między zmiennymi.</w:t>
      </w:r>
    </w:p>
    <w:p w14:paraId="19496952" w14:textId="0108BDEE" w:rsidR="00C70550" w:rsidRDefault="00C70550" w:rsidP="00BB0C92">
      <w:r w:rsidRPr="00C70550">
        <w:lastRenderedPageBreak/>
        <w:drawing>
          <wp:inline distT="0" distB="0" distL="0" distR="0" wp14:anchorId="476AF687" wp14:editId="10FF740C">
            <wp:extent cx="5760720" cy="5189855"/>
            <wp:effectExtent l="0" t="0" r="0" b="0"/>
            <wp:docPr id="595722328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2328" name="Obraz 1" descr="Obraz zawierający tekst, zrzut ekranu, kwadrat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A548" w14:textId="1611A83E" w:rsidR="00C70550" w:rsidRDefault="00C70550" w:rsidP="00BB0C92">
      <w:r>
        <w:t xml:space="preserve">Współczynniki korelacji wydają się być wystarczająco wysokie, jednak sprawdzimy to jeszcze z pomocą formalnego testu – testu </w:t>
      </w:r>
      <w:proofErr w:type="spellStart"/>
      <w:r>
        <w:t>Bartletta</w:t>
      </w:r>
      <w:proofErr w:type="spellEnd"/>
      <w:r>
        <w:t>.</w:t>
      </w:r>
    </w:p>
    <w:p w14:paraId="4321F680" w14:textId="28C71443" w:rsidR="00297927" w:rsidRDefault="00297927" w:rsidP="00BB0C92">
      <w:r w:rsidRPr="00297927">
        <w:drawing>
          <wp:inline distT="0" distB="0" distL="0" distR="0" wp14:anchorId="78611D03" wp14:editId="7E39AE29">
            <wp:extent cx="5760720" cy="1002030"/>
            <wp:effectExtent l="0" t="0" r="0" b="7620"/>
            <wp:docPr id="8493382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38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1B0E" w14:textId="2A577154" w:rsidR="00297927" w:rsidRPr="00A23445" w:rsidRDefault="00297927" w:rsidP="00BB0C92">
      <w:r>
        <w:t xml:space="preserve">Według testu </w:t>
      </w:r>
      <w:proofErr w:type="spellStart"/>
      <w:r>
        <w:t>Bartletta</w:t>
      </w:r>
      <w:proofErr w:type="spellEnd"/>
      <w:r>
        <w:t xml:space="preserve"> dane są dostatecznie powiązane. Pozostało więc jedynie poddać dane standaryzacji i możemy przejść do stosowania metody PCA.</w:t>
      </w:r>
    </w:p>
    <w:p w14:paraId="51B3AC9D" w14:textId="673D7D89" w:rsidR="00370CF8" w:rsidRDefault="00370CF8" w:rsidP="00370CF8">
      <w:pPr>
        <w:pStyle w:val="Nagwek1"/>
      </w:pPr>
      <w:r>
        <w:t>Opis i z</w:t>
      </w:r>
      <w:r w:rsidR="000C2A95">
        <w:t>astosowanie metody PCA</w:t>
      </w:r>
    </w:p>
    <w:p w14:paraId="39C48057" w14:textId="77777777" w:rsidR="00370CF8" w:rsidRPr="00370CF8" w:rsidRDefault="00370CF8" w:rsidP="00370CF8"/>
    <w:p w14:paraId="5BEF96CE" w14:textId="4DF0748E" w:rsidR="000C2A95" w:rsidRDefault="000C2A95" w:rsidP="000C2A95">
      <w:pPr>
        <w:pStyle w:val="Nagwek1"/>
      </w:pPr>
      <w:r>
        <w:lastRenderedPageBreak/>
        <w:t>Interpretacja wyników</w:t>
      </w:r>
    </w:p>
    <w:p w14:paraId="4E6A4F25" w14:textId="55EAA95F" w:rsidR="000C2A95" w:rsidRDefault="000C2A95" w:rsidP="000C2A95">
      <w:pPr>
        <w:pStyle w:val="Nagwek1"/>
      </w:pPr>
      <w:r>
        <w:t>Porównanie z metodą stosowaną na danych niestandaryzowanych</w:t>
      </w:r>
    </w:p>
    <w:p w14:paraId="42D76D46" w14:textId="16BF015D" w:rsidR="000C2A95" w:rsidRPr="000C2A95" w:rsidRDefault="000C2A95" w:rsidP="000C2A95">
      <w:pPr>
        <w:pStyle w:val="Nagwek1"/>
      </w:pPr>
      <w:r>
        <w:t>Podsumowanie</w:t>
      </w:r>
    </w:p>
    <w:sectPr w:rsidR="000C2A95" w:rsidRPr="000C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430B"/>
    <w:multiLevelType w:val="hybridMultilevel"/>
    <w:tmpl w:val="61986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5DA3"/>
    <w:multiLevelType w:val="hybridMultilevel"/>
    <w:tmpl w:val="E74CE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831068993">
    <w:abstractNumId w:val="0"/>
  </w:num>
  <w:num w:numId="5" w16cid:durableId="20082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87"/>
    <w:rsid w:val="0002068D"/>
    <w:rsid w:val="000C2A95"/>
    <w:rsid w:val="00110239"/>
    <w:rsid w:val="00130895"/>
    <w:rsid w:val="00200BD6"/>
    <w:rsid w:val="002762A9"/>
    <w:rsid w:val="00297927"/>
    <w:rsid w:val="002B687B"/>
    <w:rsid w:val="00370CF8"/>
    <w:rsid w:val="003979BD"/>
    <w:rsid w:val="004F6B87"/>
    <w:rsid w:val="0055429E"/>
    <w:rsid w:val="005745CE"/>
    <w:rsid w:val="00586D3C"/>
    <w:rsid w:val="00604080"/>
    <w:rsid w:val="006D64F7"/>
    <w:rsid w:val="007B57E1"/>
    <w:rsid w:val="00844D10"/>
    <w:rsid w:val="008F64CE"/>
    <w:rsid w:val="00904662"/>
    <w:rsid w:val="009D74D6"/>
    <w:rsid w:val="00A23445"/>
    <w:rsid w:val="00BB0C92"/>
    <w:rsid w:val="00C41A63"/>
    <w:rsid w:val="00C70550"/>
    <w:rsid w:val="00C91332"/>
    <w:rsid w:val="00CF2F0E"/>
    <w:rsid w:val="00D162D7"/>
    <w:rsid w:val="00D96E9C"/>
    <w:rsid w:val="00DB29A4"/>
    <w:rsid w:val="00E02548"/>
    <w:rsid w:val="00EE4CA1"/>
    <w:rsid w:val="00F170FB"/>
    <w:rsid w:val="00F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D4B5"/>
  <w15:chartTrackingRefBased/>
  <w15:docId w15:val="{6076BA74-D885-4D20-BB38-929601F3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C2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2A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C2A95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D64F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7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554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Zięba</dc:creator>
  <cp:keywords/>
  <dc:description/>
  <cp:lastModifiedBy>Jakub Zięba</cp:lastModifiedBy>
  <cp:revision>27</cp:revision>
  <dcterms:created xsi:type="dcterms:W3CDTF">2024-01-17T17:09:00Z</dcterms:created>
  <dcterms:modified xsi:type="dcterms:W3CDTF">2024-01-17T19:20:00Z</dcterms:modified>
</cp:coreProperties>
</file>