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78EFB">
      <w:pPr>
        <w:spacing w:before="720"/>
      </w:pPr>
    </w:p>
    <w:p w14:paraId="249F73B9">
      <w:pPr>
        <w:spacing w:before="720"/>
      </w:pPr>
    </w:p>
    <w:p w14:paraId="5D839342">
      <w:pPr>
        <w:spacing w:before="720"/>
        <w:rPr>
          <w:rFonts w:hint="default"/>
          <w:lang w:val="en-IN"/>
        </w:rPr>
      </w:pPr>
    </w:p>
    <w:p w14:paraId="650B80C8">
      <w:pPr>
        <w:spacing w:after="160"/>
        <w:jc w:val="center"/>
      </w:pPr>
      <w:r>
        <w:rPr>
          <w:rFonts w:ascii="Calibri" w:hAnsi="Calibri"/>
          <w:b/>
          <w:color w:val="0F5132"/>
          <w:sz w:val="64"/>
        </w:rPr>
        <w:t>EcoScan AI</w:t>
      </w:r>
    </w:p>
    <w:p w14:paraId="4464C2D1">
      <w:pPr>
        <w:spacing w:after="720"/>
        <w:jc w:val="center"/>
      </w:pPr>
      <w:r>
        <w:rPr>
          <w:rFonts w:ascii="Calibri" w:hAnsi="Calibri"/>
          <w:i/>
          <w:color w:val="198754"/>
          <w:sz w:val="28"/>
        </w:rPr>
        <w:t>Multimodal AI Platform for Cradle-to-Gate Supply Chain Traceability &amp; Anti-Greenwashing Intelligence</w:t>
      </w:r>
    </w:p>
    <w:p w14:paraId="74FF0A2D">
      <w:pPr>
        <w:spacing w:line="312" w:lineRule="auto"/>
        <w:jc w:val="center"/>
        <w:rPr>
          <w:rFonts w:ascii="Calibri" w:hAnsi="Calibri"/>
          <w:b/>
          <w:color w:val="212529"/>
          <w:sz w:val="24"/>
        </w:rPr>
      </w:pPr>
    </w:p>
    <w:p w14:paraId="5F806A0C">
      <w:pPr>
        <w:spacing w:line="312" w:lineRule="auto"/>
        <w:jc w:val="center"/>
        <w:rPr>
          <w:rFonts w:ascii="Calibri" w:hAnsi="Calibri"/>
          <w:b/>
          <w:color w:val="212529"/>
          <w:sz w:val="24"/>
        </w:rPr>
      </w:pPr>
    </w:p>
    <w:p w14:paraId="2598E27A">
      <w:pPr>
        <w:spacing w:line="312" w:lineRule="auto"/>
        <w:jc w:val="center"/>
        <w:rPr>
          <w:rFonts w:ascii="Calibri" w:hAnsi="Calibri"/>
          <w:b/>
          <w:color w:val="212529"/>
          <w:sz w:val="24"/>
        </w:rPr>
      </w:pPr>
    </w:p>
    <w:p w14:paraId="1558EFEB">
      <w:pPr>
        <w:spacing w:line="312" w:lineRule="auto"/>
        <w:jc w:val="center"/>
        <w:rPr>
          <w:rFonts w:ascii="Calibri" w:hAnsi="Calibri"/>
          <w:b/>
          <w:color w:val="212529"/>
          <w:sz w:val="24"/>
        </w:rPr>
      </w:pPr>
    </w:p>
    <w:p w14:paraId="3A293E9A">
      <w:pPr>
        <w:spacing w:line="312" w:lineRule="auto"/>
        <w:jc w:val="both"/>
        <w:rPr>
          <w:rFonts w:ascii="Calibri" w:hAnsi="Calibri"/>
          <w:b/>
          <w:color w:val="212529"/>
          <w:sz w:val="24"/>
        </w:rPr>
      </w:pPr>
    </w:p>
    <w:p w14:paraId="3358483A">
      <w:pPr>
        <w:spacing w:line="312" w:lineRule="auto"/>
        <w:jc w:val="both"/>
        <w:rPr>
          <w:rFonts w:ascii="Calibri" w:hAnsi="Calibri"/>
          <w:b/>
          <w:color w:val="212529"/>
          <w:sz w:val="24"/>
        </w:rPr>
      </w:pPr>
    </w:p>
    <w:p w14:paraId="78EE5C4F">
      <w:pPr>
        <w:spacing w:line="312" w:lineRule="auto"/>
        <w:jc w:val="center"/>
        <w:rPr>
          <w:rFonts w:ascii="Calibri" w:hAnsi="Calibri"/>
          <w:b w:val="0"/>
          <w:color w:val="198754"/>
          <w:sz w:val="22"/>
        </w:rPr>
      </w:pPr>
      <w:r>
        <w:rPr>
          <w:rFonts w:ascii="Calibri" w:hAnsi="Calibri"/>
          <w:b/>
          <w:color w:val="212529"/>
          <w:sz w:val="24"/>
        </w:rPr>
        <w:t>Prepared by:</w:t>
      </w:r>
      <w:r>
        <w:rPr>
          <w:rFonts w:ascii="Calibri" w:hAnsi="Calibri"/>
          <w:b/>
          <w:color w:val="212529"/>
          <w:sz w:val="24"/>
        </w:rPr>
        <w:br w:type="textWrapping"/>
      </w:r>
      <w:r>
        <w:rPr>
          <w:rFonts w:ascii="Calibri" w:hAnsi="Calibri"/>
          <w:b/>
          <w:color w:val="0F5132"/>
          <w:sz w:val="32"/>
        </w:rPr>
        <w:t>Jalaja Sunil Borkar</w:t>
      </w:r>
      <w:r>
        <w:rPr>
          <w:rFonts w:ascii="Calibri" w:hAnsi="Calibri"/>
          <w:b/>
          <w:color w:val="0F5132"/>
          <w:sz w:val="32"/>
        </w:rPr>
        <w:br w:type="textWrapping"/>
      </w:r>
      <w:r>
        <w:rPr>
          <w:rFonts w:ascii="Calibri" w:hAnsi="Calibri"/>
          <w:b w:val="0"/>
          <w:color w:val="212529"/>
          <w:sz w:val="22"/>
        </w:rPr>
        <w:t>Department of Artificial Intelligence &amp; Data Science</w:t>
      </w:r>
      <w:r>
        <w:rPr>
          <w:rFonts w:ascii="Calibri" w:hAnsi="Calibri"/>
          <w:b w:val="0"/>
          <w:color w:val="212529"/>
          <w:sz w:val="22"/>
        </w:rPr>
        <w:br w:type="textWrapping"/>
      </w:r>
      <w:r>
        <w:rPr>
          <w:rFonts w:ascii="Calibri" w:hAnsi="Calibri"/>
          <w:b w:val="0"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Datta Meghe College of Engineering, Mumbai University</w:t>
      </w:r>
      <w:r>
        <w:rPr>
          <w:rFonts w:ascii="Calibri" w:hAnsi="Calibri"/>
          <w:b w:val="0"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Calibri" w:hAnsi="Calibri"/>
          <w:b w:val="0"/>
          <w:color w:val="6C757D"/>
          <w:sz w:val="22"/>
        </w:rPr>
        <w:br w:type="textWrapping"/>
      </w:r>
      <w:r>
        <w:rPr>
          <w:rFonts w:ascii="Calibri" w:hAnsi="Calibri"/>
          <w:b/>
          <w:color w:val="212529"/>
          <w:sz w:val="22"/>
        </w:rPr>
        <w:t xml:space="preserve">Project Category: </w:t>
      </w:r>
      <w:r>
        <w:rPr>
          <w:rFonts w:ascii="Calibri" w:hAnsi="Calibri"/>
          <w:b w:val="0"/>
          <w:color w:val="212529"/>
          <w:sz w:val="22"/>
        </w:rPr>
        <w:t>AI-Powered Climate Tech &amp; Enterprise ESG Compliance</w:t>
      </w:r>
      <w:r>
        <w:rPr>
          <w:rFonts w:ascii="Calibri" w:hAnsi="Calibri"/>
          <w:b w:val="0"/>
          <w:color w:val="212529"/>
          <w:sz w:val="22"/>
        </w:rPr>
        <w:br w:type="textWrapping"/>
      </w:r>
      <w:r>
        <w:rPr>
          <w:rFonts w:ascii="Calibri" w:hAnsi="Calibri"/>
          <w:b/>
          <w:color w:val="212529"/>
          <w:sz w:val="22"/>
        </w:rPr>
        <w:t xml:space="preserve">Domain: </w:t>
      </w:r>
      <w:r>
        <w:rPr>
          <w:rFonts w:ascii="Calibri" w:hAnsi="Calibri"/>
          <w:b w:val="0"/>
          <w:color w:val="262626" w:themeColor="text1" w:themeTint="D9"/>
          <w:sz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Multimodal NLP, Supply Chain Intelligence &amp; B2B/B2C SaaS</w:t>
      </w:r>
    </w:p>
    <w:p w14:paraId="02C8FE1C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 w:themeColor="text1"/>
          <w:sz w:val="20"/>
          <w:szCs w:val="20"/>
          <w:u w:val="none"/>
          <w:vertAlign w:val="baseline"/>
          <w14:textFill>
            <w14:solidFill>
              <w14:schemeClr w14:val="tx1"/>
            </w14:solidFill>
          </w14:textFill>
        </w:rPr>
        <w:t>AICTE | IBM SkillsBuild Machine Learning &amp; Applied AI Internship Program 2026</w:t>
      </w:r>
      <w:r>
        <w:rPr>
          <w:rFonts w:hint="default" w:ascii="Calibri" w:hAnsi="Calibri" w:eastAsia="sans-serif" w:cs="Calibri"/>
          <w:b/>
          <w:bCs/>
          <w:i w:val="0"/>
          <w:iCs w:val="0"/>
          <w:color w:val="000000" w:themeColor="text1"/>
          <w:sz w:val="20"/>
          <w:szCs w:val="20"/>
          <w:u w:val="none"/>
          <w:vertAlign w:val="baseline"/>
          <w:lang w:val="en-IN"/>
          <w14:textFill>
            <w14:solidFill>
              <w14:schemeClr w14:val="tx1"/>
            </w14:solidFill>
          </w14:textFill>
        </w:rPr>
        <w:t xml:space="preserve"> | BharatCares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B553113">
      <w:pPr>
        <w:keepNext/>
        <w:pBdr>
          <w:bottom w:val="single" w:color="0F5132" w:sz="12" w:space="4"/>
        </w:pBdr>
        <w:spacing w:before="360" w:after="120"/>
      </w:pPr>
      <w:r>
        <w:rPr>
          <w:rFonts w:ascii="Calibri" w:hAnsi="Calibri"/>
          <w:b/>
          <w:color w:val="0F5132"/>
          <w:sz w:val="36"/>
        </w:rPr>
        <w:t>Executive Summary</w:t>
      </w:r>
    </w:p>
    <w:p w14:paraId="2FD0602C"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In today's global market, environmental sustainability has shifted from an optional marketing narrative to a core regulatory and consumer mandate. However, widespread greenwashing—where companies make unverified or misleading environmental claims—has created a crisis of trust, deceiving an estimated 68% of eco-conscious consumers. Simultaneously, enterprise organizations struggle to gain real-time visibility into the Scope 3 carbon footprint and environmental compliance of their multi-tier supply chains (Tier 2 and Tier 3 raw material suppliers).</w:t>
      </w:r>
    </w:p>
    <w:p w14:paraId="1D2E382E">
      <w:pPr>
        <w:spacing w:before="0" w:after="120" w:line="276" w:lineRule="auto"/>
        <w:rPr>
          <w:rFonts w:ascii="Calibri" w:hAnsi="Calibri"/>
          <w:color w:val="212529"/>
          <w:sz w:val="22"/>
        </w:rPr>
      </w:pPr>
      <w:r>
        <w:rPr>
          <w:rFonts w:ascii="Calibri" w:hAnsi="Calibri"/>
          <w:color w:val="212529"/>
          <w:sz w:val="22"/>
        </w:rPr>
        <w:t>EcoScan AI bridges this trust and compliance gap through a multimodal AI platform providing cradle-to-gate environmental traceability. By pairing an automated Natural Language Processing (NLP) document parsing engine with a predictive Machine Learning regression model, EcoScan AI converts raw, unstructured logistics files—customs declarations, bills of lading, and vendor compliance records—into a dynamic Predictive Eco-Verity Score (1–100). The platform serves both B2B enterprise procurement teams via real-time auditing dashboards and B2C shoppers via a lightweight browser extension that overlays verified sustainability metrics directly onto e-commerce product listings.</w:t>
      </w:r>
    </w:p>
    <w:p w14:paraId="18C7B35F">
      <w:pPr>
        <w:spacing w:before="0" w:after="120" w:line="276" w:lineRule="auto"/>
        <w:rPr>
          <w:rFonts w:ascii="Calibri" w:hAnsi="Calibri"/>
          <w:color w:val="212529"/>
          <w:sz w:val="22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68B05C">
        <w:trPr>
          <w:jc w:val="center"/>
        </w:trPr>
        <w:tc>
          <w:tcPr>
            <w:tcW w:w="9360" w:type="dxa"/>
            <w:tcBorders>
              <w:top w:val="nil"/>
              <w:left w:val="single" w:color="0F5132" w:sz="24" w:space="0"/>
              <w:bottom w:val="nil"/>
              <w:right w:val="nil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9E7287">
            <w:pPr>
              <w:spacing w:after="40"/>
            </w:pPr>
            <w:r>
              <w:rPr>
                <w:rFonts w:ascii="Calibri" w:hAnsi="Calibri"/>
                <w:b/>
                <w:color w:val="0F5132"/>
                <w:sz w:val="22"/>
              </w:rPr>
              <w:t>🌿 HIGH-LEVEL CONCEPT &amp; UVP</w:t>
            </w:r>
            <w:r>
              <w:rPr>
                <w:rFonts w:ascii="Calibri" w:hAnsi="Calibri"/>
                <w:b/>
                <w:color w:val="0F5132"/>
                <w:sz w:val="22"/>
              </w:rPr>
              <w:br w:type="textWrapping"/>
            </w:r>
            <w:r>
              <w:rPr>
                <w:rFonts w:ascii="Calibri" w:hAnsi="Calibri"/>
                <w:i/>
                <w:color w:val="212529"/>
                <w:sz w:val="21"/>
              </w:rPr>
              <w:t>EcoScan AI acts as 'The Moody's / Credit Score framework for dynamic global product sustainability', reducing corporate ESG audit time from 4 weeks down to 5 minutes while empowering consumers with transparent, data-backed green choices.</w:t>
            </w:r>
          </w:p>
        </w:tc>
      </w:tr>
    </w:tbl>
    <w:p w14:paraId="1FDD3BC2">
      <w:pPr>
        <w:spacing w:before="0" w:after="120"/>
      </w:pPr>
    </w:p>
    <w:p w14:paraId="6E404C2A">
      <w:pPr>
        <w:keepNext/>
        <w:pBdr>
          <w:bottom w:val="single" w:color="0F5132" w:sz="12" w:space="4"/>
        </w:pBdr>
        <w:spacing w:before="360" w:after="120"/>
      </w:pPr>
      <w:r>
        <w:rPr>
          <w:rFonts w:ascii="Calibri" w:hAnsi="Calibri"/>
          <w:b/>
          <w:color w:val="0F5132"/>
          <w:sz w:val="36"/>
        </w:rPr>
        <w:t>1. Problem Statement &amp; Market Pain Points</w:t>
      </w:r>
    </w:p>
    <w:p w14:paraId="37BE0E5B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1.1 The Greenwashing Epidemic</w:t>
      </w:r>
    </w:p>
    <w:p w14:paraId="30F5C407"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Consumer demand for sustainable products has surged, yet trust is at an all-time low. Approximately 68% of eco-conscious consumers report feeling misled by vague brand claims such as 'eco-friendly', 'carbon-neutral', or 'ethically sourced' due to a complete absence of verifiable, traceable data behind these labels.</w:t>
      </w:r>
    </w:p>
    <w:p w14:paraId="58057AEE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1.2 Opaque Multi-Tier Supply Chains</w:t>
      </w:r>
    </w:p>
    <w:p w14:paraId="09D277D6"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Primary brand manufacturers (Tier 1) often lack visibility beyond their immediate suppliers. Tier 2 (component processors) and Tier 3 (raw material extractors and agricultural producers) account for up to 80% of a product's overall environmental impact, yet their emissions and compliance status remain entirely obscured in traditional reporting structures.</w:t>
      </w:r>
    </w:p>
    <w:p w14:paraId="454449B7">
      <w:pPr>
        <w:spacing w:before="160" w:after="40"/>
        <w:jc w:val="center"/>
      </w:pPr>
      <w:r>
        <w:drawing>
          <wp:inline distT="0" distB="0" distL="114300" distR="114300">
            <wp:extent cx="4754880" cy="277939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C1D8">
      <w:pPr>
        <w:spacing w:before="160" w:after="40"/>
        <w:jc w:val="center"/>
      </w:pPr>
    </w:p>
    <w:p w14:paraId="23269ED8">
      <w:pPr>
        <w:spacing w:before="40" w:after="200"/>
        <w:jc w:val="center"/>
      </w:pPr>
      <w:r>
        <w:rPr>
          <w:rFonts w:ascii="Calibri" w:hAnsi="Calibri"/>
          <w:i/>
          <w:color w:val="6C757D"/>
          <w:sz w:val="19"/>
        </w:rPr>
        <w:t>Figure 1: Scope 3 Carbon Footprint Breakdown Across Multi-Tier Supply Chains</w:t>
      </w:r>
    </w:p>
    <w:p w14:paraId="2853C0A4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1.3 Manual &amp; Costly Audits</w:t>
      </w:r>
    </w:p>
    <w:p w14:paraId="6938DD35"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Corporate ESG compliance currently relies on manual auditing by expensive consulting agencies. Procurement officers manually inspect PDF invoices, shipping manifests, and vendor self-reports—a process that is slow (taking 4–6 weeks per supplier), expensive, and prone to human error or intentional fraud.</w:t>
      </w:r>
    </w:p>
    <w:p w14:paraId="5862F80F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1.4 Inadequacy of Existing Alternatives</w:t>
      </w:r>
    </w:p>
    <w:p w14:paraId="38D05D23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Corporate ESG Consulting Agencies: </w:t>
      </w:r>
      <w:r>
        <w:rPr>
          <w:rFonts w:ascii="Calibri" w:hAnsi="Calibri"/>
          <w:color w:val="212529"/>
          <w:sz w:val="22"/>
        </w:rPr>
        <w:t>Expensive, slow, and produce static, retrospective reports that fail to offer real-time supply chain monitoring.</w:t>
      </w:r>
    </w:p>
    <w:p w14:paraId="4230098E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Self-Reported Eco-Labels: </w:t>
      </w:r>
      <w:r>
        <w:rPr>
          <w:rFonts w:ascii="Calibri" w:hAnsi="Calibri"/>
          <w:color w:val="212529"/>
          <w:sz w:val="22"/>
        </w:rPr>
        <w:t>Static badges (e.g., Energy Star, Fair Trade) that reflect one-time point-in-time certifications without ongoing lifecycle or transit data tracking.</w:t>
      </w:r>
    </w:p>
    <w:p w14:paraId="12404B25">
      <w:pPr>
        <w:keepNext/>
        <w:pBdr>
          <w:bottom w:val="single" w:color="0F5132" w:sz="12" w:space="4"/>
        </w:pBdr>
        <w:spacing w:before="360" w:after="120"/>
      </w:pPr>
      <w:r>
        <w:rPr>
          <w:rFonts w:ascii="Calibri" w:hAnsi="Calibri"/>
          <w:b/>
          <w:color w:val="0F5132"/>
          <w:sz w:val="36"/>
        </w:rPr>
        <w:t>2. Customer Segments &amp; User Personas</w:t>
      </w:r>
    </w:p>
    <w:p w14:paraId="0C302F9E"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EcoScan AI deploys a dual-sided strategy serving both enterprise B2B compliance buyers and B2C end consumers.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F084F8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0F513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E7EA6">
            <w:r>
              <w:rPr>
                <w:rFonts w:ascii="Calibri" w:hAnsi="Calibri"/>
                <w:b/>
                <w:color w:val="FFFFFF"/>
              </w:rPr>
              <w:t>Customer Segment</w:t>
            </w:r>
          </w:p>
        </w:tc>
        <w:tc>
          <w:tcPr>
            <w:tcW w:w="3120" w:type="dxa"/>
            <w:shd w:val="clear" w:color="auto" w:fill="0F513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8F10E">
            <w:r>
              <w:rPr>
                <w:rFonts w:ascii="Calibri" w:hAnsi="Calibri"/>
                <w:b/>
                <w:color w:val="FFFFFF"/>
              </w:rPr>
              <w:t>Target Profile &amp; Behavioral Triggers</w:t>
            </w:r>
          </w:p>
        </w:tc>
        <w:tc>
          <w:tcPr>
            <w:tcW w:w="3120" w:type="dxa"/>
            <w:shd w:val="clear" w:color="auto" w:fill="0F513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2CD18">
            <w:r>
              <w:rPr>
                <w:rFonts w:ascii="Calibri" w:hAnsi="Calibri"/>
                <w:b/>
                <w:color w:val="FFFFFF"/>
              </w:rPr>
              <w:t>Primary Pain Point Solved</w:t>
            </w:r>
          </w:p>
        </w:tc>
      </w:tr>
      <w:tr w14:paraId="15E73321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0C4C">
            <w:r>
              <w:rPr>
                <w:rFonts w:ascii="Calibri" w:hAnsi="Calibri"/>
                <w:color w:val="212529"/>
                <w:sz w:val="19"/>
              </w:rPr>
              <w:t>B2C Early Adopters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742B">
            <w:r>
              <w:rPr>
                <w:rFonts w:ascii="Calibri" w:hAnsi="Calibri"/>
                <w:color w:val="212529"/>
                <w:sz w:val="19"/>
              </w:rPr>
              <w:t>Climate-conscious Gen-Z and Millennial online shoppers actively filtering e-commerce stores.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ECAD9">
            <w:r>
              <w:rPr>
                <w:rFonts w:ascii="Calibri" w:hAnsi="Calibri"/>
                <w:color w:val="212529"/>
                <w:sz w:val="19"/>
              </w:rPr>
              <w:t>Eliminates skepticism by providing real-time Eco-Verity scores and sustainable alternatives.</w:t>
            </w:r>
          </w:p>
        </w:tc>
      </w:tr>
      <w:tr w14:paraId="7B39CE31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6A2B6">
            <w:r>
              <w:rPr>
                <w:rFonts w:ascii="Calibri" w:hAnsi="Calibri"/>
                <w:color w:val="212529"/>
                <w:sz w:val="19"/>
              </w:rPr>
              <w:t>B2B Brands &amp; Retailers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FB1FC">
            <w:r>
              <w:rPr>
                <w:rFonts w:ascii="Calibri" w:hAnsi="Calibri"/>
                <w:color w:val="212529"/>
                <w:sz w:val="19"/>
              </w:rPr>
              <w:t>FMCG corporations &amp; D2C fashion/cosmetics brands subject to global ESG mandates.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2752">
            <w:r>
              <w:rPr>
                <w:rFonts w:ascii="Calibri" w:hAnsi="Calibri"/>
                <w:color w:val="212529"/>
                <w:sz w:val="19"/>
              </w:rPr>
              <w:t>Automates supply-chain compliance tracking and protects brand reputation against greenwashing fines.</w:t>
            </w:r>
          </w:p>
        </w:tc>
      </w:tr>
      <w:tr w14:paraId="475B039B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13C8">
            <w:r>
              <w:rPr>
                <w:rFonts w:ascii="Calibri" w:hAnsi="Calibri"/>
                <w:color w:val="212529"/>
                <w:sz w:val="19"/>
              </w:rPr>
              <w:t>Supply Chain Operations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3FF7">
            <w:r>
              <w:rPr>
                <w:rFonts w:ascii="Calibri" w:hAnsi="Calibri"/>
                <w:color w:val="212529"/>
                <w:sz w:val="19"/>
              </w:rPr>
              <w:t>Corporate compliance managers &amp; procurement officers vetting overseas suppliers.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93DE">
            <w:r>
              <w:rPr>
                <w:rFonts w:ascii="Calibri" w:hAnsi="Calibri"/>
                <w:color w:val="212529"/>
                <w:sz w:val="19"/>
              </w:rPr>
              <w:t>Replaces 4-week manual PDF audits with instant 5-minute automated document parsing.</w:t>
            </w:r>
          </w:p>
        </w:tc>
      </w:tr>
      <w:tr w14:paraId="46ADB8EA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76F8">
            <w:r>
              <w:rPr>
                <w:rFonts w:ascii="Calibri" w:hAnsi="Calibri"/>
                <w:color w:val="212529"/>
                <w:sz w:val="19"/>
              </w:rPr>
              <w:t>D2C Early Adopters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3414B">
            <w:r>
              <w:rPr>
                <w:rFonts w:ascii="Calibri" w:hAnsi="Calibri"/>
                <w:color w:val="212529"/>
                <w:sz w:val="19"/>
              </w:rPr>
              <w:t>Sustainable fashion &amp; organic beauty brands competing against larger greenwashed legacy brands.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69737">
            <w:r>
              <w:rPr>
                <w:rFonts w:ascii="Calibri" w:hAnsi="Calibri"/>
                <w:color w:val="212529"/>
                <w:sz w:val="19"/>
              </w:rPr>
              <w:t>Provides a verifiable, data-backed competitive edge to prove authentic sustainability claims.</w:t>
            </w:r>
          </w:p>
        </w:tc>
      </w:tr>
    </w:tbl>
    <w:p w14:paraId="473EAF7C">
      <w:pPr>
        <w:spacing w:before="0" w:after="120"/>
      </w:pPr>
    </w:p>
    <w:p w14:paraId="20F2949B">
      <w:pPr>
        <w:keepNext/>
        <w:pBdr>
          <w:bottom w:val="single" w:color="0F5132" w:sz="12" w:space="4"/>
        </w:pBdr>
        <w:spacing w:before="360" w:after="120"/>
      </w:pPr>
      <w:r>
        <w:rPr>
          <w:rFonts w:ascii="Calibri" w:hAnsi="Calibri"/>
          <w:b/>
          <w:color w:val="0F5132"/>
          <w:sz w:val="36"/>
        </w:rPr>
        <w:t>3. Product Solution &amp; System Architecture</w:t>
      </w:r>
    </w:p>
    <w:p w14:paraId="1C17A72A"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EcoScan AI integrates three technological modules into a unified data processing pipeline:</w:t>
      </w:r>
    </w:p>
    <w:p w14:paraId="2DF84220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3.1 Automated Document Parsing Engine (NLP/OCR)</w:t>
      </w:r>
    </w:p>
    <w:p w14:paraId="14848A77"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Using multimodal Transformer architectures, the engine automatically extracts, structures, and cross-references data from heterogeneous logistics documents including customs declarations, bill-of-lading forms, factory energy logs, and material safety data sheets (MSDS).</w:t>
      </w:r>
    </w:p>
    <w:p w14:paraId="44154189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3.2 Predictive Eco-Verity Score Model (ML Regression)</w:t>
      </w:r>
    </w:p>
    <w:p w14:paraId="487DE13F"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The core Machine Learning model aggregates extracted multi-tier supplier data, transit mileage, power grid carbon intensities, and material sustainability indices to generate a standardized Predictive Eco-Verity Score on a 1–100 scale.</w:t>
      </w:r>
    </w:p>
    <w:p w14:paraId="7F635389">
      <w:pPr>
        <w:spacing w:before="160" w:after="40"/>
        <w:jc w:val="center"/>
      </w:pPr>
      <w:r>
        <w:drawing>
          <wp:inline distT="0" distB="0" distL="114300" distR="114300">
            <wp:extent cx="457200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A14C">
      <w:pPr>
        <w:spacing w:before="160" w:after="40"/>
        <w:jc w:val="center"/>
      </w:pPr>
    </w:p>
    <w:p w14:paraId="434C1C00">
      <w:pPr>
        <w:spacing w:before="40" w:after="200"/>
        <w:jc w:val="center"/>
        <w:rPr>
          <w:rFonts w:ascii="Calibri" w:hAnsi="Calibri"/>
          <w:i/>
          <w:color w:val="6C757D"/>
          <w:sz w:val="19"/>
        </w:rPr>
      </w:pPr>
      <w:r>
        <w:rPr>
          <w:rFonts w:ascii="Calibri" w:hAnsi="Calibri"/>
          <w:i/>
          <w:color w:val="6C757D"/>
          <w:sz w:val="19"/>
        </w:rPr>
        <w:t>Figure 2: ML Model Discrimination Between Verified and Greenwashed Product Scores</w:t>
      </w:r>
    </w:p>
    <w:p w14:paraId="2DC81899">
      <w:pPr>
        <w:spacing w:before="40" w:after="200"/>
        <w:jc w:val="center"/>
        <w:rPr>
          <w:rFonts w:ascii="Calibri" w:hAnsi="Calibri"/>
          <w:i/>
          <w:color w:val="6C757D"/>
          <w:sz w:val="19"/>
        </w:rPr>
      </w:pPr>
    </w:p>
    <w:p w14:paraId="1515F4D6">
      <w:pPr>
        <w:spacing w:before="40" w:after="200"/>
        <w:jc w:val="center"/>
        <w:rPr>
          <w:rFonts w:ascii="Calibri" w:hAnsi="Calibri"/>
          <w:i/>
          <w:color w:val="6C757D"/>
          <w:sz w:val="19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125059">
        <w:trPr>
          <w:jc w:val="center"/>
        </w:trPr>
        <w:tc>
          <w:tcPr>
            <w:tcW w:w="9360" w:type="dxa"/>
            <w:tcBorders>
              <w:top w:val="single" w:color="E0E0E0" w:sz="4" w:space="0"/>
              <w:left w:val="single" w:color="198754" w:sz="12" w:space="0"/>
              <w:bottom w:val="single" w:color="E0E0E0" w:sz="4" w:space="0"/>
              <w:right w:val="single" w:color="E0E0E0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4D3D6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# EcoScan AI Feature Vector Schema for Predictive Eco-Verity Regression Model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>feature_vector = {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 xml:space="preserve">    'tier1_energy_kwh_per_unit': 12.4,          # Direct assembly energy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 xml:space="preserve">    'tier2_processed_material_index': 0.82,       # Recycled content %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 xml:space="preserve">    'tier3_raw_extraction_footprint_kgco2e': 4.1, # Agricultural/mining impact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 xml:space="preserve">    'logistics_transit_distance_km': 8420,        # Multimodal shipping distance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 xml:space="preserve">    'freight_transport_mode': 'maritime_heavy',   # Air vs Maritime vs Rail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 xml:space="preserve">    'vendor_compliance_certificate_status': 1,    # Binary verified token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 xml:space="preserve">    'power_grid_renewable_share': 0.65            # Supplier regional grid factor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># Machine Learning Scoring Pipeline Execution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>predicted_eco_verity_score = eco_verity_model.predict(feature_vector)</w:t>
            </w:r>
            <w:r>
              <w:rPr>
                <w:rFonts w:ascii="Consolas" w:hAnsi="Consolas"/>
                <w:color w:val="282828"/>
                <w:sz w:val="19"/>
              </w:rPr>
              <w:br w:type="textWrapping"/>
            </w:r>
            <w:r>
              <w:rPr>
                <w:rFonts w:ascii="Consolas" w:hAnsi="Consolas"/>
                <w:color w:val="282828"/>
                <w:sz w:val="19"/>
              </w:rPr>
              <w:t># Output: Eco-Verity Score = 84.5 / 100 [VERIFIED SUSTAINABLE]</w:t>
            </w:r>
          </w:p>
        </w:tc>
      </w:tr>
    </w:tbl>
    <w:p w14:paraId="471022FD">
      <w:pPr>
        <w:spacing w:before="0" w:after="120"/>
      </w:pPr>
    </w:p>
    <w:p w14:paraId="3F7410EB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3.3 Consumer Browser Extension</w:t>
      </w:r>
    </w:p>
    <w:p w14:paraId="6A7F657E"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A lightweight browser plug-in overlays Eco-Verity scores onto product pages during online shopping. If a product scores below threshold, the extension recommends lower-carbon, fully verified alternative products dynamically.</w:t>
      </w:r>
    </w:p>
    <w:p w14:paraId="1E2EDD9F">
      <w:pPr>
        <w:keepNext/>
        <w:pBdr>
          <w:bottom w:val="single" w:color="0F5132" w:sz="12" w:space="4"/>
        </w:pBdr>
        <w:spacing w:before="360" w:after="120"/>
      </w:pPr>
      <w:r>
        <w:rPr>
          <w:rFonts w:ascii="Calibri" w:hAnsi="Calibri"/>
          <w:b/>
          <w:color w:val="0F5132"/>
          <w:sz w:val="36"/>
        </w:rPr>
        <w:t>4. Business Model &amp; Go-To-Market Strategy</w:t>
      </w:r>
    </w:p>
    <w:p w14:paraId="6AC277C3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4.1 Revenue Streams</w:t>
      </w:r>
    </w:p>
    <w:p w14:paraId="20EA58BC">
      <w:pPr>
        <w:spacing w:before="0" w:after="120" w:line="276" w:lineRule="auto"/>
        <w:rPr>
          <w:rFonts w:ascii="Calibri" w:hAnsi="Calibri"/>
          <w:color w:val="212529"/>
          <w:sz w:val="22"/>
        </w:rPr>
      </w:pPr>
      <w:r>
        <w:rPr>
          <w:rFonts w:ascii="Calibri" w:hAnsi="Calibri"/>
          <w:color w:val="212529"/>
          <w:sz w:val="22"/>
        </w:rPr>
        <w:t>EcoScan AI executes a diversified monetization strategy across B2B SaaS, developer APIs, and consumer affiliate commissions.</w:t>
      </w:r>
    </w:p>
    <w:p w14:paraId="257AEFC1">
      <w:pPr>
        <w:spacing w:before="0" w:after="120" w:line="276" w:lineRule="auto"/>
        <w:rPr>
          <w:rFonts w:ascii="Calibri" w:hAnsi="Calibri"/>
          <w:color w:val="212529"/>
          <w:sz w:val="22"/>
        </w:rPr>
      </w:pPr>
    </w:p>
    <w:p w14:paraId="210CF53D">
      <w:pPr>
        <w:spacing w:before="160" w:after="40"/>
        <w:jc w:val="center"/>
      </w:pPr>
      <w:r>
        <w:drawing>
          <wp:inline distT="0" distB="0" distL="114300" distR="114300">
            <wp:extent cx="4114800" cy="2880360"/>
            <wp:effectExtent l="0" t="0" r="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C906">
      <w:pPr>
        <w:spacing w:before="160" w:after="40"/>
        <w:jc w:val="center"/>
      </w:pPr>
    </w:p>
    <w:p w14:paraId="0B263C24">
      <w:pPr>
        <w:spacing w:before="40" w:after="200"/>
        <w:jc w:val="center"/>
      </w:pPr>
      <w:r>
        <w:rPr>
          <w:rFonts w:ascii="Calibri" w:hAnsi="Calibri"/>
          <w:i/>
          <w:color w:val="6C757D"/>
          <w:sz w:val="19"/>
        </w:rPr>
        <w:t>Figure 3: EcoScan AI Projected Revenue Distribution Across Monetization Channels</w:t>
      </w:r>
    </w:p>
    <w:p w14:paraId="6DEEE570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B2B Enterprise SaaS License (55%): </w:t>
      </w:r>
      <w:r>
        <w:rPr>
          <w:rFonts w:ascii="Calibri" w:hAnsi="Calibri"/>
          <w:color w:val="212529"/>
          <w:sz w:val="22"/>
        </w:rPr>
        <w:t>Tiered monthly subscription tiers (Starter, Growth, Enterprise) for consumer brands to access internal supply-chain auditing dashboards.</w:t>
      </w:r>
    </w:p>
    <w:p w14:paraId="1966CA3A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Developer API Monetization (30%): </w:t>
      </w:r>
      <w:r>
        <w:rPr>
          <w:rFonts w:ascii="Calibri" w:hAnsi="Calibri"/>
          <w:color w:val="212529"/>
          <w:sz w:val="22"/>
        </w:rPr>
        <w:t>Pay-per-call structure charging large e-commerce marketplaces to display Eco-Verity scores at checkout.</w:t>
      </w:r>
    </w:p>
    <w:p w14:paraId="6CF2BCCE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Affiliate Lead Generation (15%): </w:t>
      </w:r>
      <w:r>
        <w:rPr>
          <w:rFonts w:ascii="Calibri" w:hAnsi="Calibri"/>
          <w:color w:val="212529"/>
          <w:sz w:val="22"/>
        </w:rPr>
        <w:t>Affiliate lead generation commissions earned when B2C extension users switch from low-scoring products to sustainable alternatives.</w:t>
      </w:r>
    </w:p>
    <w:p w14:paraId="0F6D1A3D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4.2 Go-To-Market Channels</w:t>
      </w:r>
    </w:p>
    <w:p w14:paraId="4CF42D41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Direct-to-Consumer (D2C): </w:t>
      </w:r>
      <w:r>
        <w:rPr>
          <w:rFonts w:ascii="Calibri" w:hAnsi="Calibri"/>
          <w:color w:val="212529"/>
          <w:sz w:val="22"/>
        </w:rPr>
        <w:t>Organic SEO campaigns built around sustainable shopping keywords and browser extension marketplace listings.</w:t>
      </w:r>
    </w:p>
    <w:p w14:paraId="654E9178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B2B Enterprise Sales: </w:t>
      </w:r>
      <w:r>
        <w:rPr>
          <w:rFonts w:ascii="Calibri" w:hAnsi="Calibri"/>
          <w:color w:val="212529"/>
          <w:sz w:val="22"/>
        </w:rPr>
        <w:t>Inbound content marketing and direct outreach targeting corporate compliance and procurement officers via LinkedIn.</w:t>
      </w:r>
    </w:p>
    <w:p w14:paraId="5D1AD1EE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Developer API Ecosystem: </w:t>
      </w:r>
      <w:r>
        <w:rPr>
          <w:rFonts w:ascii="Calibri" w:hAnsi="Calibri"/>
          <w:color w:val="212529"/>
          <w:sz w:val="22"/>
        </w:rPr>
        <w:t>Integration listings on popular e-commerce platform marketplaces (e.g., Shopify App Store, Salesforce AppExchange).</w:t>
      </w:r>
    </w:p>
    <w:p w14:paraId="128C564F">
      <w:pPr>
        <w:keepNext/>
        <w:pBdr>
          <w:bottom w:val="single" w:color="0F5132" w:sz="12" w:space="4"/>
        </w:pBdr>
        <w:spacing w:before="360" w:after="120"/>
      </w:pPr>
      <w:r>
        <w:rPr>
          <w:rFonts w:ascii="Calibri" w:hAnsi="Calibri"/>
          <w:b/>
          <w:color w:val="0F5132"/>
          <w:sz w:val="36"/>
        </w:rPr>
        <w:t>5. Operations, Key Metrics &amp; Competitive Advantage</w:t>
      </w:r>
    </w:p>
    <w:p w14:paraId="596750AD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5.1 Cost Structure</w:t>
      </w:r>
    </w:p>
    <w:p w14:paraId="749AF38B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Compute &amp; Infrastructure: </w:t>
      </w:r>
      <w:r>
        <w:rPr>
          <w:rFonts w:ascii="Calibri" w:hAnsi="Calibri"/>
          <w:color w:val="212529"/>
          <w:sz w:val="22"/>
        </w:rPr>
        <w:t>Hosting and inference costs for training NLP models and maintaining real-time databases (IBM Cloud / AWS).</w:t>
      </w:r>
    </w:p>
    <w:p w14:paraId="2052A1FE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Third-Party Data Acquisitions: </w:t>
      </w:r>
      <w:r>
        <w:rPr>
          <w:rFonts w:ascii="Calibri" w:hAnsi="Calibri"/>
          <w:color w:val="212529"/>
          <w:sz w:val="22"/>
        </w:rPr>
        <w:t>Licensing fees for global environmental indices, real-time cargo tracking feeds, and emissions registries.</w:t>
      </w:r>
    </w:p>
    <w:p w14:paraId="31F6F151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Customer Acquisition &amp; Sales: </w:t>
      </w:r>
      <w:r>
        <w:rPr>
          <w:rFonts w:ascii="Calibri" w:hAnsi="Calibri"/>
          <w:color w:val="212529"/>
          <w:sz w:val="22"/>
        </w:rPr>
        <w:t>Marketing expenses for enterprise B2B outreach and B2C privacy campaigns.</w:t>
      </w:r>
    </w:p>
    <w:p w14:paraId="70CD2143">
      <w:pPr>
        <w:keepNext/>
        <w:spacing w:before="280" w:after="80"/>
        <w:rPr>
          <w:rFonts w:ascii="Calibri" w:hAnsi="Calibri"/>
          <w:b/>
          <w:color w:val="198754"/>
          <w:sz w:val="28"/>
        </w:rPr>
      </w:pPr>
      <w:r>
        <w:rPr>
          <w:rFonts w:ascii="Calibri" w:hAnsi="Calibri"/>
          <w:b/>
          <w:color w:val="198754"/>
          <w:sz w:val="28"/>
        </w:rPr>
        <w:t>5.2 Key Performance Indicators (KPIs)</w:t>
      </w:r>
    </w:p>
    <w:p w14:paraId="66E484CD">
      <w:pPr>
        <w:keepNext/>
        <w:spacing w:before="280" w:after="80"/>
        <w:rPr>
          <w:rFonts w:ascii="Calibri" w:hAnsi="Calibri"/>
          <w:b/>
          <w:color w:val="198754"/>
          <w:sz w:val="28"/>
        </w:rPr>
      </w:pPr>
    </w:p>
    <w:p w14:paraId="594D6E89">
      <w:pPr>
        <w:spacing w:before="160" w:after="40"/>
        <w:jc w:val="center"/>
      </w:pPr>
      <w:r>
        <w:drawing>
          <wp:inline distT="0" distB="0" distL="114300" distR="114300">
            <wp:extent cx="457200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30A7">
      <w:pPr>
        <w:spacing w:before="160" w:after="40"/>
        <w:jc w:val="center"/>
      </w:pPr>
    </w:p>
    <w:p w14:paraId="4BA4FFC3">
      <w:pPr>
        <w:spacing w:before="40" w:after="200"/>
        <w:jc w:val="center"/>
        <w:rPr>
          <w:rFonts w:ascii="Calibri" w:hAnsi="Calibri"/>
          <w:i/>
          <w:color w:val="6C757D"/>
          <w:sz w:val="19"/>
        </w:rPr>
      </w:pPr>
      <w:r>
        <w:rPr>
          <w:rFonts w:ascii="Calibri" w:hAnsi="Calibri"/>
          <w:i/>
          <w:color w:val="6C757D"/>
          <w:sz w:val="19"/>
        </w:rPr>
        <w:t>Figure 4: Impact of EcoScan AI Automated Audit Pipeline vs Manual Consulting</w:t>
      </w:r>
    </w:p>
    <w:p w14:paraId="55509A3C">
      <w:pPr>
        <w:spacing w:before="40" w:after="200"/>
        <w:jc w:val="center"/>
        <w:rPr>
          <w:rFonts w:ascii="Calibri" w:hAnsi="Calibri"/>
          <w:i/>
          <w:color w:val="6C757D"/>
          <w:sz w:val="19"/>
        </w:rPr>
      </w:pPr>
    </w:p>
    <w:p w14:paraId="2D783216">
      <w:pPr>
        <w:spacing w:before="40" w:after="200"/>
        <w:jc w:val="center"/>
        <w:rPr>
          <w:rFonts w:ascii="Calibri" w:hAnsi="Calibri"/>
          <w:i/>
          <w:color w:val="6C757D"/>
          <w:sz w:val="19"/>
        </w:rPr>
      </w:pPr>
      <w:bookmarkStart w:id="0" w:name="_GoBack"/>
      <w:bookmarkEnd w:id="0"/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59878C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0F513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63B092">
            <w:r>
              <w:rPr>
                <w:rFonts w:ascii="Calibri" w:hAnsi="Calibri"/>
                <w:b/>
                <w:color w:val="FFFFFF"/>
              </w:rPr>
              <w:t>Key Metric</w:t>
            </w:r>
          </w:p>
        </w:tc>
        <w:tc>
          <w:tcPr>
            <w:tcW w:w="3120" w:type="dxa"/>
            <w:shd w:val="clear" w:color="auto" w:fill="0F513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AC8BF">
            <w:r>
              <w:rPr>
                <w:rFonts w:ascii="Calibri" w:hAnsi="Calibri"/>
                <w:b/>
                <w:color w:val="FFFFFF"/>
              </w:rPr>
              <w:t>Target Benchmark / Goal</w:t>
            </w:r>
          </w:p>
        </w:tc>
        <w:tc>
          <w:tcPr>
            <w:tcW w:w="3120" w:type="dxa"/>
            <w:shd w:val="clear" w:color="auto" w:fill="0F513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C47F4">
            <w:r>
              <w:rPr>
                <w:rFonts w:ascii="Calibri" w:hAnsi="Calibri"/>
                <w:b/>
                <w:color w:val="FFFFFF"/>
              </w:rPr>
              <w:t>Business Impact</w:t>
            </w:r>
          </w:p>
        </w:tc>
      </w:tr>
      <w:tr w14:paraId="1A127C26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C7FC">
            <w:r>
              <w:rPr>
                <w:rFonts w:ascii="Calibri" w:hAnsi="Calibri"/>
                <w:color w:val="212529"/>
                <w:sz w:val="19"/>
              </w:rPr>
              <w:t>API Verification Volume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A03A">
            <w:r>
              <w:rPr>
                <w:rFonts w:ascii="Calibri" w:hAnsi="Calibri"/>
                <w:color w:val="212529"/>
                <w:sz w:val="19"/>
              </w:rPr>
              <w:t>1,000,000+ monthly product audits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F46C">
            <w:r>
              <w:rPr>
                <w:rFonts w:ascii="Calibri" w:hAnsi="Calibri"/>
                <w:color w:val="212529"/>
                <w:sz w:val="19"/>
              </w:rPr>
              <w:t>Drives API monetization revenue and enriches core training dataset.</w:t>
            </w:r>
          </w:p>
        </w:tc>
      </w:tr>
      <w:tr w14:paraId="0065605B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4977">
            <w:r>
              <w:rPr>
                <w:rFonts w:ascii="Calibri" w:hAnsi="Calibri"/>
                <w:color w:val="212529"/>
                <w:sz w:val="19"/>
              </w:rPr>
              <w:t>Audit Efficiency Time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22E30">
            <w:r>
              <w:rPr>
                <w:rFonts w:ascii="Calibri" w:hAnsi="Calibri"/>
                <w:color w:val="212529"/>
                <w:sz w:val="19"/>
              </w:rPr>
              <w:t>Reduce audit cycle from 4 weeks to 5 minutes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C0A5">
            <w:r>
              <w:rPr>
                <w:rFonts w:ascii="Calibri" w:hAnsi="Calibri"/>
                <w:color w:val="212529"/>
                <w:sz w:val="19"/>
              </w:rPr>
              <w:t>Delivers 99.98% time savings to enterprise compliance procurement teams.</w:t>
            </w:r>
          </w:p>
        </w:tc>
      </w:tr>
      <w:tr w14:paraId="5487544B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1550">
            <w:r>
              <w:rPr>
                <w:rFonts w:ascii="Calibri" w:hAnsi="Calibri"/>
                <w:color w:val="212529"/>
                <w:sz w:val="19"/>
              </w:rPr>
              <w:t>User Retention Rate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6D71">
            <w:r>
              <w:rPr>
                <w:rFonts w:ascii="Calibri" w:hAnsi="Calibri"/>
                <w:color w:val="212529"/>
                <w:sz w:val="19"/>
              </w:rPr>
              <w:t>65%+ 30-day active extension retention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2789">
            <w:r>
              <w:rPr>
                <w:rFonts w:ascii="Calibri" w:hAnsi="Calibri"/>
                <w:color w:val="212529"/>
                <w:sz w:val="19"/>
              </w:rPr>
              <w:t>Ensures consistent affiliate conversion and B2C brand awareness.</w:t>
            </w:r>
          </w:p>
        </w:tc>
      </w:tr>
    </w:tbl>
    <w:p w14:paraId="79C09D24">
      <w:pPr>
        <w:spacing w:before="0" w:after="120"/>
      </w:pPr>
    </w:p>
    <w:p w14:paraId="4FC3AFDE">
      <w:pPr>
        <w:keepNext/>
        <w:spacing w:before="280" w:after="80"/>
      </w:pPr>
      <w:r>
        <w:rPr>
          <w:rFonts w:ascii="Calibri" w:hAnsi="Calibri"/>
          <w:b/>
          <w:color w:val="198754"/>
          <w:sz w:val="28"/>
        </w:rPr>
        <w:t>5.3 Unfair Advantage &amp; Moat</w:t>
      </w:r>
    </w:p>
    <w:p w14:paraId="058927E4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Proprietary Cross-Reference Model: </w:t>
      </w:r>
      <w:r>
        <w:rPr>
          <w:rFonts w:ascii="Calibri" w:hAnsi="Calibri"/>
          <w:color w:val="212529"/>
          <w:sz w:val="22"/>
        </w:rPr>
        <w:t>An exclusive, trained transformer model containing proprietary material manufacturing data profiles that competitors cannot replicate without deep industry partnerships.</w:t>
      </w:r>
    </w:p>
    <w:p w14:paraId="1A1C2A16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First-Mover Network Effect: </w:t>
      </w:r>
      <w:r>
        <w:rPr>
          <w:rFonts w:ascii="Calibri" w:hAnsi="Calibri"/>
          <w:color w:val="212529"/>
          <w:sz w:val="22"/>
        </w:rPr>
        <w:t>As more enterprise brands feed verified, anonymous transit data points into EcoScan AI, baseline prediction models become progressively more accurate, establishing an unbeatable competitive moat.</w:t>
      </w:r>
    </w:p>
    <w:p w14:paraId="7D67ABCB">
      <w:pPr>
        <w:keepNext/>
        <w:pBdr>
          <w:bottom w:val="single" w:color="0F5132" w:sz="12" w:space="4"/>
        </w:pBdr>
        <w:spacing w:before="360" w:after="120"/>
      </w:pPr>
      <w:r>
        <w:rPr>
          <w:rFonts w:ascii="Calibri" w:hAnsi="Calibri"/>
          <w:b/>
          <w:color w:val="0F5132"/>
          <w:sz w:val="36"/>
        </w:rPr>
        <w:t>6. Conclusion &amp; Strategic Roadmap</w:t>
      </w:r>
    </w:p>
    <w:p w14:paraId="01EA3518"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EcoScan AI solves the fundamental trust and transparency problem in modern sustainable commerce. By automating document ingestion, verifying multi-tier Scope 3 carbon data, and serving both B2B enterprise leaders and B2C shoppers, EcoScan AI creates a unified, scalable standard for global product sustainability.</w:t>
      </w:r>
    </w:p>
    <w:p w14:paraId="393DBB59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Phase 1 (Q1–Q2): </w:t>
      </w:r>
      <w:r>
        <w:rPr>
          <w:rFonts w:ascii="Calibri" w:hAnsi="Calibri"/>
          <w:color w:val="212529"/>
          <w:sz w:val="22"/>
        </w:rPr>
        <w:t>Launch core NLP document parser and pilot B2B enterprise dashboard with select D2C apparel brands.</w:t>
      </w:r>
    </w:p>
    <w:p w14:paraId="4F90EB3E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Phase 2 (Q3–Q4): </w:t>
      </w:r>
      <w:r>
        <w:rPr>
          <w:rFonts w:ascii="Calibri" w:hAnsi="Calibri"/>
          <w:color w:val="212529"/>
          <w:sz w:val="22"/>
        </w:rPr>
        <w:t>Release B2C Chrome/Safari extension and expand API marketplace integrations on Shopify and Salesforce.</w:t>
      </w:r>
    </w:p>
    <w:p w14:paraId="45D27AEE">
      <w:pPr>
        <w:pStyle w:val="23"/>
        <w:spacing w:before="0" w:after="60" w:line="276" w:lineRule="auto"/>
      </w:pPr>
      <w:r>
        <w:rPr>
          <w:rFonts w:ascii="Calibri" w:hAnsi="Calibri"/>
          <w:b/>
          <w:color w:val="212529"/>
          <w:sz w:val="22"/>
        </w:rPr>
        <w:t xml:space="preserve">Phase 3 (Year 2): </w:t>
      </w:r>
      <w:r>
        <w:rPr>
          <w:rFonts w:ascii="Calibri" w:hAnsi="Calibri"/>
          <w:color w:val="212529"/>
          <w:sz w:val="22"/>
        </w:rPr>
        <w:t>Incorporate real-time IoT cargo sensors and blockchain verification for continuous supply chain tracking.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EABB3">
    <w:pPr>
      <w:pStyle w:val="18"/>
      <w:jc w:val="left"/>
    </w:pPr>
    <w:r>
      <w:rPr>
        <w:rFonts w:ascii="Calibri" w:hAnsi="Calibri"/>
        <w:color w:val="6C757D"/>
        <w:sz w:val="17"/>
      </w:rPr>
      <w:t>Jalaja Sunil Borkar | Datta Meghe College of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14BC9">
    <w:pPr>
      <w:pStyle w:val="19"/>
      <w:jc w:val="right"/>
    </w:pPr>
    <w:r>
      <w:rPr>
        <w:rFonts w:ascii="Calibri" w:hAnsi="Calibri"/>
        <w:color w:val="6C757D"/>
        <w:sz w:val="17"/>
      </w:rPr>
      <w:t>EcoScan AI | Project Architecture &amp;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541EEA"/>
    <w:rsid w:val="32FB14B1"/>
    <w:rsid w:val="33903029"/>
    <w:rsid w:val="358E7486"/>
    <w:rsid w:val="3C57218D"/>
    <w:rsid w:val="69A2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1244</Words>
  <Characters>8480</Characters>
  <Lines>0</Lines>
  <Paragraphs>0</Paragraphs>
  <TotalTime>12</TotalTime>
  <ScaleCrop>false</ScaleCrop>
  <LinksUpToDate>false</LinksUpToDate>
  <CharactersWithSpaces>9687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Jalaja Borkar</cp:lastModifiedBy>
  <dcterms:modified xsi:type="dcterms:W3CDTF">2026-10-23T13:20:20Z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eyJoZGlkIjoiNjZhZjY0YzMwZjZiMjgxMGE0Y2E5MmI4YWQ2Mzc4MWIiLCJ1c2VySWQiOiI1Njc0MTE3NzI5ODgifQ==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BA22B912C574483A8E49A85464D46A7C_13</vt:lpwstr>
  </property>
</Properties>
</file>