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 FalconCore Automated Trading Platform</w:t>
      </w:r>
    </w:p>
    <w:p>
      <w:pPr>
        <w:jc w:val="center"/>
      </w:pPr>
      <w:r>
        <w:rPr>
          <w:rFonts w:ascii="Arial" w:hAnsi="Arial"/>
          <w:b/>
          <w:sz w:val="26"/>
        </w:rPr>
        <w:t>Project Memory — v0.19.4 Locked</w:t>
      </w:r>
    </w:p>
    <w:p>
      <w:pPr>
        <w:jc w:val="center"/>
      </w:pPr>
      <w:r>
        <w:rPr>
          <w:rFonts w:ascii="Arial" w:hAnsi="Arial"/>
          <w:sz w:val="22"/>
        </w:rPr>
        <w:t>FVG Direction &amp; Outcome Breakdown Summary</w:t>
      </w:r>
    </w:p>
    <w:p>
      <w:pPr>
        <w:pStyle w:val="Heading1"/>
      </w:pPr>
      <w:r>
        <w:t>1. الحالة الرسمية للإصدار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F7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البند</w:t>
            </w:r>
          </w:p>
        </w:tc>
        <w:tc>
          <w:tcPr>
            <w:tcW w:type="dxa" w:w="5400"/>
            <w:shd w:fill="D9EAF7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القيمة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LOCKED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Compile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Execution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NO OrderSend / NO real execution / Shadow only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ReportProfile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STANDARD — 4 CSV files only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Test Period Actual Data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2026-04-01 to 2026-04-03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Baseline Compared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v0.18.9 / v0.19.1 / v0.19.3</w:t>
            </w:r>
          </w:p>
        </w:tc>
      </w:tr>
    </w:tbl>
    <w:p>
      <w:pPr>
        <w:jc w:val="right"/>
      </w:pPr>
      <w:r>
        <w:rPr>
          <w:b/>
        </w:rPr>
        <w:t xml:space="preserve">القرار: </w:t>
      </w:r>
      <w:r>
        <w:t>v0.19.4 تم اعتماده كـ Locked baseline لأن حقول BUY/SELL ظهرت في Summary، ونتائج Shadow لم تتغير عن baseline، والتقارير بقيت 4 فقط وثابتة الأعمدة.</w:t>
      </w:r>
    </w:p>
    <w:p>
      <w:pPr>
        <w:pStyle w:val="Heading1"/>
      </w:pPr>
      <w:r>
        <w:t>2. نتائج الاختبار المختصر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2F0D9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5400"/>
            <w:shd w:fill="E2F0D9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Total Shadow Trades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81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Win Trades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49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Lose Trades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WinRate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60.49%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LoseRate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39.51%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TotalProfitIndexPoints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686.98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TotalLossIndexPoints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239.40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NetIndexPoints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+447.58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TotalProfitUSD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137.40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TotalLossUSD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47.88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NetUSD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+89.52</w:t>
            </w:r>
          </w:p>
        </w:tc>
      </w:tr>
    </w:tbl>
    <w:p>
      <w:pPr>
        <w:pStyle w:val="Heading1"/>
      </w:pPr>
      <w:r>
        <w:t>3. Direction Breakdown المعتمد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FCE4D6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Direction</w:t>
            </w:r>
          </w:p>
        </w:tc>
        <w:tc>
          <w:tcPr>
            <w:tcW w:type="dxa" w:w="2700"/>
            <w:shd w:fill="FCE4D6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Trades</w:t>
            </w:r>
          </w:p>
        </w:tc>
        <w:tc>
          <w:tcPr>
            <w:tcW w:type="dxa" w:w="2700"/>
            <w:shd w:fill="FCE4D6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WinRate</w:t>
            </w:r>
          </w:p>
        </w:tc>
        <w:tc>
          <w:tcPr>
            <w:tcW w:type="dxa" w:w="2700"/>
            <w:shd w:fill="FCE4D6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NetIndexPoints</w:t>
            </w:r>
          </w:p>
        </w:tc>
      </w:tr>
      <w:tr>
        <w:tc>
          <w:tcPr>
            <w:tcW w:type="dxa" w:w="27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BUY</w:t>
            </w:r>
          </w:p>
        </w:tc>
        <w:tc>
          <w:tcPr>
            <w:tcW w:type="dxa" w:w="27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27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57.14%</w:t>
            </w:r>
          </w:p>
        </w:tc>
        <w:tc>
          <w:tcPr>
            <w:tcW w:type="dxa" w:w="27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+169.09</w:t>
            </w:r>
          </w:p>
        </w:tc>
      </w:tr>
      <w:tr>
        <w:tc>
          <w:tcPr>
            <w:tcW w:type="dxa" w:w="27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SELL</w:t>
            </w:r>
          </w:p>
        </w:tc>
        <w:tc>
          <w:tcPr>
            <w:tcW w:type="dxa" w:w="27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27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64.10%</w:t>
            </w:r>
          </w:p>
        </w:tc>
        <w:tc>
          <w:tcPr>
            <w:tcW w:type="dxa" w:w="27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+278.49</w:t>
            </w:r>
          </w:p>
        </w:tc>
      </w:tr>
    </w:tbl>
    <w:p>
      <w:pPr>
        <w:jc w:val="right"/>
      </w:pPr>
      <w:r>
        <w:rPr>
          <w:b/>
        </w:rPr>
        <w:t xml:space="preserve">استنتاج مهم: </w:t>
      </w:r>
      <w:r>
        <w:t>في عينة 01-04 إلى 03-04، SELL داخل FVG Micro كان أقوى من BUY من ناحية NetIndexPoints. لذلك لا نعالج Sell-side كضعف داخل FVG Micro قبل اختبارات أوسع.</w:t>
      </w:r>
    </w:p>
    <w:p>
      <w:pPr>
        <w:pStyle w:val="Heading1"/>
      </w:pPr>
      <w:r>
        <w:t>4. Quality Metrics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D9EAD3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5400"/>
            <w:shd w:fill="D9EAD3"/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FvgCandidateBuilderEvaluations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137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FvgDetectedCandidates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FvgQualityEvaluated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FvgQualityPassed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136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FvgQualityRejected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FvgSizeMinPoints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6.00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FvgSizeAvgPoints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939.70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FvgSizeMaxPoints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9325.00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SpreadMinPoints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SpreadAvgPoints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110.00</w:t>
            </w:r>
          </w:p>
        </w:tc>
      </w:tr>
      <w:tr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SpreadMaxPoints</w:t>
            </w:r>
          </w:p>
        </w:tc>
        <w:tc>
          <w:tcPr>
            <w:tcW w:type="dxa" w:w="5400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</w:tr>
    </w:tbl>
    <w:p>
      <w:pPr>
        <w:pStyle w:val="Heading1"/>
      </w:pPr>
      <w:r>
        <w:t>5. قواعد المشروع التي تبقى مفعلة</w:t>
      </w:r>
    </w:p>
    <w:p>
      <w:pPr>
        <w:jc w:val="right"/>
      </w:pPr>
      <w:r>
        <w:t>• لا يوجد OrderSend قبل مراحل Paper/Demo الرسمية.</w:t>
      </w:r>
    </w:p>
    <w:p>
      <w:pPr>
        <w:jc w:val="right"/>
      </w:pPr>
      <w:r>
        <w:t>• كل منطق جديد يبدأ Shadow أولًا.</w:t>
      </w:r>
    </w:p>
    <w:p>
      <w:pPr>
        <w:jc w:val="right"/>
      </w:pPr>
      <w:r>
        <w:t>• ReportProfile STANDARD يجب أن يبقي التقارير الأساسية فقط.</w:t>
      </w:r>
    </w:p>
    <w:p>
      <w:pPr>
        <w:jc w:val="right"/>
      </w:pPr>
      <w:r>
        <w:t>• التقارير التشخيصية المؤقتة تُحذف أو تُدمج بعد انتهاء فائدتها.</w:t>
      </w:r>
    </w:p>
    <w:p>
      <w:pPr>
        <w:jc w:val="right"/>
      </w:pPr>
      <w:r>
        <w:t>• أي تغيير في التقارير لا يجب أن يغيّر FVG logic أو Shadow results.</w:t>
      </w:r>
    </w:p>
    <w:p>
      <w:pPr>
        <w:jc w:val="right"/>
      </w:pPr>
      <w:r>
        <w:t>• CSV يجب أن يبقى ثابت الأعمدة وقابلًا للتحليل.</w:t>
      </w:r>
    </w:p>
    <w:p>
      <w:pPr>
        <w:jc w:val="right"/>
      </w:pPr>
      <w:r>
        <w:t>• Actual Data Period قد يختلف عن Requested Tester Period إذا كانت نهاية الاختبار عطلة أو بلا ticks.</w:t>
      </w:r>
    </w:p>
    <w:p>
      <w:pPr>
        <w:pStyle w:val="Heading1"/>
      </w:pPr>
      <w:r>
        <w:t>6. الخطوة التالية المقترحة</w:t>
      </w:r>
    </w:p>
    <w:p>
      <w:pPr>
        <w:jc w:val="right"/>
      </w:pPr>
      <w:r>
        <w:rPr>
          <w:b/>
        </w:rPr>
        <w:t>v0.20.0 — FVG Micro Retest Freshness &amp; Hold Quality Shadow</w:t>
      </w:r>
      <w:r>
        <w:br/>
        <w:t>الهدف: إضافة تقييم RetestFreshness وHold/Reject behavior داخل Summary فقط، بدون زيادة تقارير، وبدون تنفيذ حقيقي. تتم المقارنة دائمًا مع v0.19.4 Locked.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 FalconCore Project Memory — v0.19.4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