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 FalconCore Project Memory</w:t>
      </w:r>
    </w:p>
    <w:p>
      <w:pPr>
        <w:jc w:val="center"/>
      </w:pPr>
      <w:r>
        <w:rPr>
          <w:b/>
          <w:sz w:val="24"/>
        </w:rPr>
        <w:t>v0.55.5 — Capital Flow Source Classification — LOCKED</w:t>
      </w:r>
    </w:p>
    <w:p>
      <w:pPr>
        <w:pStyle w:val="Heading1"/>
      </w:pPr>
      <w:r>
        <w:t>1. Lock Verdict</w:t>
      </w:r>
    </w:p>
    <w:p>
      <w:r>
        <w:t>v0.55.5 is LOCKED / ACCEPTED as a Capital Accounting and Reporting Classification layer. It classifies capital movement per trade without changing entry, exit, SL/TP, Protection, Runner, Emergency, Tier, Dynamic LotSizing, or execution behavior.</w:t>
      </w:r>
    </w:p>
    <w:p>
      <w:pPr>
        <w:pStyle w:val="Heading1"/>
      </w:pPr>
      <w:r>
        <w:t>2. What Was Added</w:t>
      </w:r>
    </w:p>
    <w:p>
      <w:pPr>
        <w:pStyle w:val="ListBullet"/>
      </w:pPr>
      <w:r>
        <w:t>Per-trade CapitalFlowSource classification: TRADE_PROFIT, TRADE_LOSS, FLAT, INJECTION, WITHDRAWAL, UNKNOWN.</w:t>
      </w:r>
    </w:p>
    <w:p>
      <w:pPr>
        <w:pStyle w:val="ListBullet"/>
      </w:pPr>
      <w:r>
        <w:t>Per-trade CapitalDeltaUSD and ExternalCapitalDeltaUSD.</w:t>
      </w:r>
    </w:p>
    <w:p>
      <w:pPr>
        <w:pStyle w:val="ListBullet"/>
      </w:pPr>
      <w:r>
        <w:t>Summary-level counters for trade profit/loss events, injection events, withdrawal events, and external capital net.</w:t>
      </w:r>
    </w:p>
    <w:p>
      <w:pPr>
        <w:pStyle w:val="ListBullet"/>
      </w:pPr>
      <w:r>
        <w:t>CapitalFlowIntegrityStatus gate.</w:t>
      </w:r>
    </w:p>
    <w:p>
      <w:pPr>
        <w:pStyle w:val="ListBullet"/>
      </w:pPr>
      <w:r>
        <w:t>Minimal report structure from v0.55.4d preserved.</w:t>
      </w:r>
    </w:p>
    <w:p>
      <w:pPr>
        <w:pStyle w:val="Heading1"/>
      </w:pPr>
      <w:r>
        <w:t>3. Multi-Window Results — Dynamic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vAlign w:val="center"/>
            <w:shd w:fill="D9EAF7"/>
          </w:tcPr>
          <w:p>
            <w:r>
              <w:t>Window</w:t>
            </w:r>
          </w:p>
        </w:tc>
        <w:tc>
          <w:tcPr>
            <w:tcW w:type="dxa" w:w="1168"/>
            <w:vAlign w:val="center"/>
            <w:shd w:fill="D9EAF7"/>
          </w:tcPr>
          <w:p>
            <w:r>
              <w:t>Trades</w:t>
            </w:r>
          </w:p>
        </w:tc>
        <w:tc>
          <w:tcPr>
            <w:tcW w:type="dxa" w:w="1168"/>
            <w:vAlign w:val="center"/>
            <w:shd w:fill="D9EAF7"/>
          </w:tcPr>
          <w:p>
            <w:r>
              <w:t>WinRate</w:t>
            </w:r>
          </w:p>
        </w:tc>
        <w:tc>
          <w:tcPr>
            <w:tcW w:type="dxa" w:w="1168"/>
            <w:vAlign w:val="center"/>
            <w:shd w:fill="D9EAF7"/>
          </w:tcPr>
          <w:p>
            <w:r>
              <w:t>RawNetUSD</w:t>
            </w:r>
          </w:p>
        </w:tc>
        <w:tc>
          <w:tcPr>
            <w:tcW w:type="dxa" w:w="1168"/>
            <w:vAlign w:val="center"/>
            <w:shd w:fill="D9EAF7"/>
          </w:tcPr>
          <w:p>
            <w:r>
              <w:t>FinalWorkingNetUSD</w:t>
            </w:r>
          </w:p>
        </w:tc>
        <w:tc>
          <w:tcPr>
            <w:tcW w:type="dxa" w:w="1168"/>
            <w:vAlign w:val="center"/>
            <w:shd w:fill="D9EAF7"/>
          </w:tcPr>
          <w:p>
            <w:r>
              <w:t>AvgLot</w:t>
            </w:r>
          </w:p>
        </w:tc>
        <w:tc>
          <w:tcPr>
            <w:tcW w:type="dxa" w:w="1168"/>
            <w:vAlign w:val="center"/>
            <w:shd w:fill="D9EAF7"/>
          </w:tcPr>
          <w:p>
            <w:r>
              <w:t>MaxLot</w:t>
            </w:r>
          </w:p>
        </w:tc>
        <w:tc>
          <w:tcPr>
            <w:tcW w:type="dxa" w:w="1168"/>
            <w:vAlign w:val="center"/>
            <w:shd w:fill="D9EAF7"/>
          </w:tcPr>
          <w:p>
            <w:r>
              <w:t>CapitalFlowIntegrityStatus</w:t>
            </w:r>
          </w:p>
        </w:tc>
        <w:tc>
          <w:tcPr>
            <w:tcW w:type="dxa" w:w="1168"/>
            <w:vAlign w:val="center"/>
            <w:shd w:fill="D9EAF7"/>
          </w:tcPr>
          <w:p>
            <w:r>
              <w:t>ReportIntegrityStatus</w:t>
            </w:r>
          </w:p>
        </w:tc>
      </w:tr>
      <w:tr>
        <w:tc>
          <w:tcPr>
            <w:tcW w:type="dxa" w:w="1168"/>
          </w:tcPr>
          <w:p>
            <w:r>
              <w:t>2026-01-01→2026-01-30</w:t>
            </w:r>
          </w:p>
        </w:tc>
        <w:tc>
          <w:tcPr>
            <w:tcW w:type="dxa" w:w="1168"/>
          </w:tcPr>
          <w:p>
            <w:r>
              <w:t>492</w:t>
            </w:r>
          </w:p>
        </w:tc>
        <w:tc>
          <w:tcPr>
            <w:tcW w:type="dxa" w:w="1168"/>
          </w:tcPr>
          <w:p>
            <w:r>
              <w:t>65.45%</w:t>
            </w:r>
          </w:p>
        </w:tc>
        <w:tc>
          <w:tcPr>
            <w:tcW w:type="dxa" w:w="1168"/>
          </w:tcPr>
          <w:p>
            <w:r>
              <w:t>644.96</w:t>
            </w:r>
          </w:p>
        </w:tc>
        <w:tc>
          <w:tcPr>
            <w:tcW w:type="dxa" w:w="1168"/>
          </w:tcPr>
          <w:p>
            <w:r>
              <w:t>1,633.64</w:t>
            </w:r>
          </w:p>
        </w:tc>
        <w:tc>
          <w:tcPr>
            <w:tcW w:type="dxa" w:w="1168"/>
          </w:tcPr>
          <w:p>
            <w:r>
              <w:t>0.02</w:t>
            </w:r>
          </w:p>
        </w:tc>
        <w:tc>
          <w:tcPr>
            <w:tcW w:type="dxa" w:w="1168"/>
          </w:tcPr>
          <w:p>
            <w:r>
              <w:t>0.06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</w:tr>
      <w:tr>
        <w:tc>
          <w:tcPr>
            <w:tcW w:type="dxa" w:w="1168"/>
          </w:tcPr>
          <w:p>
            <w:r>
              <w:t>2026-02-01→2026-02-27</w:t>
            </w:r>
          </w:p>
        </w:tc>
        <w:tc>
          <w:tcPr>
            <w:tcW w:type="dxa" w:w="1168"/>
          </w:tcPr>
          <w:p>
            <w:r>
              <w:t>488</w:t>
            </w:r>
          </w:p>
        </w:tc>
        <w:tc>
          <w:tcPr>
            <w:tcW w:type="dxa" w:w="1168"/>
          </w:tcPr>
          <w:p>
            <w:r>
              <w:t>67.01%</w:t>
            </w:r>
          </w:p>
        </w:tc>
        <w:tc>
          <w:tcPr>
            <w:tcW w:type="dxa" w:w="1168"/>
          </w:tcPr>
          <w:p>
            <w:r>
              <w:t>2,980.69</w:t>
            </w:r>
          </w:p>
        </w:tc>
        <w:tc>
          <w:tcPr>
            <w:tcW w:type="dxa" w:w="1168"/>
          </w:tcPr>
          <w:p>
            <w:r>
              <w:t>6,817.65</w:t>
            </w:r>
          </w:p>
        </w:tc>
        <w:tc>
          <w:tcPr>
            <w:tcW w:type="dxa" w:w="1168"/>
          </w:tcPr>
          <w:p>
            <w:r>
              <w:t>0.06</w:t>
            </w:r>
          </w:p>
        </w:tc>
        <w:tc>
          <w:tcPr>
            <w:tcW w:type="dxa" w:w="1168"/>
          </w:tcPr>
          <w:p>
            <w:r>
              <w:t>0.27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</w:tr>
      <w:tr>
        <w:tc>
          <w:tcPr>
            <w:tcW w:type="dxa" w:w="1168"/>
          </w:tcPr>
          <w:p>
            <w:r>
              <w:t>2026-03-01→2026-03-31</w:t>
            </w:r>
          </w:p>
        </w:tc>
        <w:tc>
          <w:tcPr>
            <w:tcW w:type="dxa" w:w="1168"/>
          </w:tcPr>
          <w:p>
            <w:r>
              <w:t>628</w:t>
            </w:r>
          </w:p>
        </w:tc>
        <w:tc>
          <w:tcPr>
            <w:tcW w:type="dxa" w:w="1168"/>
          </w:tcPr>
          <w:p>
            <w:r>
              <w:t>65.61%</w:t>
            </w:r>
          </w:p>
        </w:tc>
        <w:tc>
          <w:tcPr>
            <w:tcW w:type="dxa" w:w="1168"/>
          </w:tcPr>
          <w:p>
            <w:r>
              <w:t>12,025.46</w:t>
            </w:r>
          </w:p>
        </w:tc>
        <w:tc>
          <w:tcPr>
            <w:tcW w:type="dxa" w:w="1168"/>
          </w:tcPr>
          <w:p>
            <w:r>
              <w:t>34,682.35</w:t>
            </w:r>
          </w:p>
        </w:tc>
        <w:tc>
          <w:tcPr>
            <w:tcW w:type="dxa" w:w="1168"/>
          </w:tcPr>
          <w:p>
            <w:r>
              <w:t>0.20</w:t>
            </w:r>
          </w:p>
        </w:tc>
        <w:tc>
          <w:tcPr>
            <w:tcW w:type="dxa" w:w="1168"/>
          </w:tcPr>
          <w:p>
            <w:r>
              <w:t>1.00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</w:tr>
      <w:tr>
        <w:tc>
          <w:tcPr>
            <w:tcW w:type="dxa" w:w="1168"/>
          </w:tcPr>
          <w:p>
            <w:r>
              <w:t>2026-04-01→2026-04-30</w:t>
            </w:r>
          </w:p>
        </w:tc>
        <w:tc>
          <w:tcPr>
            <w:tcW w:type="dxa" w:w="1168"/>
          </w:tcPr>
          <w:p>
            <w:r>
              <w:t>536</w:t>
            </w:r>
          </w:p>
        </w:tc>
        <w:tc>
          <w:tcPr>
            <w:tcW w:type="dxa" w:w="1168"/>
          </w:tcPr>
          <w:p>
            <w:r>
              <w:t>68.28%</w:t>
            </w:r>
          </w:p>
        </w:tc>
        <w:tc>
          <w:tcPr>
            <w:tcW w:type="dxa" w:w="1168"/>
          </w:tcPr>
          <w:p>
            <w:r>
              <w:t>2,239.67</w:t>
            </w:r>
          </w:p>
        </w:tc>
        <w:tc>
          <w:tcPr>
            <w:tcW w:type="dxa" w:w="1168"/>
          </w:tcPr>
          <w:p>
            <w:r>
              <w:t>4,524.85</w:t>
            </w:r>
          </w:p>
        </w:tc>
        <w:tc>
          <w:tcPr>
            <w:tcW w:type="dxa" w:w="1168"/>
          </w:tcPr>
          <w:p>
            <w:r>
              <w:t>0.04</w:t>
            </w:r>
          </w:p>
        </w:tc>
        <w:tc>
          <w:tcPr>
            <w:tcW w:type="dxa" w:w="1168"/>
          </w:tcPr>
          <w:p>
            <w:r>
              <w:t>0.18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</w:tr>
      <w:tr>
        <w:tc>
          <w:tcPr>
            <w:tcW w:type="dxa" w:w="1168"/>
          </w:tcPr>
          <w:p>
            <w:r>
              <w:t>2026-05-01→2026-05-14</w:t>
            </w:r>
          </w:p>
        </w:tc>
        <w:tc>
          <w:tcPr>
            <w:tcW w:type="dxa" w:w="1168"/>
          </w:tcPr>
          <w:p>
            <w:r>
              <w:t>258</w:t>
            </w:r>
          </w:p>
        </w:tc>
        <w:tc>
          <w:tcPr>
            <w:tcW w:type="dxa" w:w="1168"/>
          </w:tcPr>
          <w:p>
            <w:r>
              <w:t>64.73%</w:t>
            </w:r>
          </w:p>
        </w:tc>
        <w:tc>
          <w:tcPr>
            <w:tcW w:type="dxa" w:w="1168"/>
          </w:tcPr>
          <w:p>
            <w:r>
              <w:t>468.83</w:t>
            </w:r>
          </w:p>
        </w:tc>
        <w:tc>
          <w:tcPr>
            <w:tcW w:type="dxa" w:w="1168"/>
          </w:tcPr>
          <w:p>
            <w:r>
              <w:t>1,103.55</w:t>
            </w:r>
          </w:p>
        </w:tc>
        <w:tc>
          <w:tcPr>
            <w:tcW w:type="dxa" w:w="1168"/>
          </w:tcPr>
          <w:p>
            <w:r>
              <w:t>0.01</w:t>
            </w:r>
          </w:p>
        </w:tc>
        <w:tc>
          <w:tcPr>
            <w:tcW w:type="dxa" w:w="1168"/>
          </w:tcPr>
          <w:p>
            <w:r>
              <w:t>0.04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</w:tr>
    </w:tbl>
    <w:p>
      <w:pPr>
        <w:pStyle w:val="Heading1"/>
      </w:pPr>
      <w:r>
        <w:t>4. Capital Flow Classification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E2F0D9"/>
          </w:tcPr>
          <w:p>
            <w:r>
              <w:t>Window</w:t>
            </w:r>
          </w:p>
        </w:tc>
        <w:tc>
          <w:tcPr>
            <w:tcW w:type="dxa" w:w="2628"/>
            <w:vAlign w:val="center"/>
            <w:shd w:fill="E2F0D9"/>
          </w:tcPr>
          <w:p>
            <w:r>
              <w:t>TRADE_PROFIT</w:t>
            </w:r>
          </w:p>
        </w:tc>
        <w:tc>
          <w:tcPr>
            <w:tcW w:type="dxa" w:w="2628"/>
            <w:vAlign w:val="center"/>
            <w:shd w:fill="E2F0D9"/>
          </w:tcPr>
          <w:p>
            <w:r>
              <w:t>TRADE_LOSS</w:t>
            </w:r>
          </w:p>
        </w:tc>
        <w:tc>
          <w:tcPr>
            <w:tcW w:type="dxa" w:w="2628"/>
            <w:vAlign w:val="center"/>
            <w:shd w:fill="E2F0D9"/>
          </w:tcPr>
          <w:p>
            <w:r>
              <w:t>FLAT</w:t>
            </w:r>
          </w:p>
        </w:tc>
      </w:tr>
      <w:tr>
        <w:tc>
          <w:tcPr>
            <w:tcW w:type="dxa" w:w="2628"/>
          </w:tcPr>
          <w:p>
            <w:r>
              <w:t>2026-01-01→2026-01-30</w:t>
            </w:r>
          </w:p>
        </w:tc>
        <w:tc>
          <w:tcPr>
            <w:tcW w:type="dxa" w:w="2628"/>
          </w:tcPr>
          <w:p>
            <w:r>
              <w:t>392</w:t>
            </w:r>
          </w:p>
        </w:tc>
        <w:tc>
          <w:tcPr>
            <w:tcW w:type="dxa" w:w="2628"/>
          </w:tcPr>
          <w:p>
            <w:r>
              <w:t>72</w:t>
            </w:r>
          </w:p>
        </w:tc>
        <w:tc>
          <w:tcPr>
            <w:tcW w:type="dxa" w:w="2628"/>
          </w:tcPr>
          <w:p>
            <w:r>
              <w:t>28</w:t>
            </w:r>
          </w:p>
        </w:tc>
      </w:tr>
      <w:tr>
        <w:tc>
          <w:tcPr>
            <w:tcW w:type="dxa" w:w="2628"/>
          </w:tcPr>
          <w:p>
            <w:r>
              <w:t>2026-02-01→2026-02-27</w:t>
            </w:r>
          </w:p>
        </w:tc>
        <w:tc>
          <w:tcPr>
            <w:tcW w:type="dxa" w:w="2628"/>
          </w:tcPr>
          <w:p>
            <w:r>
              <w:t>423</w:t>
            </w:r>
          </w:p>
        </w:tc>
        <w:tc>
          <w:tcPr>
            <w:tcW w:type="dxa" w:w="2628"/>
          </w:tcPr>
          <w:p>
            <w:r>
              <w:t>65</w:t>
            </w:r>
          </w:p>
        </w:tc>
        <w:tc>
          <w:tcPr>
            <w:tcW w:type="dxa" w:w="2628"/>
          </w:tcPr>
          <w:p>
            <w:r>
              <w:t>0</w:t>
            </w:r>
          </w:p>
        </w:tc>
      </w:tr>
      <w:tr>
        <w:tc>
          <w:tcPr>
            <w:tcW w:type="dxa" w:w="2628"/>
          </w:tcPr>
          <w:p>
            <w:r>
              <w:t>2026-03-01→2026-03-31</w:t>
            </w:r>
          </w:p>
        </w:tc>
        <w:tc>
          <w:tcPr>
            <w:tcW w:type="dxa" w:w="2628"/>
          </w:tcPr>
          <w:p>
            <w:r>
              <w:t>550</w:t>
            </w:r>
          </w:p>
        </w:tc>
        <w:tc>
          <w:tcPr>
            <w:tcW w:type="dxa" w:w="2628"/>
          </w:tcPr>
          <w:p>
            <w:r>
              <w:t>64</w:t>
            </w:r>
          </w:p>
        </w:tc>
        <w:tc>
          <w:tcPr>
            <w:tcW w:type="dxa" w:w="2628"/>
          </w:tcPr>
          <w:p>
            <w:r>
              <w:t>14</w:t>
            </w:r>
          </w:p>
        </w:tc>
      </w:tr>
      <w:tr>
        <w:tc>
          <w:tcPr>
            <w:tcW w:type="dxa" w:w="2628"/>
          </w:tcPr>
          <w:p>
            <w:r>
              <w:t>2026-04-01→2026-04-30</w:t>
            </w:r>
          </w:p>
        </w:tc>
        <w:tc>
          <w:tcPr>
            <w:tcW w:type="dxa" w:w="2628"/>
          </w:tcPr>
          <w:p>
            <w:r>
              <w:t>458</w:t>
            </w:r>
          </w:p>
        </w:tc>
        <w:tc>
          <w:tcPr>
            <w:tcW w:type="dxa" w:w="2628"/>
          </w:tcPr>
          <w:p>
            <w:r>
              <w:t>77</w:t>
            </w:r>
          </w:p>
        </w:tc>
        <w:tc>
          <w:tcPr>
            <w:tcW w:type="dxa" w:w="2628"/>
          </w:tcPr>
          <w:p>
            <w:r>
              <w:t>1</w:t>
            </w:r>
          </w:p>
        </w:tc>
      </w:tr>
      <w:tr>
        <w:tc>
          <w:tcPr>
            <w:tcW w:type="dxa" w:w="2628"/>
          </w:tcPr>
          <w:p>
            <w:r>
              <w:t>2026-05-01→2026-05-14</w:t>
            </w:r>
          </w:p>
        </w:tc>
        <w:tc>
          <w:tcPr>
            <w:tcW w:type="dxa" w:w="2628"/>
          </w:tcPr>
          <w:p>
            <w:r>
              <w:t>225</w:t>
            </w:r>
          </w:p>
        </w:tc>
        <w:tc>
          <w:tcPr>
            <w:tcW w:type="dxa" w:w="2628"/>
          </w:tcPr>
          <w:p>
            <w:r>
              <w:t>33</w:t>
            </w:r>
          </w:p>
        </w:tc>
        <w:tc>
          <w:tcPr>
            <w:tcW w:type="dxa" w:w="2628"/>
          </w:tcPr>
          <w:p>
            <w:r>
              <w:t>0</w:t>
            </w:r>
          </w:p>
        </w:tc>
      </w:tr>
    </w:tbl>
    <w:p>
      <w:pPr>
        <w:pStyle w:val="Heading1"/>
      </w:pPr>
      <w:r>
        <w:t>5. Safety and Integrity</w:t>
      </w:r>
    </w:p>
    <w:p>
      <w:pPr>
        <w:pStyle w:val="ListBullet"/>
      </w:pPr>
      <w:r>
        <w:t>OrderSend = 0 across all submitted windows.</w:t>
      </w:r>
    </w:p>
    <w:p>
      <w:pPr>
        <w:pStyle w:val="ListBullet"/>
      </w:pPr>
      <w:r>
        <w:t>BrokerModifySent = 0 across all submitted windows.</w:t>
      </w:r>
    </w:p>
    <w:p>
      <w:pPr>
        <w:pStyle w:val="ListBullet"/>
      </w:pPr>
      <w:r>
        <w:t>RuntimeSLChanged = 0 across all submitted windows.</w:t>
      </w:r>
    </w:p>
    <w:p>
      <w:pPr>
        <w:pStyle w:val="ListBullet"/>
      </w:pPr>
      <w:r>
        <w:t>InvariantBreaches = 0 across all submitted windows.</w:t>
      </w:r>
    </w:p>
    <w:p>
      <w:pPr>
        <w:pStyle w:val="ListBullet"/>
      </w:pPr>
      <w:r>
        <w:t>CapitalInjectionEvents = 0 and CapitalWithdrawalEvents = 0 in the submitted tester data.</w:t>
      </w:r>
    </w:p>
    <w:p>
      <w:pPr>
        <w:pStyle w:val="ListBullet"/>
      </w:pPr>
      <w:r>
        <w:t>ExternalCapitalNetUSD = 0.0000 or negative zero rounding only.</w:t>
      </w:r>
    </w:p>
    <w:p>
      <w:pPr>
        <w:pStyle w:val="ListBullet"/>
      </w:pPr>
      <w:r>
        <w:t>ReportIntegrityStatus = PASS and TradeRowsVsSummaryStatus = PASS.</w:t>
      </w:r>
    </w:p>
    <w:p>
      <w:pPr>
        <w:pStyle w:val="ListBullet"/>
      </w:pPr>
      <w:r>
        <w:t>Visible final-net differences remain below 0.01 USD.</w:t>
      </w:r>
    </w:p>
    <w:p>
      <w:pPr>
        <w:pStyle w:val="Heading1"/>
      </w:pPr>
      <w:r>
        <w:t>6. Baselines After Lock</w:t>
      </w:r>
    </w:p>
    <w:p>
      <w:r>
        <w:t>Fixed baseline remains: v0.55.4d April Full Fixed FinalWorkingNetUSD = 1,102.45 USD.</w:t>
      </w:r>
    </w:p>
    <w:p>
      <w:r>
        <w:t>Dynamic baseline remains: v0.55.5 April Full Dynamic FinalWorkingNetUSD = 4,524.85 USD.</w:t>
      </w:r>
    </w:p>
    <w:p>
      <w:r>
        <w:t>May Fresh dynamic confirmation: v0.55.5 FinalWorkingNetUSD = 1,103.55 USD.</w:t>
      </w:r>
    </w:p>
    <w:p>
      <w:pPr>
        <w:pStyle w:val="Heading1"/>
      </w:pPr>
      <w:r>
        <w:t>7. Next Step</w:t>
      </w:r>
    </w:p>
    <w:p>
      <w:r>
        <w:t>Next recommended version: v0.55.6 — Capital Injection / Withdrawal Simulation Scenarios. The goal is to prove that explicit external deposit/withdrawal scenarios are classified as INJECTION/WITHDRAWAL without being treated as earned trading performance or automatic tier-promotion proof.</w:t>
      </w:r>
    </w:p>
    <w:p>
      <w:pPr>
        <w:pStyle w:val="Heading1"/>
      </w:pPr>
      <w:r>
        <w:t>8. Test Windows Used</w:t>
      </w:r>
    </w:p>
    <w:p>
      <w:pPr>
        <w:pStyle w:val="ListBullet"/>
      </w:pPr>
      <w:r>
        <w:t>2026-01-01→2026-01-30</w:t>
      </w:r>
    </w:p>
    <w:p>
      <w:pPr>
        <w:pStyle w:val="ListBullet"/>
      </w:pPr>
      <w:r>
        <w:t>2026-02-01→2026-02-27</w:t>
      </w:r>
    </w:p>
    <w:p>
      <w:pPr>
        <w:pStyle w:val="ListBullet"/>
      </w:pPr>
      <w:r>
        <w:t>2026-03-01→2026-03-31</w:t>
      </w:r>
    </w:p>
    <w:p>
      <w:pPr>
        <w:pStyle w:val="ListBullet"/>
      </w:pPr>
      <w:r>
        <w:t>2026-04-01→2026-04-30</w:t>
      </w:r>
    </w:p>
    <w:p>
      <w:pPr>
        <w:pStyle w:val="ListBullet"/>
      </w:pPr>
      <w:r>
        <w:t>2026-05-01→2026-05-14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