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JA FalconCore Automated Trading Platform</w:t>
        <w:br/>
        <w:t>Project Memory — v0.35.4</w:t>
      </w:r>
    </w:p>
    <w:p>
      <w:pPr>
        <w:jc w:val="center"/>
      </w:pPr>
      <w:r>
        <w:rPr>
          <w:i/>
          <w:sz w:val="20"/>
        </w:rPr>
        <w:t>Paper Protection Dry Run Validation Lock / Summary-only / No Execution</w:t>
      </w:r>
    </w:p>
    <w:p>
      <w:pPr>
        <w:pStyle w:val="Heading1"/>
      </w:pPr>
      <w:r>
        <w:t>1) Official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D3"/>
          </w:tcPr>
          <w:p>
            <w:r>
              <w:rPr>
                <w:rFonts w:ascii="Arial" w:hAnsi="Arial" w:eastAsia="Arial"/>
                <w:b/>
                <w:sz w:val="16"/>
              </w:rPr>
              <w:t>Item</w:t>
            </w:r>
          </w:p>
        </w:tc>
        <w:tc>
          <w:tcPr>
            <w:tcW w:type="dxa" w:w="5184"/>
            <w:shd w:fill="D9EAD3"/>
          </w:tcPr>
          <w:p>
            <w:r>
              <w:rPr>
                <w:rFonts w:ascii="Arial" w:hAnsi="Arial" w:eastAsia="Arial"/>
                <w:b/>
                <w:sz w:val="16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Current accepted report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v0.35.3 ShadowSmoke / April 2026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Current delivered build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v0.35.4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Build tag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PaperProtectionDryRunValidationLock_NoExecution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Decision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Dry Run acceptance invariant locked — proxy only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Execution mode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Shadow/Paper proxy only; no broker execution</w:t>
            </w:r>
          </w:p>
        </w:tc>
      </w:tr>
    </w:tbl>
    <w:p>
      <w:pPr>
        <w:pStyle w:val="Heading1"/>
      </w:pPr>
      <w:r>
        <w:t>2) v0.35.3 Validation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D3"/>
          </w:tcPr>
          <w:p>
            <w:r>
              <w:rPr>
                <w:rFonts w:ascii="Arial" w:hAnsi="Arial" w:eastAsia="Arial"/>
                <w:b/>
                <w:sz w:val="16"/>
              </w:rPr>
              <w:t>Metric</w:t>
            </w:r>
          </w:p>
        </w:tc>
        <w:tc>
          <w:tcPr>
            <w:tcW w:type="dxa" w:w="5184"/>
            <w:shd w:fill="D9EAD3"/>
          </w:tcPr>
          <w:p>
            <w:r>
              <w:rPr>
                <w:rFonts w:ascii="Arial" w:hAnsi="Arial" w:eastAsia="Arial"/>
                <w:b/>
                <w:sz w:val="16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TotalTrades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436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WinTrades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300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LoseTrades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136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WinRate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68.81%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TotalProfitIndexPoints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+4383.39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TotalLossIndexPoints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2079.40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NetIndexPoints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+2303.99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TotalProfitUSD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+876.68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TotalLossUSD / Total Lose USD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415.88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NetUSD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+460.80</w:t>
            </w:r>
          </w:p>
        </w:tc>
      </w:tr>
    </w:tbl>
    <w:p>
      <w:pPr>
        <w:pStyle w:val="Heading1"/>
      </w:pPr>
      <w:r>
        <w:t>3) v0.35.3 Dry Run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D3"/>
          </w:tcPr>
          <w:p>
            <w:r>
              <w:rPr>
                <w:rFonts w:ascii="Arial" w:hAnsi="Arial" w:eastAsia="Arial"/>
                <w:b/>
                <w:sz w:val="16"/>
              </w:rPr>
              <w:t>Field</w:t>
            </w:r>
          </w:p>
        </w:tc>
        <w:tc>
          <w:tcPr>
            <w:tcW w:type="dxa" w:w="5184"/>
            <w:shd w:fill="D9EAD3"/>
          </w:tcPr>
          <w:p>
            <w:r>
              <w:rPr>
                <w:rFonts w:ascii="Arial" w:hAnsi="Arial" w:eastAsia="Arial"/>
                <w:b/>
                <w:sz w:val="16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ModifyRequestTrades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159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EligibleTrades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159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AcceptedTrades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159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RejectedTrades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SkippedTrades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TP1Trades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108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TP2Trades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51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ModifySent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BrokerModifySent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RuntimeSLChanged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CoveragePct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36.47%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AcceptancePct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100.00%</w:t>
            </w:r>
          </w:p>
        </w:tc>
      </w:tr>
    </w:tbl>
    <w:p>
      <w:pPr>
        <w:pStyle w:val="Heading1"/>
      </w:pPr>
      <w:r>
        <w:t>4) v0.35.4 Scope</w:t>
      </w:r>
    </w:p>
    <w:p>
      <w:pPr>
        <w:pStyle w:val="ListBullet"/>
      </w:pPr>
      <w:r>
        <w:t>v0.35.4 is a Lock release for Paper Protection Dry Run Validation.</w:t>
      </w:r>
    </w:p>
    <w:p>
      <w:pPr>
        <w:pStyle w:val="ListBullet"/>
      </w:pPr>
      <w:r>
        <w:t>It adds FalconPaperProtectDryRunLock fields to Summary only.</w:t>
      </w:r>
    </w:p>
    <w:p>
      <w:pPr>
        <w:pStyle w:val="ListBullet"/>
      </w:pPr>
      <w:r>
        <w:t>It verifies the invariant: request = eligible = accepted, rejects = 0, skips = 0, broker modify = 0, runtime SL change = 0.</w:t>
      </w:r>
    </w:p>
    <w:p>
      <w:pPr>
        <w:pStyle w:val="ListBullet"/>
      </w:pPr>
      <w:r>
        <w:t>No trading logic, entry, SL/TP, exit, runtime protection, runtime runner, Demo, Live, or OrderSend behavior was changed.</w:t>
      </w:r>
    </w:p>
    <w:p>
      <w:pPr>
        <w:pStyle w:val="ListBullet"/>
      </w:pPr>
      <w:r>
        <w:t>No new diagnostic reports were added; report profile remains clean.</w:t>
      </w:r>
    </w:p>
    <w:p>
      <w:pPr>
        <w:pStyle w:val="Heading1"/>
      </w:pPr>
      <w:r>
        <w:t>5) New Summary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D3"/>
          </w:tcPr>
          <w:p>
            <w:r>
              <w:rPr>
                <w:rFonts w:ascii="Arial" w:hAnsi="Arial" w:eastAsia="Arial"/>
                <w:b/>
                <w:sz w:val="16"/>
              </w:rPr>
              <w:t>Field</w:t>
            </w:r>
          </w:p>
        </w:tc>
      </w:tr>
      <w:tr>
        <w:tc>
          <w:tcPr>
            <w:tcW w:type="dxa" w:w="10368"/>
            <w:vAlign w:val="center"/>
          </w:tcPr>
          <w:p>
            <w:r>
              <w:rPr>
                <w:rFonts w:ascii="Arial" w:hAnsi="Arial" w:eastAsia="Arial"/>
                <w:sz w:val="16"/>
              </w:rPr>
              <w:t>FalconPaperProtectDryRunLockStatus</w:t>
            </w:r>
          </w:p>
        </w:tc>
      </w:tr>
      <w:tr>
        <w:tc>
          <w:tcPr>
            <w:tcW w:type="dxa" w:w="10368"/>
            <w:vAlign w:val="center"/>
          </w:tcPr>
          <w:p>
            <w:r>
              <w:rPr>
                <w:rFonts w:ascii="Arial" w:hAnsi="Arial" w:eastAsia="Arial"/>
                <w:sz w:val="16"/>
              </w:rPr>
              <w:t>FalconPaperProtectDryRunLockDecision</w:t>
            </w:r>
          </w:p>
        </w:tc>
      </w:tr>
      <w:tr>
        <w:tc>
          <w:tcPr>
            <w:tcW w:type="dxa" w:w="10368"/>
            <w:vAlign w:val="center"/>
          </w:tcPr>
          <w:p>
            <w:r>
              <w:rPr>
                <w:rFonts w:ascii="Arial" w:hAnsi="Arial" w:eastAsia="Arial"/>
                <w:sz w:val="16"/>
              </w:rPr>
              <w:t>FalconPaperProtectDryRunLockRuntimeEnforced</w:t>
            </w:r>
          </w:p>
        </w:tc>
      </w:tr>
      <w:tr>
        <w:tc>
          <w:tcPr>
            <w:tcW w:type="dxa" w:w="10368"/>
            <w:vAlign w:val="center"/>
          </w:tcPr>
          <w:p>
            <w:r>
              <w:rPr>
                <w:rFonts w:ascii="Arial" w:hAnsi="Arial" w:eastAsia="Arial"/>
                <w:sz w:val="16"/>
              </w:rPr>
              <w:t>FalconPaperProtectDryRunLockScope</w:t>
            </w:r>
          </w:p>
        </w:tc>
      </w:tr>
      <w:tr>
        <w:tc>
          <w:tcPr>
            <w:tcW w:type="dxa" w:w="10368"/>
            <w:vAlign w:val="center"/>
          </w:tcPr>
          <w:p>
            <w:r>
              <w:rPr>
                <w:rFonts w:ascii="Arial" w:hAnsi="Arial" w:eastAsia="Arial"/>
                <w:sz w:val="16"/>
              </w:rPr>
              <w:t>FalconPaperProtectDryRunLockEvaluatedTrades</w:t>
            </w:r>
          </w:p>
        </w:tc>
      </w:tr>
      <w:tr>
        <w:tc>
          <w:tcPr>
            <w:tcW w:type="dxa" w:w="10368"/>
            <w:vAlign w:val="center"/>
          </w:tcPr>
          <w:p>
            <w:r>
              <w:rPr>
                <w:rFonts w:ascii="Arial" w:hAnsi="Arial" w:eastAsia="Arial"/>
                <w:sz w:val="16"/>
              </w:rPr>
              <w:t>FalconPaperProtectDryRunLockModifyRequestTrades</w:t>
            </w:r>
          </w:p>
        </w:tc>
      </w:tr>
      <w:tr>
        <w:tc>
          <w:tcPr>
            <w:tcW w:type="dxa" w:w="10368"/>
            <w:vAlign w:val="center"/>
          </w:tcPr>
          <w:p>
            <w:r>
              <w:rPr>
                <w:rFonts w:ascii="Arial" w:hAnsi="Arial" w:eastAsia="Arial"/>
                <w:sz w:val="16"/>
              </w:rPr>
              <w:t>FalconPaperProtectDryRunLockEligibleTrades</w:t>
            </w:r>
          </w:p>
        </w:tc>
      </w:tr>
      <w:tr>
        <w:tc>
          <w:tcPr>
            <w:tcW w:type="dxa" w:w="10368"/>
            <w:vAlign w:val="center"/>
          </w:tcPr>
          <w:p>
            <w:r>
              <w:rPr>
                <w:rFonts w:ascii="Arial" w:hAnsi="Arial" w:eastAsia="Arial"/>
                <w:sz w:val="16"/>
              </w:rPr>
              <w:t>FalconPaperProtectDryRunLockAcceptedTrades</w:t>
            </w:r>
          </w:p>
        </w:tc>
      </w:tr>
      <w:tr>
        <w:tc>
          <w:tcPr>
            <w:tcW w:type="dxa" w:w="10368"/>
            <w:vAlign w:val="center"/>
          </w:tcPr>
          <w:p>
            <w:r>
              <w:rPr>
                <w:rFonts w:ascii="Arial" w:hAnsi="Arial" w:eastAsia="Arial"/>
                <w:sz w:val="16"/>
              </w:rPr>
              <w:t>FalconPaperProtectDryRunLockRejectedTrades</w:t>
            </w:r>
          </w:p>
        </w:tc>
      </w:tr>
      <w:tr>
        <w:tc>
          <w:tcPr>
            <w:tcW w:type="dxa" w:w="10368"/>
            <w:vAlign w:val="center"/>
          </w:tcPr>
          <w:p>
            <w:r>
              <w:rPr>
                <w:rFonts w:ascii="Arial" w:hAnsi="Arial" w:eastAsia="Arial"/>
                <w:sz w:val="16"/>
              </w:rPr>
              <w:t>FalconPaperProtectDryRunLockSkippedTrades</w:t>
            </w:r>
          </w:p>
        </w:tc>
      </w:tr>
      <w:tr>
        <w:tc>
          <w:tcPr>
            <w:tcW w:type="dxa" w:w="10368"/>
            <w:vAlign w:val="center"/>
          </w:tcPr>
          <w:p>
            <w:r>
              <w:rPr>
                <w:rFonts w:ascii="Arial" w:hAnsi="Arial" w:eastAsia="Arial"/>
                <w:sz w:val="16"/>
              </w:rPr>
              <w:t>FalconPaperProtectDryRunLockBrokerModifySent</w:t>
            </w:r>
          </w:p>
        </w:tc>
      </w:tr>
      <w:tr>
        <w:tc>
          <w:tcPr>
            <w:tcW w:type="dxa" w:w="10368"/>
            <w:vAlign w:val="center"/>
          </w:tcPr>
          <w:p>
            <w:r>
              <w:rPr>
                <w:rFonts w:ascii="Arial" w:hAnsi="Arial" w:eastAsia="Arial"/>
                <w:sz w:val="16"/>
              </w:rPr>
              <w:t>FalconPaperProtectDryRunLockRuntimeSLChanged</w:t>
            </w:r>
          </w:p>
        </w:tc>
      </w:tr>
      <w:tr>
        <w:tc>
          <w:tcPr>
            <w:tcW w:type="dxa" w:w="10368"/>
            <w:vAlign w:val="center"/>
          </w:tcPr>
          <w:p>
            <w:r>
              <w:rPr>
                <w:rFonts w:ascii="Arial" w:hAnsi="Arial" w:eastAsia="Arial"/>
                <w:sz w:val="16"/>
              </w:rPr>
              <w:t>FalconPaperProtectDryRunLockReadyTrades</w:t>
            </w:r>
          </w:p>
        </w:tc>
      </w:tr>
      <w:tr>
        <w:tc>
          <w:tcPr>
            <w:tcW w:type="dxa" w:w="10368"/>
            <w:vAlign w:val="center"/>
          </w:tcPr>
          <w:p>
            <w:r>
              <w:rPr>
                <w:rFonts w:ascii="Arial" w:hAnsi="Arial" w:eastAsia="Arial"/>
                <w:sz w:val="16"/>
              </w:rPr>
              <w:t>FalconPaperProtectDryRunLockInvariantBreaches</w:t>
            </w:r>
          </w:p>
        </w:tc>
      </w:tr>
      <w:tr>
        <w:tc>
          <w:tcPr>
            <w:tcW w:type="dxa" w:w="10368"/>
            <w:vAlign w:val="center"/>
          </w:tcPr>
          <w:p>
            <w:r>
              <w:rPr>
                <w:rFonts w:ascii="Arial" w:hAnsi="Arial" w:eastAsia="Arial"/>
                <w:sz w:val="16"/>
              </w:rPr>
              <w:t>FalconPaperProtectDryRunLockCoveragePct</w:t>
            </w:r>
          </w:p>
        </w:tc>
      </w:tr>
      <w:tr>
        <w:tc>
          <w:tcPr>
            <w:tcW w:type="dxa" w:w="10368"/>
            <w:vAlign w:val="center"/>
          </w:tcPr>
          <w:p>
            <w:r>
              <w:rPr>
                <w:rFonts w:ascii="Arial" w:hAnsi="Arial" w:eastAsia="Arial"/>
                <w:sz w:val="16"/>
              </w:rPr>
              <w:t>FalconPaperProtectDryRunLockAcceptancePct</w:t>
            </w:r>
          </w:p>
        </w:tc>
      </w:tr>
      <w:tr>
        <w:tc>
          <w:tcPr>
            <w:tcW w:type="dxa" w:w="10368"/>
            <w:vAlign w:val="center"/>
          </w:tcPr>
          <w:p>
            <w:r>
              <w:rPr>
                <w:rFonts w:ascii="Arial" w:hAnsi="Arial" w:eastAsia="Arial"/>
                <w:sz w:val="16"/>
              </w:rPr>
              <w:t>FalconPaperProtectDryRunLockCompletenessPct</w:t>
            </w:r>
          </w:p>
        </w:tc>
      </w:tr>
      <w:tr>
        <w:tc>
          <w:tcPr>
            <w:tcW w:type="dxa" w:w="10368"/>
            <w:vAlign w:val="center"/>
          </w:tcPr>
          <w:p>
            <w:r>
              <w:rPr>
                <w:rFonts w:ascii="Arial" w:hAnsi="Arial" w:eastAsia="Arial"/>
                <w:sz w:val="16"/>
              </w:rPr>
              <w:t>FalconPaperProtectDryRunLockNoLookahead</w:t>
            </w:r>
          </w:p>
        </w:tc>
      </w:tr>
      <w:tr>
        <w:tc>
          <w:tcPr>
            <w:tcW w:type="dxa" w:w="10368"/>
            <w:vAlign w:val="center"/>
          </w:tcPr>
          <w:p>
            <w:r>
              <w:rPr>
                <w:rFonts w:ascii="Arial" w:hAnsi="Arial" w:eastAsia="Arial"/>
                <w:sz w:val="16"/>
              </w:rPr>
              <w:t>FalconPaperProtectDryRunLockModifyPolicy</w:t>
            </w:r>
          </w:p>
        </w:tc>
      </w:tr>
      <w:tr>
        <w:tc>
          <w:tcPr>
            <w:tcW w:type="dxa" w:w="10368"/>
            <w:vAlign w:val="center"/>
          </w:tcPr>
          <w:p>
            <w:r>
              <w:rPr>
                <w:rFonts w:ascii="Arial" w:hAnsi="Arial" w:eastAsia="Arial"/>
                <w:sz w:val="16"/>
              </w:rPr>
              <w:t>FalconPaperProtectDryRunLockOrderSendPolicy</w:t>
            </w:r>
          </w:p>
        </w:tc>
      </w:tr>
      <w:tr>
        <w:tc>
          <w:tcPr>
            <w:tcW w:type="dxa" w:w="10368"/>
            <w:vAlign w:val="center"/>
          </w:tcPr>
          <w:p>
            <w:r>
              <w:rPr>
                <w:rFonts w:ascii="Arial" w:hAnsi="Arial" w:eastAsia="Arial"/>
                <w:sz w:val="16"/>
              </w:rPr>
              <w:t>FalconPaperProtectDryRunLockNextPhase</w:t>
            </w:r>
          </w:p>
        </w:tc>
      </w:tr>
    </w:tbl>
    <w:p>
      <w:pPr>
        <w:pStyle w:val="Heading1"/>
      </w:pPr>
      <w:r>
        <w:t>6) Expected April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D3"/>
          </w:tcPr>
          <w:p>
            <w:r>
              <w:rPr>
                <w:rFonts w:ascii="Arial" w:hAnsi="Arial" w:eastAsia="Arial"/>
                <w:b/>
                <w:sz w:val="16"/>
              </w:rPr>
              <w:t>Lock Field</w:t>
            </w:r>
          </w:p>
        </w:tc>
        <w:tc>
          <w:tcPr>
            <w:tcW w:type="dxa" w:w="5184"/>
            <w:shd w:fill="D9EAD3"/>
          </w:tcPr>
          <w:p>
            <w:r>
              <w:rPr>
                <w:rFonts w:ascii="Arial" w:hAnsi="Arial" w:eastAsia="Arial"/>
                <w:b/>
                <w:sz w:val="16"/>
              </w:rPr>
              <w:t>Expected Value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ModifyRequestTrades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159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EligibleTrades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159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AcceptedTrades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159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RejectedTrades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SkippedTrades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BrokerModifySent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RuntimeSLChanged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ReadyTrades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159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InvariantBreaches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CoveragePct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36.47%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AcceptancePct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100.00%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CompletenessPct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  <w:sz w:val="16"/>
              </w:rPr>
              <w:t>100.00%</w:t>
            </w:r>
          </w:p>
        </w:tc>
      </w:tr>
    </w:tbl>
    <w:p>
      <w:pPr>
        <w:pStyle w:val="Heading1"/>
      </w:pPr>
      <w:r>
        <w:t>7) Non-Breakable Rules</w:t>
      </w:r>
    </w:p>
    <w:p>
      <w:pPr>
        <w:pStyle w:val="ListBullet"/>
      </w:pPr>
      <w:r>
        <w:t>Every Strategy and Engine must remain architecturally isolated.</w:t>
      </w:r>
    </w:p>
    <w:p>
      <w:pPr>
        <w:pStyle w:val="ListBullet"/>
      </w:pPr>
      <w:r>
        <w:t>No OrderSend inside any Strategy Engine.</w:t>
      </w:r>
    </w:p>
    <w:p>
      <w:pPr>
        <w:pStyle w:val="ListBullet"/>
      </w:pPr>
      <w:r>
        <w:t>No runtime SL modification until proxy, paper, and validation locks are accepted across required test windows.</w:t>
      </w:r>
    </w:p>
    <w:p>
      <w:pPr>
        <w:pStyle w:val="ListBullet"/>
      </w:pPr>
      <w:r>
        <w:t>Every Lock release must clean reports and code from unnecessary diagnostics.</w:t>
      </w:r>
    </w:p>
    <w:p>
      <w:pPr>
        <w:pStyle w:val="ListBullet"/>
      </w:pPr>
      <w:r>
        <w:t>Summary-only means Summary-only: no hidden runtime behavior and no additional report file unless explicitly required.</w:t>
      </w:r>
    </w:p>
    <w:p>
      <w:pPr>
        <w:pStyle w:val="ListBullet"/>
      </w:pPr>
      <w:r>
        <w:t>TotalProfitUSD and TotalLossUSD / Total Lose USD must be included in future trading report analysis alongside NetUSD.</w:t>
      </w:r>
    </w:p>
    <w:p>
      <w:pPr>
        <w:pStyle w:val="Heading1"/>
      </w:pPr>
      <w:r>
        <w:t>8) Next Step</w:t>
      </w:r>
    </w:p>
    <w:p>
      <w:r>
        <w:t>Compile v0.35.4 in MetaEditor, run Smoke 2026-04-01 to 2026-04-03, then April official 2026-04-01 to 2026-04-24. If results remain unchanged and Lock fields match expected values, accept v0.35.4 and move to v0.36.0 Paper Protection Virtual SL State Candidate.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